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73F42" w14:textId="77777777" w:rsidR="00902337" w:rsidRPr="00335934" w:rsidRDefault="00902337" w:rsidP="00335934">
      <w:pPr>
        <w:pStyle w:val="Sinespaciado"/>
        <w:jc w:val="center"/>
        <w:rPr>
          <w:rFonts w:ascii="Verdana" w:hAnsi="Verdana"/>
          <w:b/>
          <w:bCs/>
          <w:sz w:val="20"/>
          <w:szCs w:val="20"/>
        </w:rPr>
      </w:pPr>
      <w:r w:rsidRPr="00335934">
        <w:rPr>
          <w:rFonts w:ascii="Verdana" w:hAnsi="Verdana"/>
          <w:b/>
          <w:bCs/>
          <w:sz w:val="20"/>
          <w:szCs w:val="20"/>
        </w:rPr>
        <w:t>DECRETO NÚMERO 48</w:t>
      </w:r>
    </w:p>
    <w:p w14:paraId="7CA29DE4" w14:textId="77777777" w:rsidR="00902337" w:rsidRPr="00335934" w:rsidRDefault="00902337" w:rsidP="00335934">
      <w:pPr>
        <w:pStyle w:val="Sinespaciado"/>
        <w:rPr>
          <w:rFonts w:ascii="Verdana" w:hAnsi="Verdana"/>
          <w:b/>
          <w:bCs/>
          <w:sz w:val="20"/>
          <w:szCs w:val="20"/>
        </w:rPr>
      </w:pPr>
    </w:p>
    <w:p w14:paraId="059028A5" w14:textId="77777777" w:rsidR="00902337" w:rsidRPr="00335934" w:rsidRDefault="00902337" w:rsidP="00335934">
      <w:pPr>
        <w:pStyle w:val="Sinespaciado"/>
        <w:rPr>
          <w:rFonts w:ascii="Verdana" w:hAnsi="Verdana"/>
          <w:b/>
          <w:bCs/>
          <w:iCs/>
          <w:sz w:val="20"/>
          <w:szCs w:val="20"/>
        </w:rPr>
      </w:pPr>
      <w:r w:rsidRPr="00335934">
        <w:rPr>
          <w:rFonts w:ascii="Verdana" w:hAnsi="Verdana"/>
          <w:b/>
          <w:bCs/>
          <w:iCs/>
          <w:sz w:val="20"/>
          <w:szCs w:val="20"/>
        </w:rPr>
        <w:t>LA SEXAGÉSIMA SEXTA LEGISLATURA CONSTITUCIONAL DEL CONGRESO DEL ESTADO LIBRE Y SOBERANO DE GUANAJUATO, D E C R E T A:</w:t>
      </w:r>
    </w:p>
    <w:p w14:paraId="0673FC50" w14:textId="77777777" w:rsidR="00902337" w:rsidRPr="00335934" w:rsidRDefault="00902337" w:rsidP="00335934">
      <w:pPr>
        <w:pStyle w:val="Sinespaciado"/>
        <w:rPr>
          <w:rStyle w:val="Textoennegrita"/>
          <w:rFonts w:ascii="Verdana" w:hAnsi="Verdana" w:cs="Arial"/>
          <w:sz w:val="20"/>
          <w:szCs w:val="20"/>
        </w:rPr>
      </w:pPr>
    </w:p>
    <w:p w14:paraId="08CA7159" w14:textId="77777777" w:rsidR="00902337" w:rsidRPr="00335934" w:rsidRDefault="00902337" w:rsidP="00335934">
      <w:pPr>
        <w:pStyle w:val="Sinespaciado"/>
        <w:jc w:val="center"/>
        <w:rPr>
          <w:rStyle w:val="Textoennegrita"/>
          <w:rFonts w:ascii="Verdana" w:hAnsi="Verdana" w:cs="Arial"/>
          <w:sz w:val="20"/>
          <w:szCs w:val="20"/>
        </w:rPr>
      </w:pPr>
      <w:r w:rsidRPr="00335934">
        <w:rPr>
          <w:rStyle w:val="Textoennegrita"/>
          <w:rFonts w:ascii="Verdana" w:hAnsi="Verdana" w:cs="Arial"/>
          <w:sz w:val="20"/>
          <w:szCs w:val="20"/>
        </w:rPr>
        <w:t>LEY DE INGRESOS PARA EL MUNICIPIO DE XICHÚ, GUANAJUATO,</w:t>
      </w:r>
    </w:p>
    <w:p w14:paraId="596B1E00" w14:textId="77777777" w:rsidR="00902337" w:rsidRPr="00335934" w:rsidRDefault="00902337" w:rsidP="00335934">
      <w:pPr>
        <w:pStyle w:val="Sinespaciado"/>
        <w:jc w:val="center"/>
        <w:rPr>
          <w:rStyle w:val="Textoennegrita"/>
          <w:rFonts w:ascii="Verdana" w:hAnsi="Verdana" w:cs="Arial"/>
          <w:sz w:val="20"/>
          <w:szCs w:val="20"/>
        </w:rPr>
      </w:pPr>
      <w:r w:rsidRPr="00335934">
        <w:rPr>
          <w:rStyle w:val="Textoennegrita"/>
          <w:rFonts w:ascii="Verdana" w:hAnsi="Verdana" w:cs="Arial"/>
          <w:sz w:val="20"/>
          <w:szCs w:val="20"/>
        </w:rPr>
        <w:t>PARA EL EJERCICIO FISCAL DEL AÑO 2025</w:t>
      </w:r>
    </w:p>
    <w:p w14:paraId="7D6AC874" w14:textId="77777777" w:rsidR="00902337" w:rsidRPr="00335934" w:rsidRDefault="00902337" w:rsidP="00335934">
      <w:pPr>
        <w:pStyle w:val="Sinespaciado"/>
        <w:jc w:val="center"/>
        <w:rPr>
          <w:rFonts w:ascii="Verdana" w:hAnsi="Verdana" w:cs="Arial"/>
          <w:b/>
          <w:bCs/>
          <w:sz w:val="20"/>
          <w:szCs w:val="20"/>
        </w:rPr>
      </w:pPr>
    </w:p>
    <w:p w14:paraId="0498FDE9" w14:textId="77777777" w:rsidR="00902337" w:rsidRPr="00335934" w:rsidRDefault="00902337" w:rsidP="00335934">
      <w:pPr>
        <w:pStyle w:val="Sinespaciado"/>
        <w:jc w:val="center"/>
        <w:rPr>
          <w:rFonts w:ascii="Verdana" w:hAnsi="Verdana" w:cs="Arial"/>
          <w:b/>
          <w:bCs/>
          <w:sz w:val="20"/>
          <w:szCs w:val="20"/>
        </w:rPr>
      </w:pPr>
      <w:r w:rsidRPr="00335934">
        <w:rPr>
          <w:rFonts w:ascii="Verdana" w:hAnsi="Verdana" w:cs="Arial"/>
          <w:b/>
          <w:bCs/>
          <w:sz w:val="20"/>
          <w:szCs w:val="20"/>
        </w:rPr>
        <w:t>CAPÍTULO PRIMERO</w:t>
      </w:r>
      <w:r w:rsidRPr="00335934">
        <w:rPr>
          <w:rFonts w:ascii="Verdana" w:hAnsi="Verdana" w:cs="Arial"/>
          <w:b/>
          <w:bCs/>
          <w:sz w:val="20"/>
          <w:szCs w:val="20"/>
        </w:rPr>
        <w:br/>
        <w:t>NATURALEZA Y OBJETO DE LA LEY</w:t>
      </w:r>
    </w:p>
    <w:p w14:paraId="7C51792E" w14:textId="77777777" w:rsidR="00902337" w:rsidRPr="00335934" w:rsidRDefault="00902337" w:rsidP="00335934">
      <w:pPr>
        <w:pStyle w:val="NormalWeb"/>
        <w:jc w:val="both"/>
        <w:rPr>
          <w:rFonts w:ascii="Verdana" w:hAnsi="Verdana"/>
          <w:sz w:val="20"/>
          <w:szCs w:val="20"/>
        </w:rPr>
      </w:pPr>
      <w:r w:rsidRPr="00335934">
        <w:rPr>
          <w:rStyle w:val="Textoennegrita"/>
          <w:rFonts w:ascii="Verdana" w:hAnsi="Verdana"/>
          <w:sz w:val="20"/>
          <w:szCs w:val="20"/>
        </w:rPr>
        <w:tab/>
        <w:t>Artículo 1</w:t>
      </w:r>
      <w:r w:rsidRPr="00335934">
        <w:rPr>
          <w:rFonts w:ascii="Verdana" w:hAnsi="Verdana"/>
          <w:sz w:val="20"/>
          <w:szCs w:val="20"/>
        </w:rPr>
        <w:t>. La presente Ley es de orden público y tiene por objeto establecer los ingresos que percibirá la hacienda pública del municipio de Xichú, Guanajuato, durante el ejercicio fiscal del año 2025, por los conceptos y en las cantidades estimadas que a continuación se enumeran:</w:t>
      </w:r>
    </w:p>
    <w:p w14:paraId="5CA2D9FD" w14:textId="77777777" w:rsidR="00902337" w:rsidRPr="00335934" w:rsidRDefault="00902337" w:rsidP="00335934">
      <w:pPr>
        <w:spacing w:line="240" w:lineRule="auto"/>
        <w:jc w:val="center"/>
        <w:rPr>
          <w:rFonts w:ascii="Verdana" w:eastAsia="Times New Roman" w:hAnsi="Verdana" w:cs="Arial"/>
          <w:sz w:val="20"/>
          <w:szCs w:val="20"/>
        </w:rPr>
      </w:pPr>
      <w:r w:rsidRPr="00335934">
        <w:rPr>
          <w:rFonts w:ascii="Verdana" w:eastAsia="Times New Roman" w:hAnsi="Verdana" w:cs="Arial"/>
          <w:sz w:val="20"/>
          <w:szCs w:val="20"/>
        </w:rPr>
        <w:t>I. Ingresos Administración Centralizada</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529"/>
        <w:gridCol w:w="5683"/>
        <w:gridCol w:w="2176"/>
      </w:tblGrid>
      <w:tr w:rsidR="00902337" w:rsidRPr="00335934" w14:paraId="6426A179" w14:textId="77777777" w:rsidTr="006B6132">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26FD17D" w14:textId="77777777" w:rsidR="00902337" w:rsidRPr="00335934" w:rsidRDefault="00902337" w:rsidP="00335934">
            <w:pPr>
              <w:spacing w:line="240" w:lineRule="auto"/>
              <w:jc w:val="center"/>
              <w:rPr>
                <w:rFonts w:ascii="Verdana" w:eastAsia="Times New Roman" w:hAnsi="Verdana" w:cs="Arial"/>
                <w:b/>
                <w:bCs/>
                <w:sz w:val="20"/>
                <w:szCs w:val="20"/>
              </w:rPr>
            </w:pPr>
            <w:r w:rsidRPr="00335934">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49D85" w14:textId="77777777" w:rsidR="00902337" w:rsidRPr="00335934" w:rsidRDefault="00902337" w:rsidP="00335934">
            <w:pPr>
              <w:spacing w:line="240" w:lineRule="auto"/>
              <w:jc w:val="center"/>
              <w:rPr>
                <w:rFonts w:ascii="Verdana" w:eastAsia="Times New Roman" w:hAnsi="Verdana" w:cs="Arial"/>
                <w:b/>
                <w:bCs/>
                <w:sz w:val="20"/>
                <w:szCs w:val="20"/>
              </w:rPr>
            </w:pPr>
            <w:r w:rsidRPr="00335934">
              <w:rPr>
                <w:rFonts w:ascii="Verdana" w:eastAsia="Times New Roman" w:hAnsi="Verdana" w:cs="Arial"/>
                <w:b/>
                <w:bCs/>
                <w:sz w:val="20"/>
                <w:szCs w:val="20"/>
              </w:rPr>
              <w:t>Municipio de Xichú</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FDBF3D8" w14:textId="77777777" w:rsidR="00902337" w:rsidRPr="00335934" w:rsidRDefault="00902337" w:rsidP="00335934">
            <w:pPr>
              <w:spacing w:line="240" w:lineRule="auto"/>
              <w:jc w:val="center"/>
              <w:rPr>
                <w:rFonts w:ascii="Verdana" w:eastAsia="Times New Roman" w:hAnsi="Verdana" w:cs="Arial"/>
                <w:b/>
                <w:bCs/>
                <w:sz w:val="20"/>
                <w:szCs w:val="20"/>
              </w:rPr>
            </w:pPr>
            <w:r w:rsidRPr="00335934">
              <w:rPr>
                <w:rFonts w:ascii="Verdana" w:eastAsia="Times New Roman" w:hAnsi="Verdana" w:cs="Arial"/>
                <w:b/>
                <w:bCs/>
                <w:sz w:val="20"/>
                <w:szCs w:val="20"/>
              </w:rPr>
              <w:t>Ingreso Estimado</w:t>
            </w:r>
          </w:p>
        </w:tc>
      </w:tr>
      <w:tr w:rsidR="00902337" w:rsidRPr="00335934" w14:paraId="2C26F7A9" w14:textId="77777777" w:rsidTr="006B6132">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0D9079" w14:textId="77777777" w:rsidR="00902337" w:rsidRPr="00335934" w:rsidRDefault="00902337" w:rsidP="00335934">
            <w:pPr>
              <w:spacing w:line="240" w:lineRule="auto"/>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C52EA" w14:textId="77777777" w:rsidR="00902337" w:rsidRPr="00335934" w:rsidRDefault="00902337" w:rsidP="00335934">
            <w:pPr>
              <w:spacing w:line="240" w:lineRule="auto"/>
              <w:jc w:val="center"/>
              <w:rPr>
                <w:rFonts w:ascii="Verdana" w:eastAsia="Times New Roman" w:hAnsi="Verdana" w:cs="Arial"/>
                <w:b/>
                <w:bCs/>
                <w:sz w:val="20"/>
                <w:szCs w:val="20"/>
              </w:rPr>
            </w:pPr>
            <w:r w:rsidRPr="00335934">
              <w:rPr>
                <w:rFonts w:ascii="Verdana" w:eastAsia="Times New Roman" w:hAnsi="Verdana" w:cs="Arial"/>
                <w:b/>
                <w:bCs/>
                <w:sz w:val="20"/>
                <w:szCs w:val="20"/>
              </w:rPr>
              <w:t>Ley de Ingresos para el Ejercicio Fiscal 2025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B5B67F" w14:textId="77777777" w:rsidR="00902337" w:rsidRPr="00335934" w:rsidRDefault="00902337" w:rsidP="00335934">
            <w:pPr>
              <w:spacing w:line="240" w:lineRule="auto"/>
              <w:jc w:val="both"/>
              <w:rPr>
                <w:rFonts w:ascii="Verdana" w:eastAsia="Times New Roman" w:hAnsi="Verdana" w:cs="Arial"/>
                <w:b/>
                <w:bCs/>
                <w:sz w:val="20"/>
                <w:szCs w:val="20"/>
              </w:rPr>
            </w:pPr>
          </w:p>
        </w:tc>
      </w:tr>
      <w:tr w:rsidR="00902337" w:rsidRPr="00335934" w14:paraId="69B13D94" w14:textId="77777777" w:rsidTr="006B6132">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F7D9D8" w14:textId="77777777" w:rsidR="00902337" w:rsidRPr="00335934" w:rsidRDefault="00902337" w:rsidP="00335934">
            <w:pPr>
              <w:spacing w:line="240" w:lineRule="auto"/>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D304C" w14:textId="77777777" w:rsidR="00902337" w:rsidRPr="00335934" w:rsidRDefault="00902337" w:rsidP="00335934">
            <w:pPr>
              <w:spacing w:line="240" w:lineRule="auto"/>
              <w:jc w:val="center"/>
              <w:rPr>
                <w:rFonts w:ascii="Verdana" w:eastAsia="Times New Roman" w:hAnsi="Verdana" w:cs="Arial"/>
                <w:b/>
                <w:bCs/>
                <w:sz w:val="20"/>
                <w:szCs w:val="20"/>
              </w:rPr>
            </w:pPr>
            <w:r w:rsidRPr="00335934">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2C520" w14:textId="77777777" w:rsidR="00902337" w:rsidRPr="00335934" w:rsidRDefault="00902337" w:rsidP="00335934">
            <w:pPr>
              <w:spacing w:line="240" w:lineRule="auto"/>
              <w:jc w:val="center"/>
              <w:rPr>
                <w:rFonts w:ascii="Verdana" w:eastAsia="Times New Roman" w:hAnsi="Verdana" w:cs="Arial"/>
                <w:b/>
                <w:bCs/>
                <w:sz w:val="20"/>
                <w:szCs w:val="20"/>
              </w:rPr>
            </w:pPr>
            <w:r w:rsidRPr="00335934">
              <w:rPr>
                <w:rFonts w:ascii="Verdana" w:eastAsia="Times New Roman" w:hAnsi="Verdana" w:cs="Arial"/>
                <w:b/>
                <w:bCs/>
                <w:sz w:val="20"/>
                <w:szCs w:val="20"/>
              </w:rPr>
              <w:t>$130,541,455.72</w:t>
            </w:r>
          </w:p>
        </w:tc>
      </w:tr>
      <w:tr w:rsidR="00902337" w:rsidRPr="00335934" w14:paraId="6594334F"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9458C4" w14:textId="77777777" w:rsidR="00902337" w:rsidRPr="00335934" w:rsidRDefault="00902337" w:rsidP="00335934">
            <w:pPr>
              <w:spacing w:line="240" w:lineRule="auto"/>
              <w:rPr>
                <w:rFonts w:ascii="Verdana" w:eastAsia="Times New Roman" w:hAnsi="Verdana" w:cs="Arial"/>
                <w:sz w:val="20"/>
                <w:szCs w:val="20"/>
              </w:rPr>
            </w:pPr>
            <w:r w:rsidRPr="00335934">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E36AA"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3DAF7"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$707,108.48</w:t>
            </w:r>
          </w:p>
        </w:tc>
      </w:tr>
      <w:tr w:rsidR="00902337" w:rsidRPr="00335934" w14:paraId="656A195E"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1814807"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1100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7B4DE5A"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Impuestos sobre los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30A2C"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$1,135.68</w:t>
            </w:r>
          </w:p>
        </w:tc>
      </w:tr>
      <w:tr w:rsidR="00902337" w:rsidRPr="00335934" w14:paraId="3046A444"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25C0DC1"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1101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0888074"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Impuesto sobre juegos y apuestas permitidas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4A5B9"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$1,135.68</w:t>
            </w:r>
          </w:p>
        </w:tc>
      </w:tr>
      <w:tr w:rsidR="00902337" w:rsidRPr="00335934" w14:paraId="32B0B12A"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1189A6C"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1102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7E8F348"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9E706"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1203ED0A"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F8965E2"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1103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5166FD6"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Impuesto sobre rifas, sorteos, loterías y concursos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D2B54"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3CF12624"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BA962F6"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1200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C465866"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Impuestos sobre el patrimonio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A2382"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$676,099.84</w:t>
            </w:r>
          </w:p>
        </w:tc>
      </w:tr>
      <w:tr w:rsidR="00902337" w:rsidRPr="00335934" w14:paraId="023EC3FE"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A510CD9"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1201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266852C"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Impuesto predial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FC67F"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$654,740.32</w:t>
            </w:r>
          </w:p>
        </w:tc>
      </w:tr>
      <w:tr w:rsidR="00902337" w:rsidRPr="00335934" w14:paraId="06758D10"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CF1902F"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lastRenderedPageBreak/>
              <w:t>1202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A353BA9"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Impuesto sobre división y lotificación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E920C"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$7,731.36</w:t>
            </w:r>
          </w:p>
        </w:tc>
      </w:tr>
      <w:tr w:rsidR="00902337" w:rsidRPr="00335934" w14:paraId="03831D48"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6B142DA"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1203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95E8D32"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B957F"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$13,628.16</w:t>
            </w:r>
          </w:p>
        </w:tc>
      </w:tr>
      <w:tr w:rsidR="00902337" w:rsidRPr="00335934" w14:paraId="1DDC3DBA"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806F53F"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1300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DFB6488"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Impuestos sobre la producción, el consumo y las transacciones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C656F"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$1,135.68</w:t>
            </w:r>
          </w:p>
        </w:tc>
      </w:tr>
      <w:tr w:rsidR="00902337" w:rsidRPr="00335934" w14:paraId="7A5B0088"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538B95A"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1301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C2B6EB1"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Explotación de mármoles, canteras, pizarras, basaltos, cal, entre otras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22A3B"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3BB1670D"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0305F37"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1302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AC1738F"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AFFBA"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7F2675D0"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FCB2774"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1303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FB55CCA"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Impuesto de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58E71"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6B29B758"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182BB01"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1304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F4CD462"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C5DDE"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$1,135.68</w:t>
            </w:r>
          </w:p>
        </w:tc>
      </w:tr>
      <w:tr w:rsidR="00902337" w:rsidRPr="00335934" w14:paraId="7444451D"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A6B9B2D"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1400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D2CD44E"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Impuestos al comercio exterior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98EB3"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649254E1"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A1C4C70"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1500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AAD5BE6"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Impuestos sobre nóminas y asimilables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B6018"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69DB52E1"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CCF259C"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1600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1E2C4C4"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Impuestos ecológicos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346AE"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1BB02C18"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E07817E"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1700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0FF8D00"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Accesorios de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104C2"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$28,737.28</w:t>
            </w:r>
          </w:p>
        </w:tc>
      </w:tr>
      <w:tr w:rsidR="00902337" w:rsidRPr="00335934" w14:paraId="70C927B6"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0984F3D"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1701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E24ABAD"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B07DA"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$24,876.80</w:t>
            </w:r>
          </w:p>
        </w:tc>
      </w:tr>
      <w:tr w:rsidR="00902337" w:rsidRPr="00335934" w14:paraId="02A7914E"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0055212"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1702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72A7E8B"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553AA"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$1,135.68</w:t>
            </w:r>
          </w:p>
        </w:tc>
      </w:tr>
      <w:tr w:rsidR="00902337" w:rsidRPr="00335934" w14:paraId="00D73596"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17E0A11"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1703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B5518E1"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82D1A"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$2,724.80</w:t>
            </w:r>
          </w:p>
        </w:tc>
      </w:tr>
      <w:tr w:rsidR="00902337" w:rsidRPr="00335934" w14:paraId="01B53ECA"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B2F67A0"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1800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4A73E71"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Otros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347C5"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38A31245"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1368647"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lastRenderedPageBreak/>
              <w:t>1900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3CA22CB"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59DCA"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6840951D"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00AA45" w14:textId="77777777" w:rsidR="00902337" w:rsidRPr="00335934" w:rsidRDefault="00902337" w:rsidP="00335934">
            <w:pPr>
              <w:spacing w:line="240" w:lineRule="auto"/>
              <w:rPr>
                <w:rFonts w:ascii="Verdana" w:eastAsia="Times New Roman" w:hAnsi="Verdana" w:cs="Arial"/>
                <w:sz w:val="20"/>
                <w:szCs w:val="20"/>
              </w:rPr>
            </w:pPr>
            <w:r w:rsidRPr="00335934">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104AA"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CC14D"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3DADC5EA"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A57A57" w14:textId="77777777" w:rsidR="00902337" w:rsidRPr="00335934" w:rsidRDefault="00902337" w:rsidP="00335934">
            <w:pPr>
              <w:spacing w:line="240" w:lineRule="auto"/>
              <w:rPr>
                <w:rFonts w:ascii="Verdana" w:eastAsia="Times New Roman" w:hAnsi="Verdana" w:cs="Arial"/>
                <w:sz w:val="20"/>
                <w:szCs w:val="20"/>
              </w:rPr>
            </w:pPr>
            <w:r w:rsidRPr="00335934">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3184C"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7FA66"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4411E44B"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8E77F3" w14:textId="77777777" w:rsidR="00902337" w:rsidRPr="00335934" w:rsidRDefault="00902337" w:rsidP="00335934">
            <w:pPr>
              <w:spacing w:line="240" w:lineRule="auto"/>
              <w:rPr>
                <w:rFonts w:ascii="Verdana" w:eastAsia="Times New Roman" w:hAnsi="Verdana" w:cs="Arial"/>
                <w:sz w:val="20"/>
                <w:szCs w:val="20"/>
              </w:rPr>
            </w:pPr>
            <w:r w:rsidRPr="00335934">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C8C3A"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C7CEF"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$611,966.16</w:t>
            </w:r>
          </w:p>
        </w:tc>
      </w:tr>
      <w:tr w:rsidR="00902337" w:rsidRPr="00335934" w14:paraId="322EECF3"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D6FFAAB"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4100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BF061C4"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3688E"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$270,614.24</w:t>
            </w:r>
          </w:p>
        </w:tc>
      </w:tr>
      <w:tr w:rsidR="00902337" w:rsidRPr="00335934" w14:paraId="4C334607"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D44E631"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4101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73FBD51"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Ocupación, uso y aprovechamiento de los bienes de dominio público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EAC43"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6572BA79"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6126384"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4102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A80AB26"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Explotación, uso de bienes muebles o inmuebles propiedad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2B5BB"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$270,614.24</w:t>
            </w:r>
          </w:p>
        </w:tc>
      </w:tr>
      <w:tr w:rsidR="00902337" w:rsidRPr="00335934" w14:paraId="7ED9C9E9"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D68913D"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4103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F98D6D5"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Comercio ambulante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68505"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645D3F7E"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423D939"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4300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E5110A2"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Derechos por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80825"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$332,266.48</w:t>
            </w:r>
          </w:p>
        </w:tc>
      </w:tr>
      <w:tr w:rsidR="00902337" w:rsidRPr="00335934" w14:paraId="63FD9295"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859AC9F"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4301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3404686"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Por servicios de limpia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E58B2"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592FF3E7"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1ED49E1"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4302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737F7DB"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Por servicios de panteones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C7277"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$54,398.24</w:t>
            </w:r>
          </w:p>
        </w:tc>
      </w:tr>
      <w:tr w:rsidR="00902337" w:rsidRPr="00335934" w14:paraId="4E4DBD5F"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FACD95C"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4303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51B5C3D"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Por servicios de rastro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E6461"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4BB67D05"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766C114"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4304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C09CE64"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Por servicios de seguridad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FC005"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531F7F39"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2E716BD"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4305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660160B"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Por servicios de transporte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A857B"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21240453"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A6088BE"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4306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46AD576"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Por servicios de tránsito y vialidad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BF432"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$2,271.36</w:t>
            </w:r>
          </w:p>
        </w:tc>
      </w:tr>
      <w:tr w:rsidR="00902337" w:rsidRPr="00335934" w14:paraId="2815349F"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DC695D4"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4307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66ED044"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Por servicios de 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88A0F"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14D99C46"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0908310"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lastRenderedPageBreak/>
              <w:t>4308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300EBB5"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Por servicios de salud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F51FF"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27D999F5"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B4CEDD6"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4309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14D24BA"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Por servicios de protección civil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6C253"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0F408D23"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1F4217F"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4310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DB5E8A4"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Por servicios de obra pública y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ABDCE"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$14,207.44</w:t>
            </w:r>
          </w:p>
        </w:tc>
      </w:tr>
      <w:tr w:rsidR="00902337" w:rsidRPr="00335934" w14:paraId="4704EA3B"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A733096"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4311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01BBF29"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Por servicios catastrales y prácticas de avalúos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16B79"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$5,948.80</w:t>
            </w:r>
          </w:p>
        </w:tc>
      </w:tr>
      <w:tr w:rsidR="00902337" w:rsidRPr="00335934" w14:paraId="478CA176"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29ABB38"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4312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50D0865"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Por servicios en materia de fraccionamientos y condominios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7D540"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41861DD7"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91B01F5"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4313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C271688"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Por la expedición de licencias o permisos para el establecimiento de anuncios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82312"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$6,552.00</w:t>
            </w:r>
          </w:p>
        </w:tc>
      </w:tr>
      <w:tr w:rsidR="00902337" w:rsidRPr="00335934" w14:paraId="5FE7DC05"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13392B4"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4314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28FD5D0"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Constancias de factibilidad para el funcionamiento de establecimientos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A5EE9"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6A4043B7"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CF0A1AD"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4315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6775F57"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Por servicios en materia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138E2"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1E693DD6"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E72A902"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4316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FCA9049"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Por la expedición de documentos, tales como: constancias, certificados, certificaciones y cartas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E2334"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$27,257.36</w:t>
            </w:r>
          </w:p>
        </w:tc>
      </w:tr>
      <w:tr w:rsidR="00902337" w:rsidRPr="00335934" w14:paraId="6070C323"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675FA35"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4317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70C9753"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Por pago de concesión, traspaso, cambios de giros en los mercados públicos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61D58"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03EC13B3"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0FAED74"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4318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5746FE2"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Por servicios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4E46E"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0DBBBC36"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2BC754C"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4319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2ECB215"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Por servicio de agua potable (servicio centralizado)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8C8CA"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$221,631.28</w:t>
            </w:r>
          </w:p>
        </w:tc>
      </w:tr>
      <w:tr w:rsidR="00902337" w:rsidRPr="00335934" w14:paraId="7113F7BB"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6301A63"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4320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E713FB4"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Por servicios de cultura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59A0E"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2CC722B2"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613A950"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4321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B531696"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Por 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65EFF"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7C47A4C0"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E8ADA22"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4322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FDF3187"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Por servicios de juventud y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BE688"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7A94A952"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388668A"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lastRenderedPageBreak/>
              <w:t>4323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2D2A1AA"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 xml:space="preserve">Por servicios que presta departamento/patronato de la Feria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0AEF4"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460AADCC"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430A819"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4400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9ADA3EB"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Otros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64A3C"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56618578"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2BA4853"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4401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F754A21"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Permisos por Eventos Públicos Locales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9B3BF"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44C317C0"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64A39B0"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4500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89400C3"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Accesorios de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DFB01"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$9,085.44</w:t>
            </w:r>
          </w:p>
        </w:tc>
      </w:tr>
      <w:tr w:rsidR="00902337" w:rsidRPr="00335934" w14:paraId="7999BAEC"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B72F80C"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4501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4A29463"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3845C"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$4,542.72</w:t>
            </w:r>
          </w:p>
        </w:tc>
      </w:tr>
      <w:tr w:rsidR="00902337" w:rsidRPr="00335934" w14:paraId="4917EF22"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9A4F988"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4502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9058B61"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0F231"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456E228E"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63DC112"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4503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A24A195"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Gasto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7CD5C"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$4,542.72</w:t>
            </w:r>
          </w:p>
        </w:tc>
      </w:tr>
      <w:tr w:rsidR="00902337" w:rsidRPr="00335934" w14:paraId="3B3F0165"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D307D26"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4900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83DF34C"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B71F1"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6EEC5972"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B25472B"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4901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02847C3"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5E986"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67508C11"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C306B36"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4902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88E001C"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Derechos por la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71800"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33C818D0"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1A60BD" w14:textId="77777777" w:rsidR="00902337" w:rsidRPr="00335934" w:rsidRDefault="00902337" w:rsidP="00335934">
            <w:pPr>
              <w:spacing w:line="240" w:lineRule="auto"/>
              <w:rPr>
                <w:rFonts w:ascii="Verdana" w:eastAsia="Times New Roman" w:hAnsi="Verdana" w:cs="Arial"/>
                <w:sz w:val="20"/>
                <w:szCs w:val="20"/>
              </w:rPr>
            </w:pPr>
            <w:r w:rsidRPr="00335934">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DF01A"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0ED30"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$1,703.52</w:t>
            </w:r>
          </w:p>
        </w:tc>
      </w:tr>
      <w:tr w:rsidR="00902337" w:rsidRPr="00335934" w14:paraId="4B91C635"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E6CBD41"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CA52A59"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679F6"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$1,703.52</w:t>
            </w:r>
          </w:p>
        </w:tc>
      </w:tr>
      <w:tr w:rsidR="00902337" w:rsidRPr="00335934" w14:paraId="0A47C66B"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26DB233"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55A2B4A"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B8AC6"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43725F31"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E93AD57"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26DE4D6"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08D87"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7AE256B1"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5BAC1E8"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8AD925C"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4AC49"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$1,703.52</w:t>
            </w:r>
          </w:p>
        </w:tc>
      </w:tr>
      <w:tr w:rsidR="00902337" w:rsidRPr="00335934" w14:paraId="2D68E458"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824ACF9"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lastRenderedPageBreak/>
              <w:t>5104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20CC339"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A115D"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40F2C14A"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C0CC95B"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195632E"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A9B40"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6AD5C766"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BEE0D6C"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685C466"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C4091"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7A3B1AC7"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64F9442"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5F779B9"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58E91"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3B4C74FA"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87F36C9"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3658579"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E6598"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041BB02D"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F305EED"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DB6AE91"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3F645"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2148D9F1"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427289" w14:textId="77777777" w:rsidR="00902337" w:rsidRPr="00335934" w:rsidRDefault="00902337" w:rsidP="00335934">
            <w:pPr>
              <w:spacing w:line="240" w:lineRule="auto"/>
              <w:rPr>
                <w:rFonts w:ascii="Verdana" w:eastAsia="Times New Roman" w:hAnsi="Verdana" w:cs="Arial"/>
                <w:sz w:val="20"/>
                <w:szCs w:val="20"/>
              </w:rPr>
            </w:pPr>
            <w:r w:rsidRPr="00335934">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0B07C"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F6029"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$127,595.05</w:t>
            </w:r>
          </w:p>
        </w:tc>
      </w:tr>
      <w:tr w:rsidR="00902337" w:rsidRPr="00335934" w14:paraId="4BBA098F"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2DDAC40"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6100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D25C17C"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C684B"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$127,595.05</w:t>
            </w:r>
          </w:p>
        </w:tc>
      </w:tr>
      <w:tr w:rsidR="00902337" w:rsidRPr="00335934" w14:paraId="1C5A334A"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B0D9B7A"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6101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41259B6"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Bases para licitación y movimientos padrones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84C0C"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$52,748.33</w:t>
            </w:r>
          </w:p>
        </w:tc>
      </w:tr>
      <w:tr w:rsidR="00902337" w:rsidRPr="00335934" w14:paraId="177F74E8"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B6E69EF"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6102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5E2DDAC"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Por arrastre y pensión de vehículos infraccionados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F063F"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2B2DCCBB"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FB4AFD7"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6103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1CA907E"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Donativos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5ECE4"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673AD9C9"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713FCF9"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6104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4DCAA88"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Indemnizaciones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70796"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$2,271.36</w:t>
            </w:r>
          </w:p>
        </w:tc>
      </w:tr>
      <w:tr w:rsidR="00902337" w:rsidRPr="00335934" w14:paraId="39E194CA"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7C1DB1F"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6105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3000BB4"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Sanciones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DD141"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$2,271.36</w:t>
            </w:r>
          </w:p>
        </w:tc>
      </w:tr>
      <w:tr w:rsidR="00902337" w:rsidRPr="00335934" w14:paraId="6E7FD40B"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E15CBB2"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6106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5343BFD"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Multas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E27F5"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$70,304.00</w:t>
            </w:r>
          </w:p>
        </w:tc>
      </w:tr>
      <w:tr w:rsidR="00902337" w:rsidRPr="00335934" w14:paraId="33FF5886"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8F69585"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6107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6D2DBF7"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Otros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D8BF7"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776031F7"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5F3E5B1"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lastRenderedPageBreak/>
              <w:t>6108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8BFAF69"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Reintegros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92F80"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50E8B329"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069C339"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6109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4732A2A"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Refrendo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55989"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60637515"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A2E164C"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6110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51A1264"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Fiscalización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04351"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2D50420A"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28F8DCE"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6111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83FF63F"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Derechos en materia de placas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6A3A2"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5D40FB8F"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B023858"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6112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F388972"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Impuesto por Servicios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DAF75"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2238D72C"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0FF97E9"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6113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8737BE5"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Multas administrativas estatales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4C726"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3C9DD1FD"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9A368B4"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6200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CF4CAAA"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Aprovechamientos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F863E"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2DCC42C8"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D8DAC1B"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6300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F104F71"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Accesorios de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46E66"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28E7AC55"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02AB2B9"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6301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117224C"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B9532"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1BFDC747"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ACAF472"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6302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710A2C4"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0FB85"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56A8594E"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1D2BDD7"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6900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CC9D326"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61DF7"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571FE194"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76F79B" w14:textId="77777777" w:rsidR="00902337" w:rsidRPr="00335934" w:rsidRDefault="00902337" w:rsidP="00335934">
            <w:pPr>
              <w:spacing w:line="240" w:lineRule="auto"/>
              <w:rPr>
                <w:rFonts w:ascii="Verdana" w:eastAsia="Times New Roman" w:hAnsi="Verdana" w:cs="Arial"/>
                <w:sz w:val="20"/>
                <w:szCs w:val="20"/>
              </w:rPr>
            </w:pPr>
            <w:r w:rsidRPr="00335934">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5A8DC"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BD890"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0305941C"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1DDFBA" w14:textId="77777777" w:rsidR="00902337" w:rsidRPr="00335934" w:rsidRDefault="00902337" w:rsidP="00335934">
            <w:pPr>
              <w:spacing w:line="240" w:lineRule="auto"/>
              <w:rPr>
                <w:rFonts w:ascii="Verdana" w:eastAsia="Times New Roman" w:hAnsi="Verdana" w:cs="Arial"/>
                <w:sz w:val="20"/>
                <w:szCs w:val="20"/>
              </w:rPr>
            </w:pPr>
            <w:r w:rsidRPr="00335934">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CD129"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115FF"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$105,896,486.46</w:t>
            </w:r>
          </w:p>
        </w:tc>
      </w:tr>
      <w:tr w:rsidR="00902337" w:rsidRPr="00335934" w14:paraId="1BCA9CF1"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80F99B1"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8100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987D286"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44A7E"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$65,118,943.76</w:t>
            </w:r>
          </w:p>
        </w:tc>
      </w:tr>
      <w:tr w:rsidR="00902337" w:rsidRPr="00335934" w14:paraId="54A1948D"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6F382DF"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8101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6F07D22"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Fondo general de 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D25D7"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$25,896,000.00</w:t>
            </w:r>
          </w:p>
        </w:tc>
      </w:tr>
      <w:tr w:rsidR="00902337" w:rsidRPr="00335934" w14:paraId="50C547FB"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5CCD131"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8102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D823B30"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Fondo de fomento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579F9"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$34,989,760.00</w:t>
            </w:r>
          </w:p>
        </w:tc>
      </w:tr>
      <w:tr w:rsidR="00902337" w:rsidRPr="00335934" w14:paraId="261BE184"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B675235"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lastRenderedPageBreak/>
              <w:t>8103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5C995EC"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Fondo de fiscalización y recaudación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929F8"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$281,432.32</w:t>
            </w:r>
          </w:p>
        </w:tc>
      </w:tr>
      <w:tr w:rsidR="00902337" w:rsidRPr="00335934" w14:paraId="65025949"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6A7574D"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8104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CCCF05A"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Impuesto especial sobre producción y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D7C32"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$2,124,419.44</w:t>
            </w:r>
          </w:p>
        </w:tc>
      </w:tr>
      <w:tr w:rsidR="00902337" w:rsidRPr="00335934" w14:paraId="724C0CD2"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6283E88"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8105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0F3A84B"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IEPS a la venta final de gasolina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C2AA0"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4701FB55"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A94C62E"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8106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883B025"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Fondo ISR participable (artículo 3-B LCF)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968B0"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$1,827,332.00</w:t>
            </w:r>
          </w:p>
        </w:tc>
      </w:tr>
      <w:tr w:rsidR="00902337" w:rsidRPr="00335934" w14:paraId="7206796D"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213CC17"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8200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C894A86"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CCB0C"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$39,823,957.43</w:t>
            </w:r>
          </w:p>
        </w:tc>
      </w:tr>
      <w:tr w:rsidR="00902337" w:rsidRPr="00335934" w14:paraId="415D31ED"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D6D445A"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8201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3E43757"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Fondo para la infraestructura social municipal (FAISM)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BEE2E"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$29,443,775.00</w:t>
            </w:r>
          </w:p>
        </w:tc>
      </w:tr>
      <w:tr w:rsidR="00902337" w:rsidRPr="00335934" w14:paraId="25B37EE6"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F513B6C"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8202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A616E68"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Fondo de aportaciones para el fortalecimientos de los municipios (FORTAMUN)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57341"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$10,380,182.43</w:t>
            </w:r>
          </w:p>
        </w:tc>
      </w:tr>
      <w:tr w:rsidR="00902337" w:rsidRPr="00335934" w14:paraId="31571DEB"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21801D0"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8300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E0A749D"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85BD1"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23CC3FA7"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62394AA"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8301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E0B24DC"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1E35E"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15EA819B"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DB2AD7A"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8302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AB609EB"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Intereses de 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76C17"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698F950B"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07AC337"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8303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09FFFC0"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362BB"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2433EDDE"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455C39A"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8304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93DC769"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Intereses de 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7C02A"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1F079506"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739129F"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8305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38C47B5"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7E4F7"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5BED88CE"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0ECD0FD"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8306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81A2A2B"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Intereses de 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06633"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4EFF9B76"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2A639ED"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8307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E0912EF"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852DC"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7E0A906B"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EFBDA08"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8308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EE8286A"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Intereses de 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35D9A"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071F5E9A"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65350E7"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lastRenderedPageBreak/>
              <w:t>8309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553ADD1"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02D87"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2B4752EF"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97CE328"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8310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7234BA0"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Intereses de 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907A7"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151070CE"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A455651"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8400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10D43D0"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Incentivos derivados de la colaboración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F22A1"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$953,585.27</w:t>
            </w:r>
          </w:p>
        </w:tc>
      </w:tr>
      <w:tr w:rsidR="00902337" w:rsidRPr="00335934" w14:paraId="4F0B32EC"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2C446A9"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8401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ED7813C"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Impuesto sobre tenencia o uso de vehículos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5AB59"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$1,114.88</w:t>
            </w:r>
          </w:p>
        </w:tc>
      </w:tr>
      <w:tr w:rsidR="00902337" w:rsidRPr="00335934" w14:paraId="0E0D7B83"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BAD6D69"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8402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74B41A4"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Fondo de compensación ISAN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20B05"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$67,600.00</w:t>
            </w:r>
          </w:p>
        </w:tc>
      </w:tr>
      <w:tr w:rsidR="00902337" w:rsidRPr="00335934" w14:paraId="28724551"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6480903"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8403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48E8951"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Impuesto sobre automóviles nuevos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69801"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$376,259.25</w:t>
            </w:r>
          </w:p>
        </w:tc>
      </w:tr>
      <w:tr w:rsidR="00902337" w:rsidRPr="00335934" w14:paraId="293CF722"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2D9FE15"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8404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FF5344F"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ISR por la enajenación de bienes inmuebles (Art. 126 LISR)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49BE2"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$273,269.85</w:t>
            </w:r>
          </w:p>
        </w:tc>
      </w:tr>
      <w:tr w:rsidR="00902337" w:rsidRPr="00335934" w14:paraId="51006D98"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2E19883"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8405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3A4A62B"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Alcoholes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78B87"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5F7F12B9"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87938DD"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8406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D872530"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Impuesto a la venta final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A9767"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08F29A3D"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8FE27EA"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8407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94DF448"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Régimen de Incorporación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13170"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1AEC8572"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E13D613"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8408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A086E6B"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Multas administrativas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0DEB4"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4C118629"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EC8292C"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8409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FE0771E"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IEPS Gasolinas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696BC"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$235,341.29</w:t>
            </w:r>
          </w:p>
        </w:tc>
      </w:tr>
      <w:tr w:rsidR="00902337" w:rsidRPr="00335934" w14:paraId="57A1FB3C"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754A0E5"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8410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4AD4E66"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Impuesto por Servicio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59DC2"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4B83A2FA"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C300BE1"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8500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A44A3D5"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E0E34"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4EB64E65"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410329B"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8501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C72195B"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Fondo para entidades federativas y municipios productores de hidrocarburos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3A8FA"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766B6E1D"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2EA4EC9"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8502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1DD438C"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Fondo para el desarrollo regional sustentable de estados y municipios mineros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51320"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77D78E4B"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6C5748" w14:textId="77777777" w:rsidR="00902337" w:rsidRPr="00335934" w:rsidRDefault="00902337" w:rsidP="00335934">
            <w:pPr>
              <w:spacing w:line="240" w:lineRule="auto"/>
              <w:rPr>
                <w:rFonts w:ascii="Verdana" w:eastAsia="Times New Roman" w:hAnsi="Verdana" w:cs="Arial"/>
                <w:sz w:val="20"/>
                <w:szCs w:val="20"/>
              </w:rPr>
            </w:pPr>
            <w:r w:rsidRPr="00335934">
              <w:rPr>
                <w:rFonts w:ascii="Verdana" w:eastAsia="Times New Roman" w:hAnsi="Verdana" w:cs="Arial"/>
                <w:sz w:val="20"/>
                <w:szCs w:val="20"/>
              </w:rPr>
              <w:lastRenderedPageBreak/>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D2BA9"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0EFAD"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$23,196,596.05</w:t>
            </w:r>
          </w:p>
        </w:tc>
      </w:tr>
      <w:tr w:rsidR="00902337" w:rsidRPr="00335934" w14:paraId="313B8B15"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37ADA45"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B1448D5"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ADCF6"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$23,196,596.05</w:t>
            </w:r>
          </w:p>
        </w:tc>
      </w:tr>
      <w:tr w:rsidR="00902337" w:rsidRPr="00335934" w14:paraId="737FFB26"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4536391"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E1FA1B2"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AF258"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$128,180.05</w:t>
            </w:r>
          </w:p>
        </w:tc>
      </w:tr>
      <w:tr w:rsidR="00902337" w:rsidRPr="00335934" w14:paraId="39D515DB"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FD2D133"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5B056B0"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A6A83"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$23,068,416.00</w:t>
            </w:r>
          </w:p>
        </w:tc>
      </w:tr>
      <w:tr w:rsidR="00902337" w:rsidRPr="00335934" w14:paraId="320D0A00"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EB44C8C"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5E97678"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2AABF"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416D459F"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94566B6"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6821D40"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8DE84"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291632CE"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814AC2C"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C1DCB6E"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224AF"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17060254"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3A7CB85"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737A07B"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46F7D"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773D6F5B"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C9403EA"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5671913"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9CB6A"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5DCD0A19"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AE5EBB3"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18FEC66"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CCBA2"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341FA042"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E0951DA"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695D9D5"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29EB7"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249D8950"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C53CC48"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5D0CADB"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3388E"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r w:rsidR="00902337" w:rsidRPr="00335934" w14:paraId="7A11A5E9"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A980DA" w14:textId="77777777" w:rsidR="00902337" w:rsidRPr="00335934" w:rsidRDefault="00902337" w:rsidP="00335934">
            <w:pPr>
              <w:spacing w:line="240" w:lineRule="auto"/>
              <w:rPr>
                <w:rFonts w:ascii="Verdana" w:eastAsia="Times New Roman" w:hAnsi="Verdana" w:cs="Arial"/>
                <w:sz w:val="20"/>
                <w:szCs w:val="20"/>
              </w:rPr>
            </w:pPr>
            <w:r w:rsidRPr="00335934">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10D46"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72DB8"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bl>
    <w:p w14:paraId="1216D316" w14:textId="77777777" w:rsidR="00902337" w:rsidRPr="00335934" w:rsidRDefault="00902337" w:rsidP="00335934">
      <w:pPr>
        <w:pStyle w:val="NormalWeb"/>
        <w:jc w:val="both"/>
        <w:rPr>
          <w:rFonts w:ascii="Verdana" w:hAnsi="Verdana"/>
          <w:sz w:val="20"/>
          <w:szCs w:val="20"/>
        </w:rPr>
      </w:pPr>
      <w:r w:rsidRPr="00335934">
        <w:rPr>
          <w:rFonts w:ascii="Verdana" w:hAnsi="Verdana"/>
          <w:sz w:val="20"/>
          <w:szCs w:val="20"/>
        </w:rPr>
        <w:tab/>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10ACA306" w14:textId="77777777" w:rsidR="00902337" w:rsidRPr="00335934" w:rsidRDefault="00902337" w:rsidP="00335934">
      <w:pPr>
        <w:spacing w:line="240" w:lineRule="auto"/>
        <w:jc w:val="both"/>
        <w:rPr>
          <w:rFonts w:ascii="Verdana" w:eastAsia="Times New Roman" w:hAnsi="Verdana" w:cs="Arial"/>
          <w:sz w:val="20"/>
          <w:szCs w:val="20"/>
        </w:rPr>
      </w:pPr>
      <w:r w:rsidRPr="00335934">
        <w:rPr>
          <w:rStyle w:val="Textoennegrita"/>
          <w:rFonts w:ascii="Verdana" w:hAnsi="Verdana" w:cs="Arial"/>
          <w:sz w:val="20"/>
          <w:szCs w:val="20"/>
        </w:rPr>
        <w:tab/>
        <w:t>Artículo 2</w:t>
      </w:r>
      <w:r w:rsidRPr="00335934">
        <w:rPr>
          <w:rFonts w:ascii="Verdana" w:eastAsia="Times New Roman" w:hAnsi="Verdana" w:cs="Arial"/>
          <w:sz w:val="20"/>
          <w:szCs w:val="20"/>
        </w:rPr>
        <w:t>.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w:t>
      </w:r>
    </w:p>
    <w:p w14:paraId="1F2AD220" w14:textId="77777777" w:rsidR="00902337" w:rsidRPr="00335934" w:rsidRDefault="00902337" w:rsidP="00335934">
      <w:pPr>
        <w:spacing w:line="240" w:lineRule="auto"/>
        <w:jc w:val="center"/>
        <w:rPr>
          <w:rFonts w:ascii="Verdana" w:eastAsia="Times New Roman" w:hAnsi="Verdana" w:cs="Arial"/>
          <w:b/>
          <w:bCs/>
          <w:sz w:val="20"/>
          <w:szCs w:val="20"/>
        </w:rPr>
      </w:pPr>
      <w:r w:rsidRPr="00335934">
        <w:rPr>
          <w:rFonts w:ascii="Verdana" w:eastAsia="Times New Roman" w:hAnsi="Verdana" w:cs="Arial"/>
          <w:b/>
          <w:bCs/>
          <w:sz w:val="20"/>
          <w:szCs w:val="20"/>
        </w:rPr>
        <w:lastRenderedPageBreak/>
        <w:t>CAPÍTULO SEGUNDO</w:t>
      </w:r>
      <w:r w:rsidRPr="00335934">
        <w:rPr>
          <w:rFonts w:ascii="Verdana" w:eastAsia="Times New Roman" w:hAnsi="Verdana" w:cs="Arial"/>
          <w:b/>
          <w:bCs/>
          <w:sz w:val="20"/>
          <w:szCs w:val="20"/>
        </w:rPr>
        <w:br/>
        <w:t xml:space="preserve">CONCEPTOS DE INGRESOS </w:t>
      </w:r>
    </w:p>
    <w:p w14:paraId="4E5BCBB1" w14:textId="77777777" w:rsidR="00902337" w:rsidRPr="00335934" w:rsidRDefault="00902337" w:rsidP="00335934">
      <w:pPr>
        <w:spacing w:line="240" w:lineRule="auto"/>
        <w:jc w:val="both"/>
        <w:rPr>
          <w:rFonts w:ascii="Verdana" w:eastAsia="Times New Roman" w:hAnsi="Verdana" w:cs="Arial"/>
          <w:sz w:val="20"/>
          <w:szCs w:val="20"/>
        </w:rPr>
      </w:pPr>
      <w:r w:rsidRPr="00335934">
        <w:rPr>
          <w:rStyle w:val="Textoennegrita"/>
          <w:rFonts w:ascii="Verdana" w:hAnsi="Verdana" w:cs="Arial"/>
          <w:sz w:val="20"/>
          <w:szCs w:val="20"/>
        </w:rPr>
        <w:tab/>
        <w:t>Artículo 3</w:t>
      </w:r>
      <w:r w:rsidRPr="00335934">
        <w:rPr>
          <w:rFonts w:ascii="Verdana" w:eastAsia="Times New Roman" w:hAnsi="Verdana" w:cs="Arial"/>
          <w:sz w:val="20"/>
          <w:szCs w:val="20"/>
        </w:rPr>
        <w:t>. La Hacienda Pública del Municipio de Xichú, Guanajuato, percibirá los ingresos ordinarios y extraordinarios de conformidad con lo dispuesto por esta Ley y la Ley de Hacienda para los Municipios del Estado de Guanajuato.</w:t>
      </w:r>
    </w:p>
    <w:p w14:paraId="27FE6EA8" w14:textId="77777777" w:rsidR="00335934" w:rsidRDefault="00335934" w:rsidP="00335934">
      <w:pPr>
        <w:pStyle w:val="Sinespaciado"/>
      </w:pPr>
    </w:p>
    <w:p w14:paraId="128E42DD" w14:textId="6A9317A1" w:rsidR="00902337" w:rsidRPr="00335934" w:rsidRDefault="00902337" w:rsidP="00335934">
      <w:pPr>
        <w:spacing w:line="240" w:lineRule="auto"/>
        <w:jc w:val="center"/>
        <w:rPr>
          <w:rFonts w:ascii="Verdana" w:eastAsia="Times New Roman" w:hAnsi="Verdana" w:cs="Arial"/>
          <w:b/>
          <w:bCs/>
          <w:sz w:val="20"/>
          <w:szCs w:val="20"/>
        </w:rPr>
      </w:pPr>
      <w:r w:rsidRPr="00335934">
        <w:rPr>
          <w:rFonts w:ascii="Verdana" w:eastAsia="Times New Roman" w:hAnsi="Verdana" w:cs="Arial"/>
          <w:b/>
          <w:bCs/>
          <w:sz w:val="20"/>
          <w:szCs w:val="20"/>
        </w:rPr>
        <w:t>CAPÍTULO TERCERO</w:t>
      </w:r>
      <w:r w:rsidRPr="00335934">
        <w:rPr>
          <w:rFonts w:ascii="Verdana" w:eastAsia="Times New Roman" w:hAnsi="Verdana" w:cs="Arial"/>
          <w:b/>
          <w:bCs/>
          <w:sz w:val="20"/>
          <w:szCs w:val="20"/>
        </w:rPr>
        <w:br/>
        <w:t xml:space="preserve">IMPUESTOS </w:t>
      </w:r>
    </w:p>
    <w:p w14:paraId="1E1B6B32" w14:textId="77777777" w:rsidR="00902337" w:rsidRPr="00335934" w:rsidRDefault="00902337" w:rsidP="00335934">
      <w:pPr>
        <w:spacing w:line="240" w:lineRule="auto"/>
        <w:jc w:val="center"/>
        <w:rPr>
          <w:rStyle w:val="Textoennegrita"/>
          <w:rFonts w:ascii="Verdana" w:hAnsi="Verdana" w:cs="Arial"/>
          <w:sz w:val="20"/>
          <w:szCs w:val="20"/>
        </w:rPr>
      </w:pPr>
      <w:r w:rsidRPr="00335934">
        <w:rPr>
          <w:rStyle w:val="Textoennegrita"/>
          <w:rFonts w:ascii="Verdana" w:hAnsi="Verdana" w:cs="Arial"/>
          <w:sz w:val="20"/>
          <w:szCs w:val="20"/>
        </w:rPr>
        <w:t>SECCIÓN PRIMERA</w:t>
      </w:r>
      <w:r w:rsidRPr="00335934">
        <w:rPr>
          <w:rFonts w:ascii="Verdana" w:eastAsia="Times New Roman" w:hAnsi="Verdana" w:cs="Arial"/>
          <w:b/>
          <w:bCs/>
          <w:sz w:val="20"/>
          <w:szCs w:val="20"/>
        </w:rPr>
        <w:br/>
      </w:r>
      <w:r w:rsidRPr="00335934">
        <w:rPr>
          <w:rStyle w:val="Textoennegrita"/>
          <w:rFonts w:ascii="Verdana" w:hAnsi="Verdana" w:cs="Arial"/>
          <w:sz w:val="20"/>
          <w:szCs w:val="20"/>
        </w:rPr>
        <w:t>IMPUESTO PREDIAL</w:t>
      </w:r>
    </w:p>
    <w:p w14:paraId="29805BA5" w14:textId="77777777" w:rsidR="00902337" w:rsidRPr="00335934" w:rsidRDefault="00902337" w:rsidP="00335934">
      <w:pPr>
        <w:spacing w:line="240" w:lineRule="auto"/>
        <w:jc w:val="both"/>
        <w:rPr>
          <w:rFonts w:ascii="Verdana" w:eastAsia="Times New Roman" w:hAnsi="Verdana" w:cs="Arial"/>
          <w:sz w:val="20"/>
          <w:szCs w:val="20"/>
        </w:rPr>
      </w:pPr>
      <w:r w:rsidRPr="00335934">
        <w:rPr>
          <w:rStyle w:val="Textoennegrita"/>
          <w:rFonts w:ascii="Verdana" w:hAnsi="Verdana" w:cs="Arial"/>
          <w:sz w:val="20"/>
          <w:szCs w:val="20"/>
        </w:rPr>
        <w:tab/>
        <w:t>Artículo 4</w:t>
      </w:r>
      <w:r w:rsidRPr="00335934">
        <w:rPr>
          <w:rFonts w:ascii="Verdana" w:eastAsia="Times New Roman" w:hAnsi="Verdana" w:cs="Arial"/>
          <w:sz w:val="20"/>
          <w:szCs w:val="20"/>
        </w:rPr>
        <w:t>. El impuesto predial se causará y liquidará anualmente conforme a las siguientes:</w:t>
      </w:r>
    </w:p>
    <w:p w14:paraId="3C4897FE" w14:textId="77777777" w:rsidR="00902337" w:rsidRPr="00335934" w:rsidRDefault="00902337" w:rsidP="00335934">
      <w:pPr>
        <w:pStyle w:val="NormalWeb"/>
        <w:jc w:val="center"/>
        <w:rPr>
          <w:rFonts w:ascii="Verdana" w:hAnsi="Verdana"/>
          <w:b/>
          <w:bCs/>
          <w:sz w:val="20"/>
          <w:szCs w:val="20"/>
        </w:rPr>
      </w:pPr>
      <w:r w:rsidRPr="00335934">
        <w:rPr>
          <w:rFonts w:ascii="Verdana" w:hAnsi="Verdana"/>
          <w:b/>
          <w:bCs/>
          <w:sz w:val="20"/>
          <w:szCs w:val="20"/>
        </w:rPr>
        <w:t>TASAS</w:t>
      </w:r>
    </w:p>
    <w:tbl>
      <w:tblPr>
        <w:tblW w:w="91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244"/>
        <w:gridCol w:w="2151"/>
        <w:gridCol w:w="1716"/>
      </w:tblGrid>
      <w:tr w:rsidR="00902337" w:rsidRPr="00335934" w14:paraId="53A686D8" w14:textId="77777777" w:rsidTr="006B6132">
        <w:trPr>
          <w:cantSplit/>
        </w:trPr>
        <w:tc>
          <w:tcPr>
            <w:tcW w:w="3060" w:type="dxa"/>
            <w:vMerge w:val="restart"/>
            <w:tcBorders>
              <w:top w:val="single" w:sz="4" w:space="0" w:color="auto"/>
              <w:left w:val="single" w:sz="4" w:space="0" w:color="auto"/>
              <w:bottom w:val="single" w:sz="4" w:space="0" w:color="auto"/>
              <w:right w:val="single" w:sz="4" w:space="0" w:color="auto"/>
            </w:tcBorders>
            <w:vAlign w:val="center"/>
          </w:tcPr>
          <w:p w14:paraId="47FBB6F3" w14:textId="77777777" w:rsidR="00902337" w:rsidRPr="00335934" w:rsidRDefault="00902337" w:rsidP="00335934">
            <w:pPr>
              <w:spacing w:line="240" w:lineRule="auto"/>
              <w:jc w:val="center"/>
              <w:rPr>
                <w:rFonts w:ascii="Verdana" w:hAnsi="Verdana" w:cs="Arial"/>
                <w:sz w:val="20"/>
                <w:szCs w:val="20"/>
              </w:rPr>
            </w:pPr>
            <w:r w:rsidRPr="00335934">
              <w:rPr>
                <w:rFonts w:ascii="Verdana" w:hAnsi="Verdana" w:cs="Arial"/>
                <w:sz w:val="20"/>
                <w:szCs w:val="20"/>
              </w:rPr>
              <w:t>Los inmuebles que cuenten con un valor determinado o modificado:</w:t>
            </w:r>
          </w:p>
        </w:tc>
        <w:tc>
          <w:tcPr>
            <w:tcW w:w="4395" w:type="dxa"/>
            <w:gridSpan w:val="2"/>
            <w:tcBorders>
              <w:top w:val="single" w:sz="4" w:space="0" w:color="auto"/>
              <w:left w:val="single" w:sz="4" w:space="0" w:color="auto"/>
              <w:bottom w:val="single" w:sz="4" w:space="0" w:color="auto"/>
              <w:right w:val="single" w:sz="4" w:space="0" w:color="auto"/>
            </w:tcBorders>
            <w:vAlign w:val="center"/>
          </w:tcPr>
          <w:p w14:paraId="1EA673A7" w14:textId="77777777" w:rsidR="00902337" w:rsidRPr="00335934" w:rsidRDefault="00902337" w:rsidP="00335934">
            <w:pPr>
              <w:spacing w:line="240" w:lineRule="auto"/>
              <w:jc w:val="center"/>
              <w:rPr>
                <w:rFonts w:ascii="Verdana" w:hAnsi="Verdana" w:cs="Arial"/>
                <w:sz w:val="20"/>
                <w:szCs w:val="20"/>
              </w:rPr>
            </w:pPr>
            <w:r w:rsidRPr="00335934">
              <w:rPr>
                <w:rFonts w:ascii="Verdana" w:hAnsi="Verdana" w:cs="Arial"/>
                <w:sz w:val="20"/>
                <w:szCs w:val="20"/>
              </w:rPr>
              <w:t>Inmuebles urbanos y suburbanos</w:t>
            </w:r>
          </w:p>
        </w:tc>
        <w:tc>
          <w:tcPr>
            <w:tcW w:w="1716" w:type="dxa"/>
            <w:vMerge w:val="restart"/>
            <w:tcBorders>
              <w:top w:val="single" w:sz="4" w:space="0" w:color="auto"/>
              <w:left w:val="single" w:sz="4" w:space="0" w:color="auto"/>
              <w:bottom w:val="single" w:sz="4" w:space="0" w:color="auto"/>
              <w:right w:val="single" w:sz="4" w:space="0" w:color="auto"/>
            </w:tcBorders>
            <w:vAlign w:val="center"/>
          </w:tcPr>
          <w:p w14:paraId="72AF8C4E" w14:textId="77777777" w:rsidR="00902337" w:rsidRPr="00335934" w:rsidRDefault="00902337" w:rsidP="00335934">
            <w:pPr>
              <w:spacing w:line="240" w:lineRule="auto"/>
              <w:jc w:val="center"/>
              <w:rPr>
                <w:rFonts w:ascii="Verdana" w:hAnsi="Verdana" w:cs="Arial"/>
                <w:sz w:val="20"/>
                <w:szCs w:val="20"/>
              </w:rPr>
            </w:pPr>
            <w:r w:rsidRPr="00335934">
              <w:rPr>
                <w:rFonts w:ascii="Verdana" w:hAnsi="Verdana" w:cs="Arial"/>
                <w:sz w:val="20"/>
                <w:szCs w:val="20"/>
              </w:rPr>
              <w:t>Inmuebles rústicos</w:t>
            </w:r>
          </w:p>
        </w:tc>
      </w:tr>
      <w:tr w:rsidR="00902337" w:rsidRPr="00335934" w14:paraId="35D2633E" w14:textId="77777777" w:rsidTr="006B6132">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368FE5B6" w14:textId="77777777" w:rsidR="00902337" w:rsidRPr="00335934" w:rsidRDefault="00902337" w:rsidP="00335934">
            <w:pPr>
              <w:spacing w:line="240" w:lineRule="auto"/>
              <w:jc w:val="center"/>
              <w:rPr>
                <w:rFonts w:ascii="Verdana" w:hAnsi="Verdana" w:cs="Arial"/>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14:paraId="496C3768" w14:textId="77777777" w:rsidR="00902337" w:rsidRPr="00335934" w:rsidRDefault="00902337" w:rsidP="00335934">
            <w:pPr>
              <w:spacing w:line="240" w:lineRule="auto"/>
              <w:jc w:val="center"/>
              <w:rPr>
                <w:rFonts w:ascii="Verdana" w:hAnsi="Verdana" w:cs="Arial"/>
                <w:sz w:val="20"/>
                <w:szCs w:val="20"/>
              </w:rPr>
            </w:pPr>
            <w:r w:rsidRPr="00335934">
              <w:rPr>
                <w:rFonts w:ascii="Verdana" w:hAnsi="Verdana" w:cs="Arial"/>
                <w:sz w:val="20"/>
                <w:szCs w:val="20"/>
              </w:rPr>
              <w:t>Con edificaciones</w:t>
            </w:r>
          </w:p>
        </w:tc>
        <w:tc>
          <w:tcPr>
            <w:tcW w:w="2151" w:type="dxa"/>
            <w:tcBorders>
              <w:top w:val="single" w:sz="4" w:space="0" w:color="auto"/>
              <w:left w:val="single" w:sz="4" w:space="0" w:color="auto"/>
              <w:bottom w:val="single" w:sz="4" w:space="0" w:color="auto"/>
              <w:right w:val="single" w:sz="4" w:space="0" w:color="auto"/>
            </w:tcBorders>
            <w:vAlign w:val="center"/>
          </w:tcPr>
          <w:p w14:paraId="579664C6" w14:textId="77777777" w:rsidR="00902337" w:rsidRPr="00335934" w:rsidRDefault="00902337" w:rsidP="00335934">
            <w:pPr>
              <w:spacing w:line="240" w:lineRule="auto"/>
              <w:jc w:val="center"/>
              <w:rPr>
                <w:rFonts w:ascii="Verdana" w:hAnsi="Verdana" w:cs="Arial"/>
                <w:sz w:val="20"/>
                <w:szCs w:val="20"/>
              </w:rPr>
            </w:pPr>
            <w:r w:rsidRPr="00335934">
              <w:rPr>
                <w:rFonts w:ascii="Verdana" w:hAnsi="Verdana" w:cs="Arial"/>
                <w:sz w:val="20"/>
                <w:szCs w:val="20"/>
              </w:rPr>
              <w:t>Sin edificaciones</w:t>
            </w:r>
          </w:p>
        </w:tc>
        <w:tc>
          <w:tcPr>
            <w:tcW w:w="1716" w:type="dxa"/>
            <w:vMerge/>
            <w:tcBorders>
              <w:top w:val="single" w:sz="4" w:space="0" w:color="auto"/>
              <w:left w:val="single" w:sz="4" w:space="0" w:color="auto"/>
              <w:bottom w:val="single" w:sz="4" w:space="0" w:color="auto"/>
              <w:right w:val="single" w:sz="4" w:space="0" w:color="auto"/>
            </w:tcBorders>
            <w:vAlign w:val="center"/>
          </w:tcPr>
          <w:p w14:paraId="3FA4F185" w14:textId="77777777" w:rsidR="00902337" w:rsidRPr="00335934" w:rsidRDefault="00902337" w:rsidP="00335934">
            <w:pPr>
              <w:spacing w:line="240" w:lineRule="auto"/>
              <w:jc w:val="center"/>
              <w:rPr>
                <w:rFonts w:ascii="Verdana" w:hAnsi="Verdana" w:cs="Arial"/>
                <w:sz w:val="20"/>
                <w:szCs w:val="20"/>
              </w:rPr>
            </w:pPr>
          </w:p>
        </w:tc>
      </w:tr>
      <w:tr w:rsidR="00902337" w:rsidRPr="00335934" w14:paraId="5BE74D72" w14:textId="77777777" w:rsidTr="006B6132">
        <w:tc>
          <w:tcPr>
            <w:tcW w:w="3060" w:type="dxa"/>
            <w:tcBorders>
              <w:top w:val="single" w:sz="4" w:space="0" w:color="auto"/>
              <w:left w:val="single" w:sz="4" w:space="0" w:color="auto"/>
              <w:bottom w:val="single" w:sz="4" w:space="0" w:color="auto"/>
              <w:right w:val="single" w:sz="4" w:space="0" w:color="auto"/>
            </w:tcBorders>
            <w:vAlign w:val="center"/>
          </w:tcPr>
          <w:p w14:paraId="633618E3" w14:textId="77777777" w:rsidR="00902337" w:rsidRPr="00335934" w:rsidRDefault="00902337" w:rsidP="00335934">
            <w:pPr>
              <w:spacing w:line="240" w:lineRule="auto"/>
              <w:jc w:val="both"/>
              <w:rPr>
                <w:rFonts w:ascii="Verdana" w:hAnsi="Verdana" w:cs="Arial"/>
                <w:sz w:val="20"/>
                <w:szCs w:val="20"/>
              </w:rPr>
            </w:pPr>
            <w:r w:rsidRPr="00335934">
              <w:rPr>
                <w:rFonts w:ascii="Verdana" w:hAnsi="Verdana" w:cs="Arial"/>
                <w:b/>
                <w:sz w:val="20"/>
                <w:szCs w:val="20"/>
              </w:rPr>
              <w:t>1.</w:t>
            </w:r>
            <w:r w:rsidRPr="00335934">
              <w:rPr>
                <w:rFonts w:ascii="Verdana" w:hAnsi="Verdana" w:cs="Arial"/>
                <w:sz w:val="20"/>
                <w:szCs w:val="20"/>
              </w:rPr>
              <w:t xml:space="preserve"> A la entrada en vigor de la presente Ley:</w:t>
            </w:r>
          </w:p>
        </w:tc>
        <w:tc>
          <w:tcPr>
            <w:tcW w:w="2244" w:type="dxa"/>
            <w:tcBorders>
              <w:top w:val="single" w:sz="4" w:space="0" w:color="auto"/>
              <w:left w:val="single" w:sz="4" w:space="0" w:color="auto"/>
              <w:bottom w:val="single" w:sz="4" w:space="0" w:color="auto"/>
              <w:right w:val="single" w:sz="4" w:space="0" w:color="auto"/>
            </w:tcBorders>
            <w:vAlign w:val="center"/>
          </w:tcPr>
          <w:p w14:paraId="2D65B4BA" w14:textId="77777777" w:rsidR="00902337" w:rsidRPr="00335934" w:rsidRDefault="00902337" w:rsidP="00335934">
            <w:pPr>
              <w:spacing w:line="240" w:lineRule="auto"/>
              <w:jc w:val="center"/>
              <w:rPr>
                <w:rFonts w:ascii="Verdana" w:hAnsi="Verdana" w:cs="Arial"/>
                <w:sz w:val="20"/>
                <w:szCs w:val="20"/>
              </w:rPr>
            </w:pPr>
            <w:r w:rsidRPr="00335934">
              <w:rPr>
                <w:rFonts w:ascii="Verdana" w:hAnsi="Verdana" w:cs="Arial"/>
                <w:sz w:val="20"/>
                <w:szCs w:val="20"/>
              </w:rPr>
              <w:t>2.4 al millar</w:t>
            </w:r>
          </w:p>
        </w:tc>
        <w:tc>
          <w:tcPr>
            <w:tcW w:w="2151" w:type="dxa"/>
            <w:tcBorders>
              <w:top w:val="single" w:sz="4" w:space="0" w:color="auto"/>
              <w:left w:val="single" w:sz="4" w:space="0" w:color="auto"/>
              <w:bottom w:val="single" w:sz="4" w:space="0" w:color="auto"/>
              <w:right w:val="single" w:sz="4" w:space="0" w:color="auto"/>
            </w:tcBorders>
            <w:vAlign w:val="center"/>
          </w:tcPr>
          <w:p w14:paraId="31D30B81" w14:textId="77777777" w:rsidR="00902337" w:rsidRPr="00335934" w:rsidRDefault="00902337" w:rsidP="00335934">
            <w:pPr>
              <w:spacing w:line="240" w:lineRule="auto"/>
              <w:jc w:val="center"/>
              <w:rPr>
                <w:rFonts w:ascii="Verdana" w:hAnsi="Verdana" w:cs="Arial"/>
                <w:sz w:val="20"/>
                <w:szCs w:val="20"/>
              </w:rPr>
            </w:pPr>
            <w:r w:rsidRPr="00335934">
              <w:rPr>
                <w:rFonts w:ascii="Verdana" w:hAnsi="Verdana" w:cs="Arial"/>
                <w:sz w:val="20"/>
                <w:szCs w:val="20"/>
              </w:rPr>
              <w:t>4.5 al millar</w:t>
            </w:r>
          </w:p>
        </w:tc>
        <w:tc>
          <w:tcPr>
            <w:tcW w:w="1716" w:type="dxa"/>
            <w:tcBorders>
              <w:top w:val="single" w:sz="4" w:space="0" w:color="auto"/>
              <w:left w:val="single" w:sz="4" w:space="0" w:color="auto"/>
              <w:bottom w:val="single" w:sz="4" w:space="0" w:color="auto"/>
              <w:right w:val="single" w:sz="4" w:space="0" w:color="auto"/>
            </w:tcBorders>
            <w:vAlign w:val="center"/>
          </w:tcPr>
          <w:p w14:paraId="086D15BB" w14:textId="77777777" w:rsidR="00902337" w:rsidRPr="00335934" w:rsidRDefault="00902337" w:rsidP="00335934">
            <w:pPr>
              <w:spacing w:line="240" w:lineRule="auto"/>
              <w:jc w:val="center"/>
              <w:rPr>
                <w:rFonts w:ascii="Verdana" w:hAnsi="Verdana" w:cs="Arial"/>
                <w:sz w:val="20"/>
                <w:szCs w:val="20"/>
              </w:rPr>
            </w:pPr>
            <w:r w:rsidRPr="00335934">
              <w:rPr>
                <w:rFonts w:ascii="Verdana" w:hAnsi="Verdana" w:cs="Arial"/>
                <w:sz w:val="20"/>
                <w:szCs w:val="20"/>
              </w:rPr>
              <w:t>1.8 al millar</w:t>
            </w:r>
          </w:p>
        </w:tc>
      </w:tr>
      <w:tr w:rsidR="00902337" w:rsidRPr="00335934" w14:paraId="08328D67" w14:textId="77777777" w:rsidTr="006B6132">
        <w:tc>
          <w:tcPr>
            <w:tcW w:w="3060" w:type="dxa"/>
            <w:tcBorders>
              <w:top w:val="single" w:sz="4" w:space="0" w:color="auto"/>
              <w:left w:val="single" w:sz="4" w:space="0" w:color="auto"/>
              <w:bottom w:val="single" w:sz="4" w:space="0" w:color="auto"/>
              <w:right w:val="single" w:sz="4" w:space="0" w:color="auto"/>
            </w:tcBorders>
            <w:vAlign w:val="center"/>
          </w:tcPr>
          <w:p w14:paraId="5392F630" w14:textId="77777777" w:rsidR="00902337" w:rsidRPr="00335934" w:rsidRDefault="00902337" w:rsidP="00335934">
            <w:pPr>
              <w:spacing w:line="240" w:lineRule="auto"/>
              <w:jc w:val="both"/>
              <w:rPr>
                <w:rFonts w:ascii="Verdana" w:hAnsi="Verdana" w:cs="Arial"/>
                <w:sz w:val="20"/>
                <w:szCs w:val="20"/>
              </w:rPr>
            </w:pPr>
            <w:r w:rsidRPr="00335934">
              <w:rPr>
                <w:rFonts w:ascii="Verdana" w:hAnsi="Verdana" w:cs="Arial"/>
                <w:b/>
                <w:sz w:val="20"/>
                <w:szCs w:val="20"/>
              </w:rPr>
              <w:t>2.</w:t>
            </w:r>
            <w:r w:rsidRPr="00335934">
              <w:rPr>
                <w:rFonts w:ascii="Verdana" w:hAnsi="Verdana" w:cs="Arial"/>
                <w:sz w:val="20"/>
                <w:szCs w:val="20"/>
              </w:rPr>
              <w:t xml:space="preserve"> Durante los años 2002 y hasta el año 2024, inclusive:</w:t>
            </w:r>
          </w:p>
        </w:tc>
        <w:tc>
          <w:tcPr>
            <w:tcW w:w="2244" w:type="dxa"/>
            <w:tcBorders>
              <w:top w:val="single" w:sz="4" w:space="0" w:color="auto"/>
              <w:left w:val="single" w:sz="4" w:space="0" w:color="auto"/>
              <w:bottom w:val="single" w:sz="4" w:space="0" w:color="auto"/>
              <w:right w:val="single" w:sz="4" w:space="0" w:color="auto"/>
            </w:tcBorders>
            <w:vAlign w:val="center"/>
          </w:tcPr>
          <w:p w14:paraId="47FB7F3B" w14:textId="77777777" w:rsidR="00902337" w:rsidRPr="00335934" w:rsidRDefault="00902337" w:rsidP="00335934">
            <w:pPr>
              <w:spacing w:line="240" w:lineRule="auto"/>
              <w:jc w:val="center"/>
              <w:rPr>
                <w:rFonts w:ascii="Verdana" w:hAnsi="Verdana" w:cs="Arial"/>
                <w:sz w:val="20"/>
                <w:szCs w:val="20"/>
              </w:rPr>
            </w:pPr>
            <w:r w:rsidRPr="00335934">
              <w:rPr>
                <w:rFonts w:ascii="Verdana" w:hAnsi="Verdana" w:cs="Arial"/>
                <w:sz w:val="20"/>
                <w:szCs w:val="20"/>
              </w:rPr>
              <w:t>2.4 al millar</w:t>
            </w:r>
          </w:p>
        </w:tc>
        <w:tc>
          <w:tcPr>
            <w:tcW w:w="2151" w:type="dxa"/>
            <w:tcBorders>
              <w:top w:val="single" w:sz="4" w:space="0" w:color="auto"/>
              <w:left w:val="single" w:sz="4" w:space="0" w:color="auto"/>
              <w:bottom w:val="single" w:sz="4" w:space="0" w:color="auto"/>
              <w:right w:val="single" w:sz="4" w:space="0" w:color="auto"/>
            </w:tcBorders>
            <w:vAlign w:val="center"/>
          </w:tcPr>
          <w:p w14:paraId="164CD493" w14:textId="77777777" w:rsidR="00902337" w:rsidRPr="00335934" w:rsidRDefault="00902337" w:rsidP="00335934">
            <w:pPr>
              <w:spacing w:line="240" w:lineRule="auto"/>
              <w:jc w:val="center"/>
              <w:rPr>
                <w:rFonts w:ascii="Verdana" w:hAnsi="Verdana" w:cs="Arial"/>
                <w:sz w:val="20"/>
                <w:szCs w:val="20"/>
              </w:rPr>
            </w:pPr>
            <w:r w:rsidRPr="00335934">
              <w:rPr>
                <w:rFonts w:ascii="Verdana" w:hAnsi="Verdana" w:cs="Arial"/>
                <w:sz w:val="20"/>
                <w:szCs w:val="20"/>
              </w:rPr>
              <w:t>4.5 al millar</w:t>
            </w:r>
          </w:p>
        </w:tc>
        <w:tc>
          <w:tcPr>
            <w:tcW w:w="1716" w:type="dxa"/>
            <w:tcBorders>
              <w:top w:val="single" w:sz="4" w:space="0" w:color="auto"/>
              <w:left w:val="single" w:sz="4" w:space="0" w:color="auto"/>
              <w:bottom w:val="single" w:sz="4" w:space="0" w:color="auto"/>
              <w:right w:val="single" w:sz="4" w:space="0" w:color="auto"/>
            </w:tcBorders>
            <w:vAlign w:val="center"/>
          </w:tcPr>
          <w:p w14:paraId="1C83D296" w14:textId="77777777" w:rsidR="00902337" w:rsidRPr="00335934" w:rsidRDefault="00902337" w:rsidP="00335934">
            <w:pPr>
              <w:spacing w:line="240" w:lineRule="auto"/>
              <w:jc w:val="center"/>
              <w:rPr>
                <w:rFonts w:ascii="Verdana" w:hAnsi="Verdana" w:cs="Arial"/>
                <w:sz w:val="20"/>
                <w:szCs w:val="20"/>
              </w:rPr>
            </w:pPr>
            <w:r w:rsidRPr="00335934">
              <w:rPr>
                <w:rFonts w:ascii="Verdana" w:hAnsi="Verdana" w:cs="Arial"/>
                <w:sz w:val="20"/>
                <w:szCs w:val="20"/>
              </w:rPr>
              <w:t>1.8 al millar</w:t>
            </w:r>
          </w:p>
        </w:tc>
      </w:tr>
      <w:tr w:rsidR="00902337" w:rsidRPr="00335934" w14:paraId="68FDE4D7" w14:textId="77777777" w:rsidTr="006B6132">
        <w:tc>
          <w:tcPr>
            <w:tcW w:w="3060" w:type="dxa"/>
            <w:tcBorders>
              <w:top w:val="single" w:sz="4" w:space="0" w:color="auto"/>
              <w:left w:val="single" w:sz="4" w:space="0" w:color="auto"/>
              <w:bottom w:val="single" w:sz="4" w:space="0" w:color="auto"/>
              <w:right w:val="single" w:sz="4" w:space="0" w:color="auto"/>
            </w:tcBorders>
            <w:vAlign w:val="center"/>
          </w:tcPr>
          <w:p w14:paraId="166751C8" w14:textId="77777777" w:rsidR="00902337" w:rsidRPr="00335934" w:rsidRDefault="00902337" w:rsidP="00335934">
            <w:pPr>
              <w:spacing w:line="240" w:lineRule="auto"/>
              <w:jc w:val="both"/>
              <w:rPr>
                <w:rFonts w:ascii="Verdana" w:hAnsi="Verdana" w:cs="Arial"/>
                <w:sz w:val="20"/>
                <w:szCs w:val="20"/>
              </w:rPr>
            </w:pPr>
            <w:r w:rsidRPr="00335934">
              <w:rPr>
                <w:rFonts w:ascii="Verdana" w:hAnsi="Verdana" w:cs="Arial"/>
                <w:b/>
                <w:sz w:val="20"/>
                <w:szCs w:val="20"/>
              </w:rPr>
              <w:t>3.</w:t>
            </w:r>
            <w:r w:rsidRPr="00335934">
              <w:rPr>
                <w:rFonts w:ascii="Verdana" w:hAnsi="Verdana" w:cs="Arial"/>
                <w:sz w:val="20"/>
                <w:szCs w:val="20"/>
              </w:rPr>
              <w:t xml:space="preserve"> Con anterioridad al año 2002 y hasta el año 1993:</w:t>
            </w:r>
          </w:p>
        </w:tc>
        <w:tc>
          <w:tcPr>
            <w:tcW w:w="2244" w:type="dxa"/>
            <w:tcBorders>
              <w:top w:val="single" w:sz="4" w:space="0" w:color="auto"/>
              <w:left w:val="single" w:sz="4" w:space="0" w:color="auto"/>
              <w:bottom w:val="single" w:sz="4" w:space="0" w:color="auto"/>
              <w:right w:val="single" w:sz="4" w:space="0" w:color="auto"/>
            </w:tcBorders>
            <w:vAlign w:val="center"/>
          </w:tcPr>
          <w:p w14:paraId="14B92353" w14:textId="77777777" w:rsidR="00902337" w:rsidRPr="00335934" w:rsidRDefault="00902337" w:rsidP="00335934">
            <w:pPr>
              <w:spacing w:line="240" w:lineRule="auto"/>
              <w:jc w:val="center"/>
              <w:rPr>
                <w:rFonts w:ascii="Verdana" w:hAnsi="Verdana" w:cs="Arial"/>
                <w:sz w:val="20"/>
                <w:szCs w:val="20"/>
              </w:rPr>
            </w:pPr>
            <w:r w:rsidRPr="00335934">
              <w:rPr>
                <w:rFonts w:ascii="Verdana" w:hAnsi="Verdana" w:cs="Arial"/>
                <w:sz w:val="20"/>
                <w:szCs w:val="20"/>
              </w:rPr>
              <w:t>8 al millar</w:t>
            </w:r>
          </w:p>
        </w:tc>
        <w:tc>
          <w:tcPr>
            <w:tcW w:w="2151" w:type="dxa"/>
            <w:tcBorders>
              <w:top w:val="single" w:sz="4" w:space="0" w:color="auto"/>
              <w:left w:val="single" w:sz="4" w:space="0" w:color="auto"/>
              <w:bottom w:val="single" w:sz="4" w:space="0" w:color="auto"/>
              <w:right w:val="single" w:sz="4" w:space="0" w:color="auto"/>
            </w:tcBorders>
            <w:vAlign w:val="center"/>
          </w:tcPr>
          <w:p w14:paraId="1D8CED70" w14:textId="77777777" w:rsidR="00902337" w:rsidRPr="00335934" w:rsidRDefault="00902337" w:rsidP="00335934">
            <w:pPr>
              <w:spacing w:line="240" w:lineRule="auto"/>
              <w:jc w:val="center"/>
              <w:rPr>
                <w:rFonts w:ascii="Verdana" w:hAnsi="Verdana" w:cs="Arial"/>
                <w:sz w:val="20"/>
                <w:szCs w:val="20"/>
              </w:rPr>
            </w:pPr>
            <w:r w:rsidRPr="00335934">
              <w:rPr>
                <w:rFonts w:ascii="Verdana" w:hAnsi="Verdana" w:cs="Arial"/>
                <w:sz w:val="20"/>
                <w:szCs w:val="20"/>
              </w:rPr>
              <w:t>15 al millar</w:t>
            </w:r>
          </w:p>
        </w:tc>
        <w:tc>
          <w:tcPr>
            <w:tcW w:w="1716" w:type="dxa"/>
            <w:tcBorders>
              <w:top w:val="single" w:sz="4" w:space="0" w:color="auto"/>
              <w:left w:val="single" w:sz="4" w:space="0" w:color="auto"/>
              <w:bottom w:val="single" w:sz="4" w:space="0" w:color="auto"/>
              <w:right w:val="single" w:sz="4" w:space="0" w:color="auto"/>
            </w:tcBorders>
            <w:vAlign w:val="center"/>
          </w:tcPr>
          <w:p w14:paraId="427DA3B3" w14:textId="77777777" w:rsidR="00902337" w:rsidRPr="00335934" w:rsidRDefault="00902337" w:rsidP="00335934">
            <w:pPr>
              <w:spacing w:line="240" w:lineRule="auto"/>
              <w:jc w:val="center"/>
              <w:rPr>
                <w:rFonts w:ascii="Verdana" w:hAnsi="Verdana" w:cs="Arial"/>
                <w:sz w:val="20"/>
                <w:szCs w:val="20"/>
              </w:rPr>
            </w:pPr>
            <w:r w:rsidRPr="00335934">
              <w:rPr>
                <w:rFonts w:ascii="Verdana" w:hAnsi="Verdana" w:cs="Arial"/>
                <w:sz w:val="20"/>
                <w:szCs w:val="20"/>
              </w:rPr>
              <w:t>6 al millar</w:t>
            </w:r>
          </w:p>
        </w:tc>
      </w:tr>
      <w:tr w:rsidR="00902337" w:rsidRPr="00335934" w14:paraId="0F3A587B" w14:textId="77777777" w:rsidTr="006B6132">
        <w:tc>
          <w:tcPr>
            <w:tcW w:w="3060" w:type="dxa"/>
            <w:tcBorders>
              <w:top w:val="single" w:sz="4" w:space="0" w:color="auto"/>
              <w:left w:val="single" w:sz="4" w:space="0" w:color="auto"/>
              <w:bottom w:val="single" w:sz="4" w:space="0" w:color="auto"/>
              <w:right w:val="single" w:sz="4" w:space="0" w:color="auto"/>
            </w:tcBorders>
            <w:vAlign w:val="center"/>
          </w:tcPr>
          <w:p w14:paraId="6F40EBA3" w14:textId="77777777" w:rsidR="00902337" w:rsidRPr="00335934" w:rsidRDefault="00902337" w:rsidP="00335934">
            <w:pPr>
              <w:spacing w:line="240" w:lineRule="auto"/>
              <w:jc w:val="both"/>
              <w:rPr>
                <w:rFonts w:ascii="Verdana" w:hAnsi="Verdana" w:cs="Arial"/>
                <w:sz w:val="20"/>
                <w:szCs w:val="20"/>
              </w:rPr>
            </w:pPr>
            <w:r w:rsidRPr="00335934">
              <w:rPr>
                <w:rFonts w:ascii="Verdana" w:hAnsi="Verdana" w:cs="Arial"/>
                <w:b/>
                <w:sz w:val="20"/>
                <w:szCs w:val="20"/>
              </w:rPr>
              <w:t>4.</w:t>
            </w:r>
            <w:r w:rsidRPr="00335934">
              <w:rPr>
                <w:rFonts w:ascii="Verdana" w:hAnsi="Verdana" w:cs="Arial"/>
                <w:sz w:val="20"/>
                <w:szCs w:val="20"/>
              </w:rPr>
              <w:t xml:space="preserve"> Con anterioridad al año de 1993:</w:t>
            </w:r>
          </w:p>
        </w:tc>
        <w:tc>
          <w:tcPr>
            <w:tcW w:w="4395" w:type="dxa"/>
            <w:gridSpan w:val="2"/>
            <w:tcBorders>
              <w:top w:val="single" w:sz="4" w:space="0" w:color="auto"/>
              <w:left w:val="single" w:sz="4" w:space="0" w:color="auto"/>
              <w:bottom w:val="single" w:sz="4" w:space="0" w:color="auto"/>
              <w:right w:val="single" w:sz="4" w:space="0" w:color="auto"/>
            </w:tcBorders>
            <w:vAlign w:val="center"/>
          </w:tcPr>
          <w:p w14:paraId="289CBCC2" w14:textId="77777777" w:rsidR="00902337" w:rsidRPr="00335934" w:rsidRDefault="00902337" w:rsidP="00335934">
            <w:pPr>
              <w:spacing w:line="240" w:lineRule="auto"/>
              <w:jc w:val="center"/>
              <w:rPr>
                <w:rFonts w:ascii="Verdana" w:hAnsi="Verdana" w:cs="Arial"/>
                <w:sz w:val="20"/>
                <w:szCs w:val="20"/>
              </w:rPr>
            </w:pPr>
            <w:r w:rsidRPr="00335934">
              <w:rPr>
                <w:rFonts w:ascii="Verdana" w:hAnsi="Verdana" w:cs="Arial"/>
                <w:sz w:val="20"/>
                <w:szCs w:val="20"/>
              </w:rPr>
              <w:t>13 al millar</w:t>
            </w:r>
          </w:p>
        </w:tc>
        <w:tc>
          <w:tcPr>
            <w:tcW w:w="1716" w:type="dxa"/>
            <w:tcBorders>
              <w:top w:val="single" w:sz="4" w:space="0" w:color="auto"/>
              <w:left w:val="single" w:sz="4" w:space="0" w:color="auto"/>
              <w:bottom w:val="single" w:sz="4" w:space="0" w:color="auto"/>
              <w:right w:val="single" w:sz="4" w:space="0" w:color="auto"/>
            </w:tcBorders>
            <w:vAlign w:val="center"/>
          </w:tcPr>
          <w:p w14:paraId="200231B9" w14:textId="77777777" w:rsidR="00902337" w:rsidRPr="00335934" w:rsidRDefault="00902337" w:rsidP="00335934">
            <w:pPr>
              <w:spacing w:line="240" w:lineRule="auto"/>
              <w:jc w:val="center"/>
              <w:rPr>
                <w:rFonts w:ascii="Verdana" w:hAnsi="Verdana" w:cs="Arial"/>
                <w:sz w:val="20"/>
                <w:szCs w:val="20"/>
              </w:rPr>
            </w:pPr>
            <w:r w:rsidRPr="00335934">
              <w:rPr>
                <w:rFonts w:ascii="Verdana" w:hAnsi="Verdana" w:cs="Arial"/>
                <w:sz w:val="20"/>
                <w:szCs w:val="20"/>
              </w:rPr>
              <w:t>12 al millar</w:t>
            </w:r>
          </w:p>
        </w:tc>
      </w:tr>
    </w:tbl>
    <w:p w14:paraId="4C612B18" w14:textId="77777777" w:rsidR="00902337" w:rsidRPr="00335934" w:rsidRDefault="00902337" w:rsidP="00335934">
      <w:pPr>
        <w:pStyle w:val="NormalWeb"/>
        <w:jc w:val="both"/>
        <w:rPr>
          <w:rFonts w:ascii="Verdana" w:hAnsi="Verdana"/>
          <w:b/>
          <w:bCs/>
          <w:sz w:val="20"/>
          <w:szCs w:val="20"/>
        </w:rPr>
      </w:pPr>
      <w:r w:rsidRPr="00335934">
        <w:rPr>
          <w:rStyle w:val="Textoennegrita"/>
          <w:rFonts w:ascii="Verdana" w:hAnsi="Verdana"/>
          <w:sz w:val="20"/>
          <w:szCs w:val="20"/>
        </w:rPr>
        <w:tab/>
        <w:t>Artículo 5</w:t>
      </w:r>
      <w:r w:rsidRPr="00335934">
        <w:rPr>
          <w:rFonts w:ascii="Verdana" w:hAnsi="Verdana"/>
          <w:sz w:val="20"/>
          <w:szCs w:val="20"/>
        </w:rPr>
        <w:t>. Los valores que se aplicarán a los inmuebles para el año 2025, serán los siguientes:</w:t>
      </w:r>
    </w:p>
    <w:p w14:paraId="46BF0B57" w14:textId="77777777" w:rsidR="00902337" w:rsidRPr="00335934" w:rsidRDefault="00902337" w:rsidP="00335934">
      <w:pPr>
        <w:pStyle w:val="NormalWeb"/>
        <w:jc w:val="both"/>
        <w:rPr>
          <w:rFonts w:ascii="Verdana" w:hAnsi="Verdana"/>
          <w:sz w:val="20"/>
          <w:szCs w:val="20"/>
        </w:rPr>
      </w:pPr>
      <w:r w:rsidRPr="00335934">
        <w:rPr>
          <w:rFonts w:ascii="Verdana" w:hAnsi="Verdana"/>
          <w:sz w:val="20"/>
          <w:szCs w:val="20"/>
        </w:rPr>
        <w:t> </w:t>
      </w:r>
      <w:r w:rsidRPr="00335934">
        <w:rPr>
          <w:rFonts w:ascii="Verdana" w:hAnsi="Verdana"/>
          <w:b/>
          <w:bCs/>
          <w:sz w:val="20"/>
          <w:szCs w:val="20"/>
        </w:rPr>
        <w:t>I. Tratándose de inmuebles urbanos y suburbanos:</w:t>
      </w:r>
    </w:p>
    <w:p w14:paraId="2A22D75B" w14:textId="77777777" w:rsidR="00902337" w:rsidRPr="00335934" w:rsidRDefault="00902337" w:rsidP="00335934">
      <w:pPr>
        <w:pStyle w:val="NormalWeb"/>
        <w:jc w:val="both"/>
        <w:rPr>
          <w:rFonts w:ascii="Verdana" w:hAnsi="Verdana"/>
          <w:sz w:val="20"/>
          <w:szCs w:val="20"/>
        </w:rPr>
      </w:pPr>
      <w:r w:rsidRPr="00335934">
        <w:rPr>
          <w:rFonts w:ascii="Verdana" w:hAnsi="Verdana"/>
          <w:b/>
          <w:bCs/>
          <w:sz w:val="20"/>
          <w:szCs w:val="20"/>
        </w:rPr>
        <w:tab/>
        <w:t xml:space="preserve">a) </w:t>
      </w:r>
      <w:r w:rsidRPr="00335934">
        <w:rPr>
          <w:rFonts w:ascii="Verdana" w:hAnsi="Verdana"/>
          <w:sz w:val="20"/>
          <w:szCs w:val="20"/>
        </w:rPr>
        <w:t>Valores unitarios del terreno expresados en pesos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813"/>
        <w:gridCol w:w="1550"/>
        <w:gridCol w:w="1607"/>
      </w:tblGrid>
      <w:tr w:rsidR="00902337" w:rsidRPr="00335934" w14:paraId="722E8927" w14:textId="77777777" w:rsidTr="006B613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AC943B"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F4A91"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C59D0"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Valor Máximo</w:t>
            </w:r>
          </w:p>
        </w:tc>
      </w:tr>
      <w:tr w:rsidR="00902337" w:rsidRPr="00335934" w14:paraId="408E1E15"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50A276"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Zona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58E76"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$510.15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73FFA"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$1,034.34</w:t>
            </w:r>
          </w:p>
        </w:tc>
      </w:tr>
      <w:tr w:rsidR="00902337" w:rsidRPr="00335934" w14:paraId="37E33067"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24D150"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lastRenderedPageBreak/>
              <w:t xml:space="preserve">Zona habitacional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EC10E"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$137.33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10B80"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$293.54</w:t>
            </w:r>
          </w:p>
        </w:tc>
      </w:tr>
      <w:tr w:rsidR="00902337" w:rsidRPr="00335934" w14:paraId="0A9AA424"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C49F7C"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Zona marginada irregular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71724"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$59.39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F714E"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$111.82</w:t>
            </w:r>
          </w:p>
        </w:tc>
      </w:tr>
      <w:tr w:rsidR="00902337" w:rsidRPr="00335934" w14:paraId="2A2E6059"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97B4A5"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 xml:space="preserve">Valor mínimo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A074A"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$59.39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68A8F"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$0.00</w:t>
            </w:r>
          </w:p>
        </w:tc>
      </w:tr>
    </w:tbl>
    <w:p w14:paraId="50330C59" w14:textId="77777777" w:rsidR="00902337" w:rsidRPr="00335934" w:rsidRDefault="00902337" w:rsidP="00335934">
      <w:pPr>
        <w:pStyle w:val="NormalWeb"/>
        <w:jc w:val="both"/>
        <w:rPr>
          <w:rFonts w:ascii="Verdana" w:hAnsi="Verdana"/>
          <w:sz w:val="20"/>
          <w:szCs w:val="20"/>
        </w:rPr>
      </w:pPr>
      <w:r w:rsidRPr="00335934">
        <w:rPr>
          <w:rFonts w:ascii="Verdana" w:hAnsi="Verdana"/>
          <w:b/>
          <w:bCs/>
          <w:sz w:val="20"/>
          <w:szCs w:val="20"/>
        </w:rPr>
        <w:tab/>
        <w:t xml:space="preserve">b) </w:t>
      </w:r>
      <w:r w:rsidRPr="00335934">
        <w:rPr>
          <w:rFonts w:ascii="Verdana" w:hAnsi="Verdana"/>
          <w:sz w:val="20"/>
          <w:szCs w:val="20"/>
        </w:rPr>
        <w:t>Valores unitarios de construcción expresados en pesos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07"/>
        <w:gridCol w:w="1314"/>
        <w:gridCol w:w="2642"/>
        <w:gridCol w:w="793"/>
        <w:gridCol w:w="1276"/>
      </w:tblGrid>
      <w:tr w:rsidR="00902337" w:rsidRPr="00335934" w14:paraId="5DF37E8E"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6DA040"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9A2FE"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Calidad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EF21F"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Estado de Conservación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B4EE1"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Clave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DC961"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Valor</w:t>
            </w:r>
          </w:p>
        </w:tc>
      </w:tr>
      <w:tr w:rsidR="00902337" w:rsidRPr="00335934" w14:paraId="5BE0807B"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4AF223"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81FC7"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7E0D2"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8B5B9"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06787"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$9,237.74</w:t>
            </w:r>
          </w:p>
        </w:tc>
      </w:tr>
      <w:tr w:rsidR="00902337" w:rsidRPr="00335934" w14:paraId="6DB7268D"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ADD1BD"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41E71"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0CCA3"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75F28"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A687B"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$7,787.19</w:t>
            </w:r>
          </w:p>
        </w:tc>
      </w:tr>
      <w:tr w:rsidR="00902337" w:rsidRPr="00335934" w14:paraId="579332BE"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4ED055"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B0FF1"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F59D5"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60C94"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D7F8E"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$6,472.80</w:t>
            </w:r>
          </w:p>
        </w:tc>
      </w:tr>
      <w:tr w:rsidR="00902337" w:rsidRPr="00335934" w14:paraId="524D2270"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0E79CA"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32142"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FC9E1"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07B9A"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2AC00"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$6,222.24</w:t>
            </w:r>
          </w:p>
        </w:tc>
      </w:tr>
      <w:tr w:rsidR="00902337" w:rsidRPr="00335934" w14:paraId="29838090"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2F037E"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5ECB0"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5F5C6"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2A4F6"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F711F"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$5,550.03</w:t>
            </w:r>
          </w:p>
        </w:tc>
      </w:tr>
      <w:tr w:rsidR="00902337" w:rsidRPr="00335934" w14:paraId="12873F00"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E7E709"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70C20"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908E2"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69719"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F817C"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$4,617.17</w:t>
            </w:r>
          </w:p>
        </w:tc>
      </w:tr>
      <w:tr w:rsidR="00902337" w:rsidRPr="00335934" w14:paraId="07AFC700"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88AB61"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393E9"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E2C28"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0E48D"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CF63F"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$4,097.82</w:t>
            </w:r>
          </w:p>
        </w:tc>
      </w:tr>
      <w:tr w:rsidR="00902337" w:rsidRPr="00335934" w14:paraId="1171C433"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720511"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9549D"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FD331"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5D591"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F028E"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$3,522.96</w:t>
            </w:r>
          </w:p>
        </w:tc>
      </w:tr>
      <w:tr w:rsidR="00902337" w:rsidRPr="00335934" w14:paraId="32BA5603"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809E5C"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81459"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18DE0"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C814D"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91FEB"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$2,885.95</w:t>
            </w:r>
          </w:p>
        </w:tc>
      </w:tr>
      <w:tr w:rsidR="00902337" w:rsidRPr="00335934" w14:paraId="1759CB66"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828130"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2EEF1"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591F4"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D27F7"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2FEE7"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$3,003.61</w:t>
            </w:r>
          </w:p>
        </w:tc>
      </w:tr>
      <w:tr w:rsidR="00902337" w:rsidRPr="00335934" w14:paraId="0F9B1C82"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DCB59C"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00C4C"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4855E"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D451C"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11479"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$2,316.16</w:t>
            </w:r>
          </w:p>
        </w:tc>
      </w:tr>
      <w:tr w:rsidR="00902337" w:rsidRPr="00335934" w14:paraId="17A0916D"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A163B1"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lastRenderedPageBreak/>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A6D8B"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94B16"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23973"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2BBEF"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$1,672.41</w:t>
            </w:r>
          </w:p>
        </w:tc>
      </w:tr>
      <w:tr w:rsidR="00902337" w:rsidRPr="00335934" w14:paraId="61C678BA"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F7AEA9"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43562"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0959D"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89DE6"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E4FC1"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$1,047.15</w:t>
            </w:r>
          </w:p>
        </w:tc>
      </w:tr>
      <w:tr w:rsidR="00902337" w:rsidRPr="00335934" w14:paraId="5000D79C"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125AB4"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E6AC7"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347C1"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4B3CC"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2562C"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$808.44</w:t>
            </w:r>
          </w:p>
        </w:tc>
      </w:tr>
      <w:tr w:rsidR="00902337" w:rsidRPr="00335934" w14:paraId="6435BBAE"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5C5ECD"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DC43A"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DB22B"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9184E"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62567"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$460.54</w:t>
            </w:r>
          </w:p>
        </w:tc>
      </w:tr>
      <w:tr w:rsidR="00902337" w:rsidRPr="00335934" w14:paraId="1B3C1BA1"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6DE530"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 xml:space="preserve">Antiguo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E609E"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D62BE"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1E898"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4D354"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$5,309.66</w:t>
            </w:r>
          </w:p>
        </w:tc>
      </w:tr>
      <w:tr w:rsidR="00902337" w:rsidRPr="00335934" w14:paraId="3C29A958"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FCA85B"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 xml:space="preserve">Antiguo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3A617"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7A417"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EB0C4"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021B3"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$4,277.65</w:t>
            </w:r>
          </w:p>
        </w:tc>
      </w:tr>
      <w:tr w:rsidR="00902337" w:rsidRPr="00335934" w14:paraId="30ADBDD8"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525C3A"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 xml:space="preserve">Antiguo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8ECF1"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6CB84"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A6B5B"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56B30"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$3,232.20</w:t>
            </w:r>
          </w:p>
        </w:tc>
      </w:tr>
      <w:tr w:rsidR="00902337" w:rsidRPr="00335934" w14:paraId="646D10A9"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58E429"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 xml:space="preserve">Antiguo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5ABF6"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2BAE4"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8C011"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D1860"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$3,586.85</w:t>
            </w:r>
          </w:p>
        </w:tc>
      </w:tr>
      <w:tr w:rsidR="00902337" w:rsidRPr="00335934" w14:paraId="3BE10D16"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2511EA"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 xml:space="preserve">Antiguo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D14C6"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2D6CF"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785D0"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54266"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$2,885.94</w:t>
            </w:r>
          </w:p>
        </w:tc>
      </w:tr>
      <w:tr w:rsidR="00902337" w:rsidRPr="00335934" w14:paraId="79278A04"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BFCA27"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 xml:space="preserve">Antiguo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B06BF"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E994A"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B85CC"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8BBC0"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$2,141.35</w:t>
            </w:r>
          </w:p>
        </w:tc>
      </w:tr>
      <w:tr w:rsidR="00902337" w:rsidRPr="00335934" w14:paraId="42F90324"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E6B06A"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 xml:space="preserve">Antiguo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AC12D"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1C020"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4713B"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8A39A"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$2,013.63</w:t>
            </w:r>
          </w:p>
        </w:tc>
      </w:tr>
      <w:tr w:rsidR="00902337" w:rsidRPr="00335934" w14:paraId="0D12EA87"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FA5EC2"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 xml:space="preserve">Antiguo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21AC8"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A507C"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E791E"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94618"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$1,679.13</w:t>
            </w:r>
          </w:p>
        </w:tc>
      </w:tr>
      <w:tr w:rsidR="00902337" w:rsidRPr="00335934" w14:paraId="5931FAC1"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BBEE6C"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 xml:space="preserve">Antiguo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6739C"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E015C"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71086"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19FF2"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$1,326.18</w:t>
            </w:r>
          </w:p>
        </w:tc>
      </w:tr>
      <w:tr w:rsidR="00902337" w:rsidRPr="00335934" w14:paraId="4DB440B0"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6D90E8"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 xml:space="preserve">Antiguo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D0979"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11DBB"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E604F"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17436"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$1,326.18</w:t>
            </w:r>
          </w:p>
        </w:tc>
      </w:tr>
      <w:tr w:rsidR="00902337" w:rsidRPr="00335934" w14:paraId="5F6649CB"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22908F"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 xml:space="preserve">Antiguo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071A7"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4D3E2"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15220"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88B57"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$1,057.22</w:t>
            </w:r>
          </w:p>
        </w:tc>
      </w:tr>
      <w:tr w:rsidR="00902337" w:rsidRPr="00335934" w14:paraId="7C64124D"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29CBA2"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 xml:space="preserve">Antiguo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5EC5A"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9251D"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1C35E"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0D47A"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$927.79</w:t>
            </w:r>
          </w:p>
        </w:tc>
      </w:tr>
    </w:tbl>
    <w:p w14:paraId="261F06D7" w14:textId="77777777" w:rsidR="00902337" w:rsidRPr="00335934" w:rsidRDefault="00902337" w:rsidP="00335934">
      <w:pPr>
        <w:pStyle w:val="NormalWeb"/>
        <w:jc w:val="both"/>
        <w:rPr>
          <w:rFonts w:ascii="Verdana" w:hAnsi="Verdana"/>
          <w:sz w:val="20"/>
          <w:szCs w:val="20"/>
        </w:rPr>
      </w:pPr>
      <w:r w:rsidRPr="00335934">
        <w:rPr>
          <w:rFonts w:ascii="Verdana" w:hAnsi="Verdana"/>
          <w:b/>
          <w:bCs/>
          <w:sz w:val="20"/>
          <w:szCs w:val="20"/>
        </w:rPr>
        <w:t>II. Tratándose de inmuebles rústicos</w:t>
      </w:r>
      <w:r w:rsidRPr="00335934">
        <w:rPr>
          <w:rFonts w:ascii="Verdana" w:hAnsi="Verdana"/>
          <w:sz w:val="20"/>
          <w:szCs w:val="20"/>
        </w:rPr>
        <w:t>:</w:t>
      </w:r>
    </w:p>
    <w:p w14:paraId="0F562B1E" w14:textId="77777777" w:rsidR="00902337" w:rsidRPr="00335934" w:rsidRDefault="00902337" w:rsidP="00335934">
      <w:pPr>
        <w:pStyle w:val="NormalWeb"/>
        <w:jc w:val="both"/>
        <w:rPr>
          <w:rFonts w:ascii="Verdana" w:hAnsi="Verdana"/>
          <w:sz w:val="20"/>
          <w:szCs w:val="20"/>
        </w:rPr>
      </w:pPr>
      <w:r w:rsidRPr="00335934">
        <w:rPr>
          <w:rFonts w:ascii="Verdana" w:hAnsi="Verdana"/>
          <w:b/>
          <w:bCs/>
          <w:sz w:val="20"/>
          <w:szCs w:val="20"/>
        </w:rPr>
        <w:tab/>
        <w:t xml:space="preserve">a) </w:t>
      </w:r>
      <w:r w:rsidRPr="00335934">
        <w:rPr>
          <w:rFonts w:ascii="Verdana" w:hAnsi="Verdana"/>
          <w:sz w:val="20"/>
          <w:szCs w:val="20"/>
        </w:rPr>
        <w:t>Tabla de valores base expresados en pesos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524"/>
        <w:gridCol w:w="1403"/>
      </w:tblGrid>
      <w:tr w:rsidR="00902337" w:rsidRPr="00335934" w14:paraId="7C687307"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C0DC89"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lastRenderedPageBreak/>
              <w:t>1. Predios de riego</w:t>
            </w:r>
          </w:p>
        </w:tc>
        <w:tc>
          <w:tcPr>
            <w:tcW w:w="0" w:type="auto"/>
            <w:tcBorders>
              <w:top w:val="single" w:sz="6" w:space="0" w:color="000000"/>
              <w:left w:val="single" w:sz="6" w:space="0" w:color="000000"/>
              <w:bottom w:val="single" w:sz="6" w:space="0" w:color="000000"/>
              <w:right w:val="single" w:sz="6" w:space="0" w:color="000000"/>
            </w:tcBorders>
            <w:hideMark/>
          </w:tcPr>
          <w:p w14:paraId="3CD96E47"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$11,140.16</w:t>
            </w:r>
          </w:p>
        </w:tc>
      </w:tr>
      <w:tr w:rsidR="00902337" w:rsidRPr="00335934" w14:paraId="2AB74BE3"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11E08F"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2. Predios de temporal</w:t>
            </w:r>
          </w:p>
        </w:tc>
        <w:tc>
          <w:tcPr>
            <w:tcW w:w="0" w:type="auto"/>
            <w:tcBorders>
              <w:top w:val="single" w:sz="6" w:space="0" w:color="000000"/>
              <w:left w:val="single" w:sz="6" w:space="0" w:color="000000"/>
              <w:bottom w:val="single" w:sz="6" w:space="0" w:color="000000"/>
              <w:right w:val="single" w:sz="6" w:space="0" w:color="000000"/>
            </w:tcBorders>
            <w:hideMark/>
          </w:tcPr>
          <w:p w14:paraId="1EE0A219"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$4,586.42</w:t>
            </w:r>
          </w:p>
        </w:tc>
      </w:tr>
      <w:tr w:rsidR="00902337" w:rsidRPr="00335934" w14:paraId="0FBFA092"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E6FCC9"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3. Agostadero</w:t>
            </w:r>
          </w:p>
        </w:tc>
        <w:tc>
          <w:tcPr>
            <w:tcW w:w="0" w:type="auto"/>
            <w:tcBorders>
              <w:top w:val="single" w:sz="6" w:space="0" w:color="000000"/>
              <w:left w:val="single" w:sz="6" w:space="0" w:color="000000"/>
              <w:bottom w:val="single" w:sz="6" w:space="0" w:color="000000"/>
              <w:right w:val="single" w:sz="6" w:space="0" w:color="000000"/>
            </w:tcBorders>
            <w:hideMark/>
          </w:tcPr>
          <w:p w14:paraId="3C7C8323"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$2,201.48</w:t>
            </w:r>
          </w:p>
        </w:tc>
      </w:tr>
      <w:tr w:rsidR="00902337" w:rsidRPr="00335934" w14:paraId="2C7DF0D2"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7FC61F"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4. Cerril o monte</w:t>
            </w:r>
          </w:p>
        </w:tc>
        <w:tc>
          <w:tcPr>
            <w:tcW w:w="0" w:type="auto"/>
            <w:tcBorders>
              <w:top w:val="single" w:sz="6" w:space="0" w:color="000000"/>
              <w:left w:val="single" w:sz="6" w:space="0" w:color="000000"/>
              <w:bottom w:val="single" w:sz="6" w:space="0" w:color="000000"/>
              <w:right w:val="single" w:sz="6" w:space="0" w:color="000000"/>
            </w:tcBorders>
            <w:hideMark/>
          </w:tcPr>
          <w:p w14:paraId="51E07F3C"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$1,357.57</w:t>
            </w:r>
          </w:p>
        </w:tc>
      </w:tr>
    </w:tbl>
    <w:p w14:paraId="768C81D3" w14:textId="77777777" w:rsidR="00902337" w:rsidRPr="00335934" w:rsidRDefault="00902337" w:rsidP="00335934">
      <w:pPr>
        <w:pStyle w:val="NormalWeb"/>
        <w:jc w:val="both"/>
        <w:rPr>
          <w:rFonts w:ascii="Verdana" w:hAnsi="Verdana"/>
          <w:sz w:val="20"/>
          <w:szCs w:val="20"/>
        </w:rPr>
      </w:pPr>
      <w:r w:rsidRPr="00335934">
        <w:rPr>
          <w:rFonts w:ascii="Verdana" w:hAnsi="Verdana"/>
          <w:sz w:val="20"/>
          <w:szCs w:val="20"/>
        </w:rPr>
        <w:tab/>
        <w:t>Los valores base se verán afectados de acuerdo al coeficiente que resulte al aplicar los siguientes elementos agrológicos para la valuación. Obteniéndose así los valores unitarios por hectárea: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5"/>
        <w:gridCol w:w="1588"/>
      </w:tblGrid>
      <w:tr w:rsidR="00902337" w:rsidRPr="00335934" w14:paraId="2C9D0D2D" w14:textId="77777777" w:rsidTr="006B6132">
        <w:trPr>
          <w:jc w:val="center"/>
        </w:trPr>
        <w:tc>
          <w:tcPr>
            <w:tcW w:w="5385" w:type="dxa"/>
            <w:vAlign w:val="center"/>
          </w:tcPr>
          <w:p w14:paraId="075D7E2E" w14:textId="77777777" w:rsidR="00902337" w:rsidRPr="00335934" w:rsidRDefault="00902337" w:rsidP="00335934">
            <w:pPr>
              <w:spacing w:line="240" w:lineRule="auto"/>
              <w:rPr>
                <w:rFonts w:ascii="Verdana" w:hAnsi="Verdana" w:cs="Arial"/>
                <w:snapToGrid w:val="0"/>
                <w:color w:val="000000"/>
                <w:sz w:val="20"/>
                <w:szCs w:val="20"/>
              </w:rPr>
            </w:pPr>
            <w:r w:rsidRPr="00335934">
              <w:rPr>
                <w:rFonts w:ascii="Verdana" w:hAnsi="Verdana" w:cs="Arial"/>
                <w:b/>
                <w:color w:val="000000"/>
                <w:sz w:val="20"/>
                <w:szCs w:val="20"/>
              </w:rPr>
              <w:t>ELEMENTOS</w:t>
            </w:r>
          </w:p>
        </w:tc>
        <w:tc>
          <w:tcPr>
            <w:tcW w:w="1588" w:type="dxa"/>
            <w:vAlign w:val="center"/>
          </w:tcPr>
          <w:p w14:paraId="28BE6E5F" w14:textId="77777777" w:rsidR="00902337" w:rsidRPr="00335934" w:rsidRDefault="00902337" w:rsidP="00335934">
            <w:pPr>
              <w:spacing w:line="240" w:lineRule="auto"/>
              <w:jc w:val="center"/>
              <w:rPr>
                <w:rFonts w:ascii="Verdana" w:hAnsi="Verdana" w:cs="Arial"/>
                <w:snapToGrid w:val="0"/>
                <w:color w:val="000000"/>
                <w:sz w:val="20"/>
                <w:szCs w:val="20"/>
              </w:rPr>
            </w:pPr>
            <w:r w:rsidRPr="00335934">
              <w:rPr>
                <w:rFonts w:ascii="Verdana" w:hAnsi="Verdana" w:cs="Arial"/>
                <w:b/>
                <w:color w:val="000000"/>
                <w:sz w:val="20"/>
                <w:szCs w:val="20"/>
              </w:rPr>
              <w:t>FACTOR</w:t>
            </w:r>
          </w:p>
        </w:tc>
      </w:tr>
      <w:tr w:rsidR="00902337" w:rsidRPr="00335934" w14:paraId="715A3B96" w14:textId="77777777" w:rsidTr="006B6132">
        <w:trPr>
          <w:jc w:val="center"/>
        </w:trPr>
        <w:tc>
          <w:tcPr>
            <w:tcW w:w="5385" w:type="dxa"/>
            <w:vAlign w:val="center"/>
          </w:tcPr>
          <w:p w14:paraId="200F48F2" w14:textId="77777777" w:rsidR="00902337" w:rsidRPr="00335934" w:rsidRDefault="00902337" w:rsidP="00335934">
            <w:pPr>
              <w:spacing w:line="240" w:lineRule="auto"/>
              <w:rPr>
                <w:rFonts w:ascii="Verdana" w:hAnsi="Verdana" w:cs="Arial"/>
                <w:b/>
                <w:color w:val="000000"/>
                <w:sz w:val="20"/>
                <w:szCs w:val="20"/>
              </w:rPr>
            </w:pPr>
          </w:p>
        </w:tc>
        <w:tc>
          <w:tcPr>
            <w:tcW w:w="1588" w:type="dxa"/>
            <w:vAlign w:val="center"/>
          </w:tcPr>
          <w:p w14:paraId="056E3E57" w14:textId="77777777" w:rsidR="00902337" w:rsidRPr="00335934" w:rsidRDefault="00902337" w:rsidP="00335934">
            <w:pPr>
              <w:spacing w:line="240" w:lineRule="auto"/>
              <w:rPr>
                <w:rFonts w:ascii="Verdana" w:hAnsi="Verdana" w:cs="Arial"/>
                <w:b/>
                <w:color w:val="000000"/>
                <w:sz w:val="20"/>
                <w:szCs w:val="20"/>
              </w:rPr>
            </w:pPr>
          </w:p>
        </w:tc>
      </w:tr>
      <w:tr w:rsidR="00902337" w:rsidRPr="00335934" w14:paraId="0DDE5E7A" w14:textId="77777777" w:rsidTr="006B6132">
        <w:trPr>
          <w:jc w:val="center"/>
        </w:trPr>
        <w:tc>
          <w:tcPr>
            <w:tcW w:w="5385" w:type="dxa"/>
          </w:tcPr>
          <w:p w14:paraId="2DACDB3C" w14:textId="77777777" w:rsidR="00902337" w:rsidRPr="00335934" w:rsidRDefault="00902337" w:rsidP="00335934">
            <w:pPr>
              <w:spacing w:line="240" w:lineRule="auto"/>
              <w:jc w:val="both"/>
              <w:rPr>
                <w:rFonts w:ascii="Verdana" w:hAnsi="Verdana" w:cs="Arial"/>
                <w:b/>
                <w:snapToGrid w:val="0"/>
                <w:color w:val="000000"/>
                <w:sz w:val="20"/>
                <w:szCs w:val="20"/>
              </w:rPr>
            </w:pPr>
            <w:r w:rsidRPr="00335934">
              <w:rPr>
                <w:rFonts w:ascii="Verdana" w:hAnsi="Verdana" w:cs="Arial"/>
                <w:b/>
                <w:snapToGrid w:val="0"/>
                <w:color w:val="000000"/>
                <w:sz w:val="20"/>
                <w:szCs w:val="20"/>
              </w:rPr>
              <w:t>1. Espesor del Suelo:</w:t>
            </w:r>
          </w:p>
        </w:tc>
        <w:tc>
          <w:tcPr>
            <w:tcW w:w="1588" w:type="dxa"/>
          </w:tcPr>
          <w:p w14:paraId="5B635C72" w14:textId="77777777" w:rsidR="00902337" w:rsidRPr="00335934" w:rsidRDefault="00902337" w:rsidP="00335934">
            <w:pPr>
              <w:spacing w:line="240" w:lineRule="auto"/>
              <w:jc w:val="both"/>
              <w:rPr>
                <w:rFonts w:ascii="Verdana" w:hAnsi="Verdana" w:cs="Arial"/>
                <w:snapToGrid w:val="0"/>
                <w:color w:val="000000"/>
                <w:sz w:val="20"/>
                <w:szCs w:val="20"/>
              </w:rPr>
            </w:pPr>
          </w:p>
        </w:tc>
      </w:tr>
      <w:tr w:rsidR="00902337" w:rsidRPr="00335934" w14:paraId="23344497" w14:textId="77777777" w:rsidTr="006B6132">
        <w:trPr>
          <w:jc w:val="center"/>
        </w:trPr>
        <w:tc>
          <w:tcPr>
            <w:tcW w:w="5385" w:type="dxa"/>
          </w:tcPr>
          <w:p w14:paraId="26DB38BA" w14:textId="77777777" w:rsidR="00902337" w:rsidRPr="00335934" w:rsidRDefault="00902337" w:rsidP="00335934">
            <w:pPr>
              <w:spacing w:line="240" w:lineRule="auto"/>
              <w:jc w:val="both"/>
              <w:rPr>
                <w:rFonts w:ascii="Verdana" w:hAnsi="Verdana" w:cs="Arial"/>
                <w:snapToGrid w:val="0"/>
                <w:color w:val="000000"/>
                <w:sz w:val="20"/>
                <w:szCs w:val="20"/>
              </w:rPr>
            </w:pPr>
            <w:r w:rsidRPr="00335934">
              <w:rPr>
                <w:rFonts w:ascii="Verdana" w:hAnsi="Verdana" w:cs="Arial"/>
                <w:b/>
                <w:bCs/>
                <w:snapToGrid w:val="0"/>
                <w:color w:val="000000"/>
                <w:sz w:val="20"/>
                <w:szCs w:val="20"/>
              </w:rPr>
              <w:t xml:space="preserve">a) </w:t>
            </w:r>
            <w:r w:rsidRPr="00335934">
              <w:rPr>
                <w:rFonts w:ascii="Verdana" w:hAnsi="Verdana" w:cs="Arial"/>
                <w:snapToGrid w:val="0"/>
                <w:color w:val="000000"/>
                <w:sz w:val="20"/>
                <w:szCs w:val="20"/>
              </w:rPr>
              <w:t>Hasta 10 centímetros</w:t>
            </w:r>
          </w:p>
        </w:tc>
        <w:tc>
          <w:tcPr>
            <w:tcW w:w="1588" w:type="dxa"/>
          </w:tcPr>
          <w:p w14:paraId="431BF935" w14:textId="77777777" w:rsidR="00902337" w:rsidRPr="00335934" w:rsidRDefault="00902337" w:rsidP="00335934">
            <w:pPr>
              <w:spacing w:line="240" w:lineRule="auto"/>
              <w:jc w:val="center"/>
              <w:rPr>
                <w:rFonts w:ascii="Verdana" w:hAnsi="Verdana" w:cs="Arial"/>
                <w:snapToGrid w:val="0"/>
                <w:color w:val="000000"/>
                <w:sz w:val="20"/>
                <w:szCs w:val="20"/>
              </w:rPr>
            </w:pPr>
            <w:r w:rsidRPr="00335934">
              <w:rPr>
                <w:rFonts w:ascii="Verdana" w:hAnsi="Verdana" w:cs="Arial"/>
                <w:snapToGrid w:val="0"/>
                <w:color w:val="000000"/>
                <w:sz w:val="20"/>
                <w:szCs w:val="20"/>
              </w:rPr>
              <w:t>1.00</w:t>
            </w:r>
          </w:p>
        </w:tc>
      </w:tr>
      <w:tr w:rsidR="00902337" w:rsidRPr="00335934" w14:paraId="11F0083D" w14:textId="77777777" w:rsidTr="006B6132">
        <w:trPr>
          <w:jc w:val="center"/>
        </w:trPr>
        <w:tc>
          <w:tcPr>
            <w:tcW w:w="5385" w:type="dxa"/>
          </w:tcPr>
          <w:p w14:paraId="273822A2" w14:textId="77777777" w:rsidR="00902337" w:rsidRPr="00335934" w:rsidRDefault="00902337" w:rsidP="00335934">
            <w:pPr>
              <w:spacing w:line="240" w:lineRule="auto"/>
              <w:jc w:val="both"/>
              <w:rPr>
                <w:rFonts w:ascii="Verdana" w:hAnsi="Verdana" w:cs="Arial"/>
                <w:snapToGrid w:val="0"/>
                <w:color w:val="000000"/>
                <w:sz w:val="20"/>
                <w:szCs w:val="20"/>
              </w:rPr>
            </w:pPr>
            <w:r w:rsidRPr="00335934">
              <w:rPr>
                <w:rFonts w:ascii="Verdana" w:hAnsi="Verdana" w:cs="Arial"/>
                <w:b/>
                <w:bCs/>
                <w:snapToGrid w:val="0"/>
                <w:color w:val="000000"/>
                <w:sz w:val="20"/>
                <w:szCs w:val="20"/>
              </w:rPr>
              <w:t xml:space="preserve">b) </w:t>
            </w:r>
            <w:r w:rsidRPr="00335934">
              <w:rPr>
                <w:rFonts w:ascii="Verdana" w:hAnsi="Verdana" w:cs="Arial"/>
                <w:snapToGrid w:val="0"/>
                <w:color w:val="000000"/>
                <w:sz w:val="20"/>
                <w:szCs w:val="20"/>
              </w:rPr>
              <w:t>De 10.01 a 30 centímetros</w:t>
            </w:r>
            <w:r w:rsidRPr="00335934">
              <w:rPr>
                <w:rFonts w:ascii="Verdana" w:hAnsi="Verdana" w:cs="Arial"/>
                <w:snapToGrid w:val="0"/>
                <w:color w:val="000000"/>
                <w:sz w:val="20"/>
                <w:szCs w:val="20"/>
              </w:rPr>
              <w:tab/>
            </w:r>
            <w:r w:rsidRPr="00335934">
              <w:rPr>
                <w:rFonts w:ascii="Verdana" w:hAnsi="Verdana" w:cs="Arial"/>
                <w:snapToGrid w:val="0"/>
                <w:color w:val="000000"/>
                <w:sz w:val="20"/>
                <w:szCs w:val="20"/>
              </w:rPr>
              <w:tab/>
            </w:r>
          </w:p>
        </w:tc>
        <w:tc>
          <w:tcPr>
            <w:tcW w:w="1588" w:type="dxa"/>
          </w:tcPr>
          <w:p w14:paraId="2F956929" w14:textId="77777777" w:rsidR="00902337" w:rsidRPr="00335934" w:rsidRDefault="00902337" w:rsidP="00335934">
            <w:pPr>
              <w:spacing w:line="240" w:lineRule="auto"/>
              <w:jc w:val="center"/>
              <w:rPr>
                <w:rFonts w:ascii="Verdana" w:hAnsi="Verdana" w:cs="Arial"/>
                <w:snapToGrid w:val="0"/>
                <w:color w:val="000000"/>
                <w:sz w:val="20"/>
                <w:szCs w:val="20"/>
              </w:rPr>
            </w:pPr>
            <w:r w:rsidRPr="00335934">
              <w:rPr>
                <w:rFonts w:ascii="Verdana" w:hAnsi="Verdana" w:cs="Arial"/>
                <w:snapToGrid w:val="0"/>
                <w:color w:val="000000"/>
                <w:sz w:val="20"/>
                <w:szCs w:val="20"/>
              </w:rPr>
              <w:t>1.05</w:t>
            </w:r>
          </w:p>
        </w:tc>
      </w:tr>
      <w:tr w:rsidR="00902337" w:rsidRPr="00335934" w14:paraId="5555D3DB" w14:textId="77777777" w:rsidTr="006B6132">
        <w:trPr>
          <w:jc w:val="center"/>
        </w:trPr>
        <w:tc>
          <w:tcPr>
            <w:tcW w:w="5385" w:type="dxa"/>
          </w:tcPr>
          <w:p w14:paraId="4078C46E" w14:textId="77777777" w:rsidR="00902337" w:rsidRPr="00335934" w:rsidRDefault="00902337" w:rsidP="00335934">
            <w:pPr>
              <w:spacing w:line="240" w:lineRule="auto"/>
              <w:jc w:val="both"/>
              <w:rPr>
                <w:rFonts w:ascii="Verdana" w:hAnsi="Verdana" w:cs="Arial"/>
                <w:snapToGrid w:val="0"/>
                <w:color w:val="000000"/>
                <w:sz w:val="20"/>
                <w:szCs w:val="20"/>
              </w:rPr>
            </w:pPr>
            <w:r w:rsidRPr="00335934">
              <w:rPr>
                <w:rFonts w:ascii="Verdana" w:hAnsi="Verdana" w:cs="Arial"/>
                <w:b/>
                <w:bCs/>
                <w:snapToGrid w:val="0"/>
                <w:color w:val="000000"/>
                <w:sz w:val="20"/>
                <w:szCs w:val="20"/>
              </w:rPr>
              <w:t xml:space="preserve">c) </w:t>
            </w:r>
            <w:r w:rsidRPr="00335934">
              <w:rPr>
                <w:rFonts w:ascii="Verdana" w:hAnsi="Verdana" w:cs="Arial"/>
                <w:snapToGrid w:val="0"/>
                <w:color w:val="000000"/>
                <w:sz w:val="20"/>
                <w:szCs w:val="20"/>
              </w:rPr>
              <w:t>De 30.01 a 60 centímetros</w:t>
            </w:r>
            <w:r w:rsidRPr="00335934">
              <w:rPr>
                <w:rFonts w:ascii="Verdana" w:hAnsi="Verdana" w:cs="Arial"/>
                <w:snapToGrid w:val="0"/>
                <w:color w:val="000000"/>
                <w:sz w:val="20"/>
                <w:szCs w:val="20"/>
              </w:rPr>
              <w:tab/>
            </w:r>
          </w:p>
        </w:tc>
        <w:tc>
          <w:tcPr>
            <w:tcW w:w="1588" w:type="dxa"/>
          </w:tcPr>
          <w:p w14:paraId="7414999B" w14:textId="77777777" w:rsidR="00902337" w:rsidRPr="00335934" w:rsidRDefault="00902337" w:rsidP="00335934">
            <w:pPr>
              <w:spacing w:line="240" w:lineRule="auto"/>
              <w:jc w:val="center"/>
              <w:rPr>
                <w:rFonts w:ascii="Verdana" w:hAnsi="Verdana" w:cs="Arial"/>
                <w:snapToGrid w:val="0"/>
                <w:color w:val="000000"/>
                <w:sz w:val="20"/>
                <w:szCs w:val="20"/>
              </w:rPr>
            </w:pPr>
            <w:r w:rsidRPr="00335934">
              <w:rPr>
                <w:rFonts w:ascii="Verdana" w:hAnsi="Verdana" w:cs="Arial"/>
                <w:snapToGrid w:val="0"/>
                <w:color w:val="000000"/>
                <w:sz w:val="20"/>
                <w:szCs w:val="20"/>
              </w:rPr>
              <w:t>1.08</w:t>
            </w:r>
          </w:p>
        </w:tc>
      </w:tr>
      <w:tr w:rsidR="00902337" w:rsidRPr="00335934" w14:paraId="658236CF" w14:textId="77777777" w:rsidTr="006B6132">
        <w:trPr>
          <w:jc w:val="center"/>
        </w:trPr>
        <w:tc>
          <w:tcPr>
            <w:tcW w:w="5385" w:type="dxa"/>
          </w:tcPr>
          <w:p w14:paraId="58AD5ED6" w14:textId="77777777" w:rsidR="00902337" w:rsidRPr="00335934" w:rsidRDefault="00902337" w:rsidP="00335934">
            <w:pPr>
              <w:spacing w:line="240" w:lineRule="auto"/>
              <w:jc w:val="both"/>
              <w:rPr>
                <w:rFonts w:ascii="Verdana" w:hAnsi="Verdana" w:cs="Arial"/>
                <w:snapToGrid w:val="0"/>
                <w:color w:val="000000"/>
                <w:sz w:val="20"/>
                <w:szCs w:val="20"/>
              </w:rPr>
            </w:pPr>
            <w:r w:rsidRPr="00335934">
              <w:rPr>
                <w:rFonts w:ascii="Verdana" w:hAnsi="Verdana" w:cs="Arial"/>
                <w:b/>
                <w:bCs/>
                <w:snapToGrid w:val="0"/>
                <w:color w:val="000000"/>
                <w:sz w:val="20"/>
                <w:szCs w:val="20"/>
              </w:rPr>
              <w:t xml:space="preserve">d) </w:t>
            </w:r>
            <w:r w:rsidRPr="00335934">
              <w:rPr>
                <w:rFonts w:ascii="Verdana" w:hAnsi="Verdana" w:cs="Arial"/>
                <w:snapToGrid w:val="0"/>
                <w:color w:val="000000"/>
                <w:sz w:val="20"/>
                <w:szCs w:val="20"/>
              </w:rPr>
              <w:t>Mayor de 60 centímetros</w:t>
            </w:r>
            <w:r w:rsidRPr="00335934">
              <w:rPr>
                <w:rFonts w:ascii="Verdana" w:hAnsi="Verdana" w:cs="Arial"/>
                <w:snapToGrid w:val="0"/>
                <w:color w:val="000000"/>
                <w:sz w:val="20"/>
                <w:szCs w:val="20"/>
              </w:rPr>
              <w:tab/>
            </w:r>
          </w:p>
        </w:tc>
        <w:tc>
          <w:tcPr>
            <w:tcW w:w="1588" w:type="dxa"/>
          </w:tcPr>
          <w:p w14:paraId="0E1C0F43" w14:textId="77777777" w:rsidR="00902337" w:rsidRPr="00335934" w:rsidRDefault="00902337" w:rsidP="00335934">
            <w:pPr>
              <w:spacing w:line="240" w:lineRule="auto"/>
              <w:jc w:val="center"/>
              <w:rPr>
                <w:rFonts w:ascii="Verdana" w:hAnsi="Verdana" w:cs="Arial"/>
                <w:snapToGrid w:val="0"/>
                <w:color w:val="000000"/>
                <w:sz w:val="20"/>
                <w:szCs w:val="20"/>
              </w:rPr>
            </w:pPr>
            <w:r w:rsidRPr="00335934">
              <w:rPr>
                <w:rFonts w:ascii="Verdana" w:hAnsi="Verdana" w:cs="Arial"/>
                <w:snapToGrid w:val="0"/>
                <w:color w:val="000000"/>
                <w:sz w:val="20"/>
                <w:szCs w:val="20"/>
              </w:rPr>
              <w:t>1.10</w:t>
            </w:r>
          </w:p>
        </w:tc>
      </w:tr>
      <w:tr w:rsidR="00902337" w:rsidRPr="00335934" w14:paraId="17F787E8" w14:textId="77777777" w:rsidTr="006B6132">
        <w:trPr>
          <w:jc w:val="center"/>
        </w:trPr>
        <w:tc>
          <w:tcPr>
            <w:tcW w:w="5385" w:type="dxa"/>
          </w:tcPr>
          <w:p w14:paraId="4F7D8940" w14:textId="77777777" w:rsidR="00902337" w:rsidRPr="00335934" w:rsidRDefault="00902337" w:rsidP="00335934">
            <w:pPr>
              <w:spacing w:line="240" w:lineRule="auto"/>
              <w:jc w:val="both"/>
              <w:rPr>
                <w:rFonts w:ascii="Verdana" w:hAnsi="Verdana" w:cs="Arial"/>
                <w:b/>
                <w:bCs/>
                <w:snapToGrid w:val="0"/>
                <w:color w:val="000000"/>
                <w:sz w:val="20"/>
                <w:szCs w:val="20"/>
              </w:rPr>
            </w:pPr>
          </w:p>
        </w:tc>
        <w:tc>
          <w:tcPr>
            <w:tcW w:w="1588" w:type="dxa"/>
          </w:tcPr>
          <w:p w14:paraId="1E07453A" w14:textId="77777777" w:rsidR="00902337" w:rsidRPr="00335934" w:rsidRDefault="00902337" w:rsidP="00335934">
            <w:pPr>
              <w:spacing w:line="240" w:lineRule="auto"/>
              <w:jc w:val="center"/>
              <w:rPr>
                <w:rFonts w:ascii="Verdana" w:hAnsi="Verdana" w:cs="Arial"/>
                <w:snapToGrid w:val="0"/>
                <w:color w:val="000000"/>
                <w:sz w:val="20"/>
                <w:szCs w:val="20"/>
              </w:rPr>
            </w:pPr>
          </w:p>
        </w:tc>
      </w:tr>
      <w:tr w:rsidR="00902337" w:rsidRPr="00335934" w14:paraId="3C44A903" w14:textId="77777777" w:rsidTr="006B6132">
        <w:trPr>
          <w:jc w:val="center"/>
        </w:trPr>
        <w:tc>
          <w:tcPr>
            <w:tcW w:w="5385" w:type="dxa"/>
          </w:tcPr>
          <w:p w14:paraId="0E258DDA" w14:textId="77777777" w:rsidR="00902337" w:rsidRPr="00335934" w:rsidRDefault="00902337" w:rsidP="00335934">
            <w:pPr>
              <w:spacing w:line="240" w:lineRule="auto"/>
              <w:jc w:val="both"/>
              <w:rPr>
                <w:rFonts w:ascii="Verdana" w:hAnsi="Verdana" w:cs="Arial"/>
                <w:b/>
                <w:snapToGrid w:val="0"/>
                <w:color w:val="000000"/>
                <w:sz w:val="20"/>
                <w:szCs w:val="20"/>
              </w:rPr>
            </w:pPr>
            <w:r w:rsidRPr="00335934">
              <w:rPr>
                <w:rFonts w:ascii="Verdana" w:hAnsi="Verdana" w:cs="Arial"/>
                <w:b/>
                <w:snapToGrid w:val="0"/>
                <w:color w:val="000000"/>
                <w:sz w:val="20"/>
                <w:szCs w:val="20"/>
              </w:rPr>
              <w:t>2. Topografía:</w:t>
            </w:r>
          </w:p>
        </w:tc>
        <w:tc>
          <w:tcPr>
            <w:tcW w:w="1588" w:type="dxa"/>
          </w:tcPr>
          <w:p w14:paraId="51BF8B02" w14:textId="77777777" w:rsidR="00902337" w:rsidRPr="00335934" w:rsidRDefault="00902337" w:rsidP="00335934">
            <w:pPr>
              <w:spacing w:line="240" w:lineRule="auto"/>
              <w:jc w:val="center"/>
              <w:rPr>
                <w:rFonts w:ascii="Verdana" w:hAnsi="Verdana" w:cs="Arial"/>
                <w:snapToGrid w:val="0"/>
                <w:color w:val="000000"/>
                <w:sz w:val="20"/>
                <w:szCs w:val="20"/>
              </w:rPr>
            </w:pPr>
          </w:p>
        </w:tc>
      </w:tr>
      <w:tr w:rsidR="00902337" w:rsidRPr="00335934" w14:paraId="7F1728C2" w14:textId="77777777" w:rsidTr="006B6132">
        <w:trPr>
          <w:jc w:val="center"/>
        </w:trPr>
        <w:tc>
          <w:tcPr>
            <w:tcW w:w="5385" w:type="dxa"/>
          </w:tcPr>
          <w:p w14:paraId="3114B766" w14:textId="77777777" w:rsidR="00902337" w:rsidRPr="00335934" w:rsidRDefault="00902337" w:rsidP="00335934">
            <w:pPr>
              <w:spacing w:line="240" w:lineRule="auto"/>
              <w:jc w:val="both"/>
              <w:rPr>
                <w:rFonts w:ascii="Verdana" w:hAnsi="Verdana" w:cs="Arial"/>
                <w:snapToGrid w:val="0"/>
                <w:color w:val="000000"/>
                <w:sz w:val="20"/>
                <w:szCs w:val="20"/>
              </w:rPr>
            </w:pPr>
            <w:r w:rsidRPr="00335934">
              <w:rPr>
                <w:rFonts w:ascii="Verdana" w:hAnsi="Verdana" w:cs="Arial"/>
                <w:b/>
                <w:bCs/>
                <w:snapToGrid w:val="0"/>
                <w:color w:val="000000"/>
                <w:sz w:val="20"/>
                <w:szCs w:val="20"/>
              </w:rPr>
              <w:t xml:space="preserve">a) </w:t>
            </w:r>
            <w:r w:rsidRPr="00335934">
              <w:rPr>
                <w:rFonts w:ascii="Verdana" w:hAnsi="Verdana" w:cs="Arial"/>
                <w:snapToGrid w:val="0"/>
                <w:color w:val="000000"/>
                <w:sz w:val="20"/>
                <w:szCs w:val="20"/>
              </w:rPr>
              <w:t>Terrenos planos</w:t>
            </w:r>
            <w:r w:rsidRPr="00335934">
              <w:rPr>
                <w:rFonts w:ascii="Verdana" w:hAnsi="Verdana" w:cs="Arial"/>
                <w:snapToGrid w:val="0"/>
                <w:color w:val="000000"/>
                <w:sz w:val="20"/>
                <w:szCs w:val="20"/>
              </w:rPr>
              <w:tab/>
            </w:r>
          </w:p>
        </w:tc>
        <w:tc>
          <w:tcPr>
            <w:tcW w:w="1588" w:type="dxa"/>
          </w:tcPr>
          <w:p w14:paraId="02CC9FB2" w14:textId="77777777" w:rsidR="00902337" w:rsidRPr="00335934" w:rsidRDefault="00902337" w:rsidP="00335934">
            <w:pPr>
              <w:spacing w:line="240" w:lineRule="auto"/>
              <w:jc w:val="center"/>
              <w:rPr>
                <w:rFonts w:ascii="Verdana" w:hAnsi="Verdana" w:cs="Arial"/>
                <w:snapToGrid w:val="0"/>
                <w:color w:val="000000"/>
                <w:sz w:val="20"/>
                <w:szCs w:val="20"/>
              </w:rPr>
            </w:pPr>
            <w:r w:rsidRPr="00335934">
              <w:rPr>
                <w:rFonts w:ascii="Verdana" w:hAnsi="Verdana" w:cs="Arial"/>
                <w:snapToGrid w:val="0"/>
                <w:color w:val="000000"/>
                <w:sz w:val="20"/>
                <w:szCs w:val="20"/>
              </w:rPr>
              <w:t>1.10</w:t>
            </w:r>
          </w:p>
        </w:tc>
      </w:tr>
      <w:tr w:rsidR="00902337" w:rsidRPr="00335934" w14:paraId="068F02D0" w14:textId="77777777" w:rsidTr="006B6132">
        <w:trPr>
          <w:jc w:val="center"/>
        </w:trPr>
        <w:tc>
          <w:tcPr>
            <w:tcW w:w="5385" w:type="dxa"/>
          </w:tcPr>
          <w:p w14:paraId="3683840E" w14:textId="77777777" w:rsidR="00902337" w:rsidRPr="00335934" w:rsidRDefault="00902337" w:rsidP="00335934">
            <w:pPr>
              <w:spacing w:line="240" w:lineRule="auto"/>
              <w:jc w:val="both"/>
              <w:rPr>
                <w:rFonts w:ascii="Verdana" w:hAnsi="Verdana" w:cs="Arial"/>
                <w:snapToGrid w:val="0"/>
                <w:color w:val="000000"/>
                <w:sz w:val="20"/>
                <w:szCs w:val="20"/>
              </w:rPr>
            </w:pPr>
            <w:r w:rsidRPr="00335934">
              <w:rPr>
                <w:rFonts w:ascii="Verdana" w:hAnsi="Verdana" w:cs="Arial"/>
                <w:b/>
                <w:bCs/>
                <w:snapToGrid w:val="0"/>
                <w:color w:val="000000"/>
                <w:sz w:val="20"/>
                <w:szCs w:val="20"/>
              </w:rPr>
              <w:t>b)</w:t>
            </w:r>
            <w:r w:rsidRPr="00335934">
              <w:rPr>
                <w:rFonts w:ascii="Verdana" w:hAnsi="Verdana" w:cs="Arial"/>
                <w:snapToGrid w:val="0"/>
                <w:color w:val="000000"/>
                <w:sz w:val="20"/>
                <w:szCs w:val="20"/>
              </w:rPr>
              <w:t xml:space="preserve"> Pendiente suave menor de 5%</w:t>
            </w:r>
          </w:p>
        </w:tc>
        <w:tc>
          <w:tcPr>
            <w:tcW w:w="1588" w:type="dxa"/>
          </w:tcPr>
          <w:p w14:paraId="6E6DD4F1" w14:textId="77777777" w:rsidR="00902337" w:rsidRPr="00335934" w:rsidRDefault="00902337" w:rsidP="00335934">
            <w:pPr>
              <w:spacing w:line="240" w:lineRule="auto"/>
              <w:jc w:val="center"/>
              <w:rPr>
                <w:rFonts w:ascii="Verdana" w:hAnsi="Verdana" w:cs="Arial"/>
                <w:snapToGrid w:val="0"/>
                <w:color w:val="000000"/>
                <w:sz w:val="20"/>
                <w:szCs w:val="20"/>
              </w:rPr>
            </w:pPr>
            <w:r w:rsidRPr="00335934">
              <w:rPr>
                <w:rFonts w:ascii="Verdana" w:hAnsi="Verdana" w:cs="Arial"/>
                <w:snapToGrid w:val="0"/>
                <w:color w:val="000000"/>
                <w:sz w:val="20"/>
                <w:szCs w:val="20"/>
              </w:rPr>
              <w:t>1.05</w:t>
            </w:r>
          </w:p>
        </w:tc>
      </w:tr>
      <w:tr w:rsidR="00902337" w:rsidRPr="00335934" w14:paraId="31DA1C69" w14:textId="77777777" w:rsidTr="006B6132">
        <w:trPr>
          <w:jc w:val="center"/>
        </w:trPr>
        <w:tc>
          <w:tcPr>
            <w:tcW w:w="5385" w:type="dxa"/>
          </w:tcPr>
          <w:p w14:paraId="376B9059" w14:textId="77777777" w:rsidR="00902337" w:rsidRPr="00335934" w:rsidRDefault="00902337" w:rsidP="00335934">
            <w:pPr>
              <w:spacing w:line="240" w:lineRule="auto"/>
              <w:jc w:val="both"/>
              <w:rPr>
                <w:rFonts w:ascii="Verdana" w:hAnsi="Verdana" w:cs="Arial"/>
                <w:snapToGrid w:val="0"/>
                <w:color w:val="000000"/>
                <w:sz w:val="20"/>
                <w:szCs w:val="20"/>
              </w:rPr>
            </w:pPr>
            <w:r w:rsidRPr="00335934">
              <w:rPr>
                <w:rFonts w:ascii="Verdana" w:hAnsi="Verdana" w:cs="Arial"/>
                <w:b/>
                <w:bCs/>
                <w:snapToGrid w:val="0"/>
                <w:color w:val="000000"/>
                <w:sz w:val="20"/>
                <w:szCs w:val="20"/>
              </w:rPr>
              <w:t>c)</w:t>
            </w:r>
            <w:r w:rsidRPr="00335934">
              <w:rPr>
                <w:rFonts w:ascii="Verdana" w:hAnsi="Verdana" w:cs="Arial"/>
                <w:snapToGrid w:val="0"/>
                <w:color w:val="000000"/>
                <w:sz w:val="20"/>
                <w:szCs w:val="20"/>
              </w:rPr>
              <w:t xml:space="preserve"> Pendiente fuerte mayor de 5%</w:t>
            </w:r>
          </w:p>
        </w:tc>
        <w:tc>
          <w:tcPr>
            <w:tcW w:w="1588" w:type="dxa"/>
          </w:tcPr>
          <w:p w14:paraId="348D754F" w14:textId="77777777" w:rsidR="00902337" w:rsidRPr="00335934" w:rsidRDefault="00902337" w:rsidP="00335934">
            <w:pPr>
              <w:spacing w:line="240" w:lineRule="auto"/>
              <w:jc w:val="center"/>
              <w:rPr>
                <w:rFonts w:ascii="Verdana" w:hAnsi="Verdana" w:cs="Arial"/>
                <w:snapToGrid w:val="0"/>
                <w:color w:val="000000"/>
                <w:sz w:val="20"/>
                <w:szCs w:val="20"/>
              </w:rPr>
            </w:pPr>
            <w:r w:rsidRPr="00335934">
              <w:rPr>
                <w:rFonts w:ascii="Verdana" w:hAnsi="Verdana" w:cs="Arial"/>
                <w:snapToGrid w:val="0"/>
                <w:color w:val="000000"/>
                <w:sz w:val="20"/>
                <w:szCs w:val="20"/>
              </w:rPr>
              <w:t>1.00</w:t>
            </w:r>
          </w:p>
        </w:tc>
      </w:tr>
      <w:tr w:rsidR="00902337" w:rsidRPr="00335934" w14:paraId="70D1AA1D" w14:textId="77777777" w:rsidTr="006B6132">
        <w:trPr>
          <w:jc w:val="center"/>
        </w:trPr>
        <w:tc>
          <w:tcPr>
            <w:tcW w:w="5385" w:type="dxa"/>
          </w:tcPr>
          <w:p w14:paraId="1780B147" w14:textId="77777777" w:rsidR="00902337" w:rsidRPr="00335934" w:rsidRDefault="00902337" w:rsidP="00335934">
            <w:pPr>
              <w:spacing w:line="240" w:lineRule="auto"/>
              <w:jc w:val="both"/>
              <w:rPr>
                <w:rFonts w:ascii="Verdana" w:hAnsi="Verdana" w:cs="Arial"/>
                <w:snapToGrid w:val="0"/>
                <w:color w:val="000000"/>
                <w:sz w:val="20"/>
                <w:szCs w:val="20"/>
              </w:rPr>
            </w:pPr>
            <w:r w:rsidRPr="00335934">
              <w:rPr>
                <w:rFonts w:ascii="Verdana" w:hAnsi="Verdana" w:cs="Arial"/>
                <w:b/>
                <w:bCs/>
                <w:snapToGrid w:val="0"/>
                <w:color w:val="000000"/>
                <w:sz w:val="20"/>
                <w:szCs w:val="20"/>
              </w:rPr>
              <w:t>d)</w:t>
            </w:r>
            <w:r w:rsidRPr="00335934">
              <w:rPr>
                <w:rFonts w:ascii="Verdana" w:hAnsi="Verdana" w:cs="Arial"/>
                <w:snapToGrid w:val="0"/>
                <w:color w:val="000000"/>
                <w:sz w:val="20"/>
                <w:szCs w:val="20"/>
              </w:rPr>
              <w:t xml:space="preserve"> Muy accidentado</w:t>
            </w:r>
            <w:r w:rsidRPr="00335934">
              <w:rPr>
                <w:rFonts w:ascii="Verdana" w:hAnsi="Verdana" w:cs="Arial"/>
                <w:snapToGrid w:val="0"/>
                <w:color w:val="000000"/>
                <w:sz w:val="20"/>
                <w:szCs w:val="20"/>
              </w:rPr>
              <w:tab/>
            </w:r>
          </w:p>
        </w:tc>
        <w:tc>
          <w:tcPr>
            <w:tcW w:w="1588" w:type="dxa"/>
          </w:tcPr>
          <w:p w14:paraId="3F1DAF0F" w14:textId="77777777" w:rsidR="00902337" w:rsidRPr="00335934" w:rsidRDefault="00902337" w:rsidP="00335934">
            <w:pPr>
              <w:spacing w:line="240" w:lineRule="auto"/>
              <w:jc w:val="center"/>
              <w:rPr>
                <w:rFonts w:ascii="Verdana" w:hAnsi="Verdana" w:cs="Arial"/>
                <w:snapToGrid w:val="0"/>
                <w:color w:val="000000"/>
                <w:sz w:val="20"/>
                <w:szCs w:val="20"/>
              </w:rPr>
            </w:pPr>
            <w:r w:rsidRPr="00335934">
              <w:rPr>
                <w:rFonts w:ascii="Verdana" w:hAnsi="Verdana" w:cs="Arial"/>
                <w:snapToGrid w:val="0"/>
                <w:color w:val="000000"/>
                <w:sz w:val="20"/>
                <w:szCs w:val="20"/>
              </w:rPr>
              <w:t>0.95</w:t>
            </w:r>
          </w:p>
        </w:tc>
      </w:tr>
      <w:tr w:rsidR="00902337" w:rsidRPr="00335934" w14:paraId="723B3308" w14:textId="77777777" w:rsidTr="006B6132">
        <w:trPr>
          <w:jc w:val="center"/>
        </w:trPr>
        <w:tc>
          <w:tcPr>
            <w:tcW w:w="5385" w:type="dxa"/>
          </w:tcPr>
          <w:p w14:paraId="3678084E" w14:textId="77777777" w:rsidR="00902337" w:rsidRPr="00335934" w:rsidRDefault="00902337" w:rsidP="00335934">
            <w:pPr>
              <w:spacing w:line="240" w:lineRule="auto"/>
              <w:jc w:val="both"/>
              <w:rPr>
                <w:rFonts w:ascii="Verdana" w:hAnsi="Verdana" w:cs="Arial"/>
                <w:b/>
                <w:bCs/>
                <w:snapToGrid w:val="0"/>
                <w:color w:val="000000"/>
                <w:sz w:val="20"/>
                <w:szCs w:val="20"/>
              </w:rPr>
            </w:pPr>
          </w:p>
        </w:tc>
        <w:tc>
          <w:tcPr>
            <w:tcW w:w="1588" w:type="dxa"/>
          </w:tcPr>
          <w:p w14:paraId="35E37639" w14:textId="77777777" w:rsidR="00902337" w:rsidRPr="00335934" w:rsidRDefault="00902337" w:rsidP="00335934">
            <w:pPr>
              <w:spacing w:line="240" w:lineRule="auto"/>
              <w:jc w:val="center"/>
              <w:rPr>
                <w:rFonts w:ascii="Verdana" w:hAnsi="Verdana" w:cs="Arial"/>
                <w:snapToGrid w:val="0"/>
                <w:color w:val="000000"/>
                <w:sz w:val="20"/>
                <w:szCs w:val="20"/>
              </w:rPr>
            </w:pPr>
          </w:p>
        </w:tc>
      </w:tr>
      <w:tr w:rsidR="00902337" w:rsidRPr="00335934" w14:paraId="1C04EE3C" w14:textId="77777777" w:rsidTr="006B6132">
        <w:trPr>
          <w:jc w:val="center"/>
        </w:trPr>
        <w:tc>
          <w:tcPr>
            <w:tcW w:w="5385" w:type="dxa"/>
          </w:tcPr>
          <w:p w14:paraId="6421C14D" w14:textId="77777777" w:rsidR="00902337" w:rsidRPr="00335934" w:rsidRDefault="00902337" w:rsidP="00335934">
            <w:pPr>
              <w:spacing w:line="240" w:lineRule="auto"/>
              <w:jc w:val="both"/>
              <w:rPr>
                <w:rFonts w:ascii="Verdana" w:hAnsi="Verdana" w:cs="Arial"/>
                <w:b/>
                <w:snapToGrid w:val="0"/>
                <w:color w:val="000000"/>
                <w:sz w:val="20"/>
                <w:szCs w:val="20"/>
              </w:rPr>
            </w:pPr>
            <w:r w:rsidRPr="00335934">
              <w:rPr>
                <w:rFonts w:ascii="Verdana" w:hAnsi="Verdana" w:cs="Arial"/>
                <w:b/>
                <w:snapToGrid w:val="0"/>
                <w:color w:val="000000"/>
                <w:sz w:val="20"/>
                <w:szCs w:val="20"/>
              </w:rPr>
              <w:t>3. Distancias a Centros de Comercialización:</w:t>
            </w:r>
          </w:p>
        </w:tc>
        <w:tc>
          <w:tcPr>
            <w:tcW w:w="1588" w:type="dxa"/>
          </w:tcPr>
          <w:p w14:paraId="7E018980" w14:textId="77777777" w:rsidR="00902337" w:rsidRPr="00335934" w:rsidRDefault="00902337" w:rsidP="00335934">
            <w:pPr>
              <w:spacing w:line="240" w:lineRule="auto"/>
              <w:jc w:val="center"/>
              <w:rPr>
                <w:rFonts w:ascii="Verdana" w:hAnsi="Verdana" w:cs="Arial"/>
                <w:snapToGrid w:val="0"/>
                <w:color w:val="000000"/>
                <w:sz w:val="20"/>
                <w:szCs w:val="20"/>
              </w:rPr>
            </w:pPr>
          </w:p>
        </w:tc>
      </w:tr>
      <w:tr w:rsidR="00902337" w:rsidRPr="00335934" w14:paraId="79D09318" w14:textId="77777777" w:rsidTr="006B6132">
        <w:trPr>
          <w:jc w:val="center"/>
        </w:trPr>
        <w:tc>
          <w:tcPr>
            <w:tcW w:w="5385" w:type="dxa"/>
          </w:tcPr>
          <w:p w14:paraId="04343BA8" w14:textId="77777777" w:rsidR="00902337" w:rsidRPr="00335934" w:rsidRDefault="00902337" w:rsidP="00335934">
            <w:pPr>
              <w:spacing w:line="240" w:lineRule="auto"/>
              <w:jc w:val="both"/>
              <w:rPr>
                <w:rFonts w:ascii="Verdana" w:hAnsi="Verdana" w:cs="Arial"/>
                <w:snapToGrid w:val="0"/>
                <w:color w:val="000000"/>
                <w:sz w:val="20"/>
                <w:szCs w:val="20"/>
              </w:rPr>
            </w:pPr>
            <w:r w:rsidRPr="00335934">
              <w:rPr>
                <w:rFonts w:ascii="Verdana" w:hAnsi="Verdana" w:cs="Arial"/>
                <w:b/>
                <w:bCs/>
                <w:snapToGrid w:val="0"/>
                <w:color w:val="000000"/>
                <w:sz w:val="20"/>
                <w:szCs w:val="20"/>
              </w:rPr>
              <w:t xml:space="preserve">a) </w:t>
            </w:r>
            <w:r w:rsidRPr="00335934">
              <w:rPr>
                <w:rFonts w:ascii="Verdana" w:hAnsi="Verdana" w:cs="Arial"/>
                <w:snapToGrid w:val="0"/>
                <w:color w:val="000000"/>
                <w:sz w:val="20"/>
                <w:szCs w:val="20"/>
              </w:rPr>
              <w:t>A menos de 3 kilómetros</w:t>
            </w:r>
            <w:r w:rsidRPr="00335934">
              <w:rPr>
                <w:rFonts w:ascii="Verdana" w:hAnsi="Verdana" w:cs="Arial"/>
                <w:snapToGrid w:val="0"/>
                <w:color w:val="000000"/>
                <w:sz w:val="20"/>
                <w:szCs w:val="20"/>
              </w:rPr>
              <w:tab/>
            </w:r>
          </w:p>
        </w:tc>
        <w:tc>
          <w:tcPr>
            <w:tcW w:w="1588" w:type="dxa"/>
          </w:tcPr>
          <w:p w14:paraId="62E156EC" w14:textId="77777777" w:rsidR="00902337" w:rsidRPr="00335934" w:rsidRDefault="00902337" w:rsidP="00335934">
            <w:pPr>
              <w:spacing w:line="240" w:lineRule="auto"/>
              <w:jc w:val="center"/>
              <w:rPr>
                <w:rFonts w:ascii="Verdana" w:hAnsi="Verdana" w:cs="Arial"/>
                <w:snapToGrid w:val="0"/>
                <w:color w:val="000000"/>
                <w:sz w:val="20"/>
                <w:szCs w:val="20"/>
              </w:rPr>
            </w:pPr>
            <w:r w:rsidRPr="00335934">
              <w:rPr>
                <w:rFonts w:ascii="Verdana" w:hAnsi="Verdana" w:cs="Arial"/>
                <w:snapToGrid w:val="0"/>
                <w:color w:val="000000"/>
                <w:sz w:val="20"/>
                <w:szCs w:val="20"/>
              </w:rPr>
              <w:t>1.50</w:t>
            </w:r>
          </w:p>
        </w:tc>
      </w:tr>
      <w:tr w:rsidR="00902337" w:rsidRPr="00335934" w14:paraId="6A3DE817" w14:textId="77777777" w:rsidTr="006B6132">
        <w:trPr>
          <w:jc w:val="center"/>
        </w:trPr>
        <w:tc>
          <w:tcPr>
            <w:tcW w:w="5385" w:type="dxa"/>
          </w:tcPr>
          <w:p w14:paraId="51A7E71E" w14:textId="77777777" w:rsidR="00902337" w:rsidRPr="00335934" w:rsidRDefault="00902337" w:rsidP="00335934">
            <w:pPr>
              <w:spacing w:line="240" w:lineRule="auto"/>
              <w:jc w:val="both"/>
              <w:rPr>
                <w:rFonts w:ascii="Verdana" w:hAnsi="Verdana" w:cs="Arial"/>
                <w:snapToGrid w:val="0"/>
                <w:color w:val="000000"/>
                <w:sz w:val="20"/>
                <w:szCs w:val="20"/>
              </w:rPr>
            </w:pPr>
            <w:r w:rsidRPr="00335934">
              <w:rPr>
                <w:rFonts w:ascii="Verdana" w:hAnsi="Verdana" w:cs="Arial"/>
                <w:b/>
                <w:bCs/>
                <w:snapToGrid w:val="0"/>
                <w:color w:val="000000"/>
                <w:sz w:val="20"/>
                <w:szCs w:val="20"/>
              </w:rPr>
              <w:t xml:space="preserve">b) </w:t>
            </w:r>
            <w:r w:rsidRPr="00335934">
              <w:rPr>
                <w:rFonts w:ascii="Verdana" w:hAnsi="Verdana" w:cs="Arial"/>
                <w:snapToGrid w:val="0"/>
                <w:color w:val="000000"/>
                <w:sz w:val="20"/>
                <w:szCs w:val="20"/>
              </w:rPr>
              <w:t>A más de 3 kilómetros</w:t>
            </w:r>
            <w:r w:rsidRPr="00335934">
              <w:rPr>
                <w:rFonts w:ascii="Verdana" w:hAnsi="Verdana" w:cs="Arial"/>
                <w:snapToGrid w:val="0"/>
                <w:color w:val="000000"/>
                <w:sz w:val="20"/>
                <w:szCs w:val="20"/>
              </w:rPr>
              <w:tab/>
            </w:r>
          </w:p>
          <w:p w14:paraId="315A5D37" w14:textId="77777777" w:rsidR="00902337" w:rsidRPr="00335934" w:rsidRDefault="00902337" w:rsidP="00335934">
            <w:pPr>
              <w:spacing w:line="240" w:lineRule="auto"/>
              <w:jc w:val="both"/>
              <w:rPr>
                <w:rFonts w:ascii="Verdana" w:hAnsi="Verdana" w:cs="Arial"/>
                <w:snapToGrid w:val="0"/>
                <w:color w:val="000000"/>
                <w:sz w:val="20"/>
                <w:szCs w:val="20"/>
              </w:rPr>
            </w:pPr>
          </w:p>
        </w:tc>
        <w:tc>
          <w:tcPr>
            <w:tcW w:w="1588" w:type="dxa"/>
          </w:tcPr>
          <w:p w14:paraId="72B6CF5C" w14:textId="77777777" w:rsidR="00902337" w:rsidRPr="00335934" w:rsidRDefault="00902337" w:rsidP="00335934">
            <w:pPr>
              <w:spacing w:line="240" w:lineRule="auto"/>
              <w:jc w:val="center"/>
              <w:rPr>
                <w:rFonts w:ascii="Verdana" w:hAnsi="Verdana" w:cs="Arial"/>
                <w:snapToGrid w:val="0"/>
                <w:color w:val="000000"/>
                <w:sz w:val="20"/>
                <w:szCs w:val="20"/>
              </w:rPr>
            </w:pPr>
            <w:r w:rsidRPr="00335934">
              <w:rPr>
                <w:rFonts w:ascii="Verdana" w:hAnsi="Verdana" w:cs="Arial"/>
                <w:snapToGrid w:val="0"/>
                <w:color w:val="000000"/>
                <w:sz w:val="20"/>
                <w:szCs w:val="20"/>
              </w:rPr>
              <w:t>1.00</w:t>
            </w:r>
          </w:p>
        </w:tc>
      </w:tr>
      <w:tr w:rsidR="00902337" w:rsidRPr="00335934" w14:paraId="7538BD0E" w14:textId="77777777" w:rsidTr="006B6132">
        <w:trPr>
          <w:jc w:val="center"/>
        </w:trPr>
        <w:tc>
          <w:tcPr>
            <w:tcW w:w="5385" w:type="dxa"/>
          </w:tcPr>
          <w:p w14:paraId="63FDBB4E" w14:textId="77777777" w:rsidR="00902337" w:rsidRPr="00335934" w:rsidRDefault="00902337" w:rsidP="00335934">
            <w:pPr>
              <w:spacing w:line="240" w:lineRule="auto"/>
              <w:jc w:val="both"/>
              <w:rPr>
                <w:rFonts w:ascii="Verdana" w:hAnsi="Verdana" w:cs="Arial"/>
                <w:b/>
                <w:snapToGrid w:val="0"/>
                <w:color w:val="000000"/>
                <w:sz w:val="20"/>
                <w:szCs w:val="20"/>
              </w:rPr>
            </w:pPr>
            <w:r w:rsidRPr="00335934">
              <w:rPr>
                <w:rFonts w:ascii="Verdana" w:hAnsi="Verdana" w:cs="Arial"/>
                <w:b/>
                <w:snapToGrid w:val="0"/>
                <w:color w:val="000000"/>
                <w:sz w:val="20"/>
                <w:szCs w:val="20"/>
              </w:rPr>
              <w:lastRenderedPageBreak/>
              <w:t>4. Acceso a Vías de Comunicación:</w:t>
            </w:r>
            <w:r w:rsidRPr="00335934">
              <w:rPr>
                <w:rFonts w:ascii="Verdana" w:hAnsi="Verdana" w:cs="Arial"/>
                <w:b/>
                <w:snapToGrid w:val="0"/>
                <w:color w:val="000000"/>
                <w:sz w:val="20"/>
                <w:szCs w:val="20"/>
              </w:rPr>
              <w:tab/>
            </w:r>
          </w:p>
        </w:tc>
        <w:tc>
          <w:tcPr>
            <w:tcW w:w="1588" w:type="dxa"/>
          </w:tcPr>
          <w:p w14:paraId="18079055" w14:textId="77777777" w:rsidR="00902337" w:rsidRPr="00335934" w:rsidRDefault="00902337" w:rsidP="00335934">
            <w:pPr>
              <w:spacing w:line="240" w:lineRule="auto"/>
              <w:jc w:val="center"/>
              <w:rPr>
                <w:rFonts w:ascii="Verdana" w:hAnsi="Verdana" w:cs="Arial"/>
                <w:snapToGrid w:val="0"/>
                <w:color w:val="000000"/>
                <w:sz w:val="20"/>
                <w:szCs w:val="20"/>
              </w:rPr>
            </w:pPr>
          </w:p>
        </w:tc>
      </w:tr>
      <w:tr w:rsidR="00902337" w:rsidRPr="00335934" w14:paraId="34790C33" w14:textId="77777777" w:rsidTr="006B6132">
        <w:trPr>
          <w:jc w:val="center"/>
        </w:trPr>
        <w:tc>
          <w:tcPr>
            <w:tcW w:w="5385" w:type="dxa"/>
          </w:tcPr>
          <w:p w14:paraId="1CB9BA6C" w14:textId="77777777" w:rsidR="00902337" w:rsidRPr="00335934" w:rsidRDefault="00902337" w:rsidP="00335934">
            <w:pPr>
              <w:spacing w:line="240" w:lineRule="auto"/>
              <w:jc w:val="both"/>
              <w:rPr>
                <w:rFonts w:ascii="Verdana" w:hAnsi="Verdana" w:cs="Arial"/>
                <w:snapToGrid w:val="0"/>
                <w:color w:val="000000"/>
                <w:sz w:val="20"/>
                <w:szCs w:val="20"/>
              </w:rPr>
            </w:pPr>
            <w:r w:rsidRPr="00335934">
              <w:rPr>
                <w:rFonts w:ascii="Verdana" w:hAnsi="Verdana" w:cs="Arial"/>
                <w:b/>
                <w:bCs/>
                <w:snapToGrid w:val="0"/>
                <w:color w:val="000000"/>
                <w:sz w:val="20"/>
                <w:szCs w:val="20"/>
              </w:rPr>
              <w:t xml:space="preserve">a) </w:t>
            </w:r>
            <w:r w:rsidRPr="00335934">
              <w:rPr>
                <w:rFonts w:ascii="Verdana" w:hAnsi="Verdana" w:cs="Arial"/>
                <w:snapToGrid w:val="0"/>
                <w:color w:val="000000"/>
                <w:sz w:val="20"/>
                <w:szCs w:val="20"/>
              </w:rPr>
              <w:t>Todo el año</w:t>
            </w:r>
          </w:p>
        </w:tc>
        <w:tc>
          <w:tcPr>
            <w:tcW w:w="1588" w:type="dxa"/>
          </w:tcPr>
          <w:p w14:paraId="1C319049" w14:textId="77777777" w:rsidR="00902337" w:rsidRPr="00335934" w:rsidRDefault="00902337" w:rsidP="00335934">
            <w:pPr>
              <w:spacing w:line="240" w:lineRule="auto"/>
              <w:jc w:val="center"/>
              <w:rPr>
                <w:rFonts w:ascii="Verdana" w:hAnsi="Verdana" w:cs="Arial"/>
                <w:snapToGrid w:val="0"/>
                <w:color w:val="000000"/>
                <w:sz w:val="20"/>
                <w:szCs w:val="20"/>
              </w:rPr>
            </w:pPr>
            <w:r w:rsidRPr="00335934">
              <w:rPr>
                <w:rFonts w:ascii="Verdana" w:hAnsi="Verdana" w:cs="Arial"/>
                <w:snapToGrid w:val="0"/>
                <w:color w:val="000000"/>
                <w:sz w:val="20"/>
                <w:szCs w:val="20"/>
              </w:rPr>
              <w:t>1.20</w:t>
            </w:r>
          </w:p>
        </w:tc>
      </w:tr>
      <w:tr w:rsidR="00902337" w:rsidRPr="00335934" w14:paraId="139F6914" w14:textId="77777777" w:rsidTr="006B6132">
        <w:trPr>
          <w:jc w:val="center"/>
        </w:trPr>
        <w:tc>
          <w:tcPr>
            <w:tcW w:w="5385" w:type="dxa"/>
          </w:tcPr>
          <w:p w14:paraId="22D5C58A" w14:textId="77777777" w:rsidR="00902337" w:rsidRPr="00335934" w:rsidRDefault="00902337" w:rsidP="00335934">
            <w:pPr>
              <w:spacing w:line="240" w:lineRule="auto"/>
              <w:jc w:val="both"/>
              <w:rPr>
                <w:rFonts w:ascii="Verdana" w:hAnsi="Verdana" w:cs="Arial"/>
                <w:snapToGrid w:val="0"/>
                <w:color w:val="000000"/>
                <w:sz w:val="20"/>
                <w:szCs w:val="20"/>
              </w:rPr>
            </w:pPr>
            <w:r w:rsidRPr="00335934">
              <w:rPr>
                <w:rFonts w:ascii="Verdana" w:hAnsi="Verdana" w:cs="Arial"/>
                <w:b/>
                <w:bCs/>
                <w:snapToGrid w:val="0"/>
                <w:color w:val="000000"/>
                <w:sz w:val="20"/>
                <w:szCs w:val="20"/>
              </w:rPr>
              <w:t xml:space="preserve">b) </w:t>
            </w:r>
            <w:r w:rsidRPr="00335934">
              <w:rPr>
                <w:rFonts w:ascii="Verdana" w:hAnsi="Verdana" w:cs="Arial"/>
                <w:snapToGrid w:val="0"/>
                <w:color w:val="000000"/>
                <w:sz w:val="20"/>
                <w:szCs w:val="20"/>
              </w:rPr>
              <w:t>Tiempo de secas</w:t>
            </w:r>
          </w:p>
        </w:tc>
        <w:tc>
          <w:tcPr>
            <w:tcW w:w="1588" w:type="dxa"/>
          </w:tcPr>
          <w:p w14:paraId="7E07FDC5" w14:textId="77777777" w:rsidR="00902337" w:rsidRPr="00335934" w:rsidRDefault="00902337" w:rsidP="00335934">
            <w:pPr>
              <w:spacing w:line="240" w:lineRule="auto"/>
              <w:jc w:val="center"/>
              <w:rPr>
                <w:rFonts w:ascii="Verdana" w:hAnsi="Verdana" w:cs="Arial"/>
                <w:snapToGrid w:val="0"/>
                <w:color w:val="000000"/>
                <w:sz w:val="20"/>
                <w:szCs w:val="20"/>
              </w:rPr>
            </w:pPr>
            <w:r w:rsidRPr="00335934">
              <w:rPr>
                <w:rFonts w:ascii="Verdana" w:hAnsi="Verdana" w:cs="Arial"/>
                <w:snapToGrid w:val="0"/>
                <w:color w:val="000000"/>
                <w:sz w:val="20"/>
                <w:szCs w:val="20"/>
              </w:rPr>
              <w:t>1.00</w:t>
            </w:r>
          </w:p>
        </w:tc>
      </w:tr>
      <w:tr w:rsidR="00902337" w:rsidRPr="00335934" w14:paraId="42D1E7EE" w14:textId="77777777" w:rsidTr="006B6132">
        <w:trPr>
          <w:jc w:val="center"/>
        </w:trPr>
        <w:tc>
          <w:tcPr>
            <w:tcW w:w="5385" w:type="dxa"/>
          </w:tcPr>
          <w:p w14:paraId="658ED724" w14:textId="77777777" w:rsidR="00902337" w:rsidRPr="00335934" w:rsidRDefault="00902337" w:rsidP="00335934">
            <w:pPr>
              <w:spacing w:line="240" w:lineRule="auto"/>
              <w:jc w:val="both"/>
              <w:rPr>
                <w:rFonts w:ascii="Verdana" w:hAnsi="Verdana" w:cs="Arial"/>
                <w:snapToGrid w:val="0"/>
                <w:color w:val="000000"/>
                <w:sz w:val="20"/>
                <w:szCs w:val="20"/>
              </w:rPr>
            </w:pPr>
            <w:r w:rsidRPr="00335934">
              <w:rPr>
                <w:rFonts w:ascii="Verdana" w:hAnsi="Verdana" w:cs="Arial"/>
                <w:b/>
                <w:bCs/>
                <w:snapToGrid w:val="0"/>
                <w:color w:val="000000"/>
                <w:sz w:val="20"/>
                <w:szCs w:val="20"/>
              </w:rPr>
              <w:t xml:space="preserve">c) </w:t>
            </w:r>
            <w:r w:rsidRPr="00335934">
              <w:rPr>
                <w:rFonts w:ascii="Verdana" w:hAnsi="Verdana" w:cs="Arial"/>
                <w:snapToGrid w:val="0"/>
                <w:color w:val="000000"/>
                <w:sz w:val="20"/>
                <w:szCs w:val="20"/>
              </w:rPr>
              <w:t>Sin acceso</w:t>
            </w:r>
            <w:r w:rsidRPr="00335934">
              <w:rPr>
                <w:rFonts w:ascii="Verdana" w:hAnsi="Verdana" w:cs="Arial"/>
                <w:snapToGrid w:val="0"/>
                <w:color w:val="000000"/>
                <w:sz w:val="20"/>
                <w:szCs w:val="20"/>
              </w:rPr>
              <w:tab/>
            </w:r>
          </w:p>
        </w:tc>
        <w:tc>
          <w:tcPr>
            <w:tcW w:w="1588" w:type="dxa"/>
          </w:tcPr>
          <w:p w14:paraId="33E066BB" w14:textId="77777777" w:rsidR="00902337" w:rsidRPr="00335934" w:rsidRDefault="00902337" w:rsidP="00335934">
            <w:pPr>
              <w:spacing w:line="240" w:lineRule="auto"/>
              <w:jc w:val="center"/>
              <w:rPr>
                <w:rFonts w:ascii="Verdana" w:hAnsi="Verdana" w:cs="Arial"/>
                <w:snapToGrid w:val="0"/>
                <w:color w:val="000000"/>
                <w:sz w:val="20"/>
                <w:szCs w:val="20"/>
              </w:rPr>
            </w:pPr>
            <w:r w:rsidRPr="00335934">
              <w:rPr>
                <w:rFonts w:ascii="Verdana" w:hAnsi="Verdana" w:cs="Arial"/>
                <w:snapToGrid w:val="0"/>
                <w:color w:val="000000"/>
                <w:sz w:val="20"/>
                <w:szCs w:val="20"/>
              </w:rPr>
              <w:t>0.50</w:t>
            </w:r>
          </w:p>
        </w:tc>
      </w:tr>
    </w:tbl>
    <w:p w14:paraId="09BB60B1" w14:textId="77777777" w:rsidR="00902337" w:rsidRPr="00335934" w:rsidRDefault="00902337" w:rsidP="00335934">
      <w:pPr>
        <w:pStyle w:val="NormalWeb"/>
        <w:jc w:val="both"/>
        <w:rPr>
          <w:rFonts w:ascii="Verdana" w:hAnsi="Verdana"/>
          <w:sz w:val="20"/>
          <w:szCs w:val="20"/>
        </w:rPr>
      </w:pPr>
      <w:r w:rsidRPr="00335934">
        <w:rPr>
          <w:rFonts w:ascii="Verdana" w:hAnsi="Verdana"/>
          <w:sz w:val="20"/>
          <w:szCs w:val="20"/>
        </w:rPr>
        <w:tab/>
        <w:t>El factor que se utilizará para terrenos de riego eventual será el 0.60. Para aplicar este factor, se calculará primeramente como terreno de riego.</w:t>
      </w:r>
    </w:p>
    <w:p w14:paraId="747927DC" w14:textId="77777777" w:rsidR="00902337" w:rsidRPr="00335934" w:rsidRDefault="00902337" w:rsidP="00335934">
      <w:pPr>
        <w:pStyle w:val="NormalWeb"/>
        <w:jc w:val="both"/>
        <w:rPr>
          <w:rFonts w:ascii="Verdana" w:hAnsi="Verdana"/>
          <w:sz w:val="20"/>
          <w:szCs w:val="20"/>
        </w:rPr>
      </w:pPr>
      <w:r w:rsidRPr="00335934">
        <w:rPr>
          <w:rFonts w:ascii="Verdana" w:hAnsi="Verdana"/>
          <w:sz w:val="20"/>
          <w:szCs w:val="20"/>
        </w:rPr>
        <w:tab/>
      </w:r>
      <w:r w:rsidRPr="00335934">
        <w:rPr>
          <w:rFonts w:ascii="Verdana" w:hAnsi="Verdana"/>
          <w:b/>
          <w:bCs/>
          <w:sz w:val="20"/>
          <w:szCs w:val="20"/>
        </w:rPr>
        <w:t xml:space="preserve">b) </w:t>
      </w:r>
      <w:r w:rsidRPr="00335934">
        <w:rPr>
          <w:rFonts w:ascii="Verdana" w:hAnsi="Verdana"/>
          <w:sz w:val="20"/>
          <w:szCs w:val="20"/>
        </w:rPr>
        <w:t>Tabla de valores expresados en pesos por metro cuadrado para inmuebles menores de una hectárea, no dedicados a la agricultura (pie de casa o solar):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39"/>
        <w:gridCol w:w="949"/>
      </w:tblGrid>
      <w:tr w:rsidR="00902337" w:rsidRPr="00335934" w14:paraId="37C3DA59"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FB20A6"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1. Inmuebles cercanos a rancherías sin ningún servicio</w:t>
            </w:r>
          </w:p>
        </w:tc>
        <w:tc>
          <w:tcPr>
            <w:tcW w:w="0" w:type="auto"/>
            <w:tcBorders>
              <w:top w:val="single" w:sz="6" w:space="0" w:color="000000"/>
              <w:left w:val="single" w:sz="6" w:space="0" w:color="000000"/>
              <w:bottom w:val="single" w:sz="6" w:space="0" w:color="000000"/>
              <w:right w:val="single" w:sz="6" w:space="0" w:color="000000"/>
            </w:tcBorders>
            <w:hideMark/>
          </w:tcPr>
          <w:p w14:paraId="4B2078B7"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$10.47</w:t>
            </w:r>
          </w:p>
        </w:tc>
      </w:tr>
      <w:tr w:rsidR="00902337" w:rsidRPr="00335934" w14:paraId="597A0874"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9C6850"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2. Inmuebles cercanos a rancherías, sin servicios y en prolongación de calle cercana</w:t>
            </w:r>
          </w:p>
        </w:tc>
        <w:tc>
          <w:tcPr>
            <w:tcW w:w="0" w:type="auto"/>
            <w:tcBorders>
              <w:top w:val="single" w:sz="6" w:space="0" w:color="000000"/>
              <w:left w:val="single" w:sz="6" w:space="0" w:color="000000"/>
              <w:bottom w:val="single" w:sz="6" w:space="0" w:color="000000"/>
              <w:right w:val="single" w:sz="6" w:space="0" w:color="000000"/>
            </w:tcBorders>
            <w:hideMark/>
          </w:tcPr>
          <w:p w14:paraId="5E5AB90D"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$25.28</w:t>
            </w:r>
          </w:p>
        </w:tc>
      </w:tr>
      <w:tr w:rsidR="00902337" w:rsidRPr="00335934" w14:paraId="1FE49612"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A33716"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3. Inmuebles en rancherías, con calles sin servicios</w:t>
            </w:r>
          </w:p>
        </w:tc>
        <w:tc>
          <w:tcPr>
            <w:tcW w:w="0" w:type="auto"/>
            <w:tcBorders>
              <w:top w:val="single" w:sz="6" w:space="0" w:color="000000"/>
              <w:left w:val="single" w:sz="6" w:space="0" w:color="000000"/>
              <w:bottom w:val="single" w:sz="6" w:space="0" w:color="000000"/>
              <w:right w:val="single" w:sz="6" w:space="0" w:color="000000"/>
            </w:tcBorders>
            <w:hideMark/>
          </w:tcPr>
          <w:p w14:paraId="458524E1"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$52.42</w:t>
            </w:r>
          </w:p>
        </w:tc>
      </w:tr>
      <w:tr w:rsidR="00902337" w:rsidRPr="00335934" w14:paraId="55473D84"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5DEB36"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4. Inmuebles en rancherías, sobre calles trazadas con algún tipo de servicio</w:t>
            </w:r>
          </w:p>
        </w:tc>
        <w:tc>
          <w:tcPr>
            <w:tcW w:w="0" w:type="auto"/>
            <w:tcBorders>
              <w:top w:val="single" w:sz="6" w:space="0" w:color="000000"/>
              <w:left w:val="single" w:sz="6" w:space="0" w:color="000000"/>
              <w:bottom w:val="single" w:sz="6" w:space="0" w:color="000000"/>
              <w:right w:val="single" w:sz="6" w:space="0" w:color="000000"/>
            </w:tcBorders>
            <w:hideMark/>
          </w:tcPr>
          <w:p w14:paraId="711532B5"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$73.37</w:t>
            </w:r>
          </w:p>
        </w:tc>
      </w:tr>
      <w:tr w:rsidR="00902337" w:rsidRPr="00335934" w14:paraId="6E127D9D"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0FE338"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5. Inmuebles en rancherías, sobre calle con todos los servicios</w:t>
            </w:r>
          </w:p>
        </w:tc>
        <w:tc>
          <w:tcPr>
            <w:tcW w:w="0" w:type="auto"/>
            <w:tcBorders>
              <w:top w:val="single" w:sz="6" w:space="0" w:color="000000"/>
              <w:left w:val="single" w:sz="6" w:space="0" w:color="000000"/>
              <w:bottom w:val="single" w:sz="6" w:space="0" w:color="000000"/>
              <w:right w:val="single" w:sz="6" w:space="0" w:color="000000"/>
            </w:tcBorders>
            <w:hideMark/>
          </w:tcPr>
          <w:p w14:paraId="618CB542"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$89.11</w:t>
            </w:r>
          </w:p>
        </w:tc>
      </w:tr>
    </w:tbl>
    <w:p w14:paraId="5669EBAA" w14:textId="77777777" w:rsidR="00902337" w:rsidRPr="00335934" w:rsidRDefault="00902337" w:rsidP="00335934">
      <w:pPr>
        <w:pStyle w:val="NormalWeb"/>
        <w:jc w:val="both"/>
        <w:rPr>
          <w:rFonts w:ascii="Verdana" w:hAnsi="Verdana"/>
          <w:sz w:val="20"/>
          <w:szCs w:val="20"/>
        </w:rPr>
      </w:pPr>
      <w:r w:rsidRPr="00335934">
        <w:rPr>
          <w:rFonts w:ascii="Verdana" w:hAnsi="Verdana"/>
          <w:sz w:val="20"/>
          <w:szCs w:val="20"/>
        </w:rPr>
        <w:tab/>
        <w:t>La tabla de valores unitarios de construcción, prevista en la fracción I, inciso b) de este Artículo se aplicará a las construcciones edificadas en el suelo o terreno rústico.</w:t>
      </w:r>
    </w:p>
    <w:p w14:paraId="3882CDDF" w14:textId="77777777" w:rsidR="00902337" w:rsidRPr="00335934" w:rsidRDefault="00902337" w:rsidP="00335934">
      <w:pPr>
        <w:pStyle w:val="NormalWeb"/>
        <w:jc w:val="both"/>
        <w:rPr>
          <w:rFonts w:ascii="Verdana" w:hAnsi="Verdana"/>
          <w:sz w:val="20"/>
          <w:szCs w:val="20"/>
        </w:rPr>
      </w:pPr>
      <w:r w:rsidRPr="00335934">
        <w:rPr>
          <w:rStyle w:val="Textoennegrita"/>
          <w:rFonts w:ascii="Verdana" w:hAnsi="Verdana"/>
          <w:sz w:val="20"/>
          <w:szCs w:val="20"/>
        </w:rPr>
        <w:tab/>
        <w:t>Artículo 6</w:t>
      </w:r>
      <w:r w:rsidRPr="00335934">
        <w:rPr>
          <w:rFonts w:ascii="Verdana" w:hAnsi="Verdana"/>
          <w:sz w:val="20"/>
          <w:szCs w:val="20"/>
        </w:rPr>
        <w:t>. Para la práctica de los avalúos, el municipio atenderá a las tablas contenidas en la presente Ley, considerando los valores unitarios de los inmuebles, los que se determinarán conforme a los siguientes criterios:</w:t>
      </w:r>
    </w:p>
    <w:tbl>
      <w:tblPr>
        <w:tblW w:w="8929"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29"/>
      </w:tblGrid>
      <w:tr w:rsidR="00902337" w:rsidRPr="00335934" w14:paraId="1CDF4A66" w14:textId="77777777" w:rsidTr="006B6132">
        <w:tc>
          <w:tcPr>
            <w:tcW w:w="8929" w:type="dxa"/>
          </w:tcPr>
          <w:p w14:paraId="0D20BA2F" w14:textId="77777777" w:rsidR="00902337" w:rsidRPr="00335934" w:rsidRDefault="00902337" w:rsidP="00335934">
            <w:pPr>
              <w:spacing w:line="240" w:lineRule="auto"/>
              <w:jc w:val="both"/>
              <w:rPr>
                <w:rFonts w:ascii="Verdana" w:hAnsi="Verdana" w:cs="Arial"/>
                <w:b/>
                <w:snapToGrid w:val="0"/>
                <w:color w:val="000000"/>
                <w:sz w:val="20"/>
                <w:szCs w:val="20"/>
              </w:rPr>
            </w:pPr>
            <w:r w:rsidRPr="00335934">
              <w:rPr>
                <w:rFonts w:ascii="Verdana" w:hAnsi="Verdana" w:cs="Arial"/>
                <w:b/>
                <w:snapToGrid w:val="0"/>
                <w:color w:val="000000"/>
                <w:sz w:val="20"/>
                <w:szCs w:val="20"/>
              </w:rPr>
              <w:t>I. Tratándose de terrenos urbanos y suburbanos, se sujetarán a los siguientes factores:</w:t>
            </w:r>
          </w:p>
          <w:p w14:paraId="3B934C34" w14:textId="77777777" w:rsidR="00902337" w:rsidRPr="00335934" w:rsidRDefault="00902337" w:rsidP="00335934">
            <w:pPr>
              <w:spacing w:line="240" w:lineRule="auto"/>
              <w:jc w:val="both"/>
              <w:rPr>
                <w:rFonts w:ascii="Verdana" w:hAnsi="Verdana" w:cs="Arial"/>
                <w:b/>
                <w:snapToGrid w:val="0"/>
                <w:color w:val="000000"/>
                <w:sz w:val="20"/>
                <w:szCs w:val="20"/>
              </w:rPr>
            </w:pPr>
          </w:p>
        </w:tc>
      </w:tr>
      <w:tr w:rsidR="00902337" w:rsidRPr="00335934" w14:paraId="57E8CA98" w14:textId="77777777" w:rsidTr="006B6132">
        <w:tc>
          <w:tcPr>
            <w:tcW w:w="8929" w:type="dxa"/>
          </w:tcPr>
          <w:p w14:paraId="3D35E6EC" w14:textId="77777777" w:rsidR="00902337" w:rsidRPr="00335934" w:rsidRDefault="00902337" w:rsidP="00335934">
            <w:pPr>
              <w:pStyle w:val="Prrafodelista"/>
              <w:numPr>
                <w:ilvl w:val="0"/>
                <w:numId w:val="4"/>
              </w:numPr>
              <w:jc w:val="both"/>
              <w:rPr>
                <w:rFonts w:ascii="Verdana" w:hAnsi="Verdana" w:cs="Arial"/>
                <w:snapToGrid w:val="0"/>
                <w:color w:val="000000"/>
                <w:sz w:val="20"/>
                <w:szCs w:val="20"/>
                <w:lang w:val="es-MX"/>
              </w:rPr>
            </w:pPr>
            <w:r w:rsidRPr="00335934">
              <w:rPr>
                <w:rFonts w:ascii="Verdana" w:hAnsi="Verdana" w:cs="Arial"/>
                <w:snapToGrid w:val="0"/>
                <w:color w:val="000000"/>
                <w:sz w:val="20"/>
                <w:szCs w:val="20"/>
                <w:lang w:val="es-MX"/>
              </w:rPr>
              <w:t>Características de los servicios públicos y del equipamiento urbano;</w:t>
            </w:r>
          </w:p>
        </w:tc>
      </w:tr>
      <w:tr w:rsidR="00902337" w:rsidRPr="00335934" w14:paraId="598FEAF7" w14:textId="77777777" w:rsidTr="006B6132">
        <w:tc>
          <w:tcPr>
            <w:tcW w:w="8929" w:type="dxa"/>
          </w:tcPr>
          <w:p w14:paraId="18B10169" w14:textId="77777777" w:rsidR="00902337" w:rsidRPr="00335934" w:rsidRDefault="00902337" w:rsidP="00335934">
            <w:pPr>
              <w:pStyle w:val="Prrafodelista"/>
              <w:numPr>
                <w:ilvl w:val="0"/>
                <w:numId w:val="4"/>
              </w:numPr>
              <w:jc w:val="both"/>
              <w:rPr>
                <w:rFonts w:ascii="Verdana" w:hAnsi="Verdana" w:cs="Arial"/>
                <w:snapToGrid w:val="0"/>
                <w:color w:val="000000"/>
                <w:sz w:val="20"/>
                <w:szCs w:val="20"/>
                <w:lang w:val="es-MX"/>
              </w:rPr>
            </w:pPr>
            <w:r w:rsidRPr="00335934">
              <w:rPr>
                <w:rFonts w:ascii="Verdana" w:hAnsi="Verdana" w:cs="Arial"/>
                <w:snapToGrid w:val="0"/>
                <w:color w:val="000000"/>
                <w:sz w:val="20"/>
                <w:szCs w:val="20"/>
                <w:lang w:val="es-MX"/>
              </w:rPr>
              <w:t>Tipo de desarrollo urbano y su estado físico, en el cual deberá considerar el uso actual y potencial del suelo, y la uniformidad de los inmuebles edificados, sean residenciales, comerciales o industriales, así como aquellos de uso diferente;</w:t>
            </w:r>
          </w:p>
        </w:tc>
      </w:tr>
      <w:tr w:rsidR="00902337" w:rsidRPr="00335934" w14:paraId="0CD41E70" w14:textId="77777777" w:rsidTr="006B6132">
        <w:tc>
          <w:tcPr>
            <w:tcW w:w="8929" w:type="dxa"/>
          </w:tcPr>
          <w:p w14:paraId="0135ED10" w14:textId="77777777" w:rsidR="00902337" w:rsidRPr="00335934" w:rsidRDefault="00902337" w:rsidP="00335934">
            <w:pPr>
              <w:pStyle w:val="Prrafodelista"/>
              <w:numPr>
                <w:ilvl w:val="0"/>
                <w:numId w:val="4"/>
              </w:numPr>
              <w:jc w:val="both"/>
              <w:rPr>
                <w:rFonts w:ascii="Verdana" w:hAnsi="Verdana" w:cs="Arial"/>
                <w:snapToGrid w:val="0"/>
                <w:color w:val="000000"/>
                <w:sz w:val="20"/>
                <w:szCs w:val="20"/>
                <w:lang w:val="es-MX"/>
              </w:rPr>
            </w:pPr>
            <w:r w:rsidRPr="00335934">
              <w:rPr>
                <w:rFonts w:ascii="Verdana" w:hAnsi="Verdana" w:cs="Arial"/>
                <w:snapToGrid w:val="0"/>
                <w:color w:val="000000"/>
                <w:sz w:val="20"/>
                <w:szCs w:val="20"/>
                <w:lang w:val="es-MX"/>
              </w:rPr>
              <w:t>Índice socioeconómico de los habitantes;</w:t>
            </w:r>
          </w:p>
        </w:tc>
      </w:tr>
      <w:tr w:rsidR="00902337" w:rsidRPr="00335934" w14:paraId="61E31973" w14:textId="77777777" w:rsidTr="006B6132">
        <w:tc>
          <w:tcPr>
            <w:tcW w:w="8929" w:type="dxa"/>
          </w:tcPr>
          <w:p w14:paraId="40A054D4" w14:textId="77777777" w:rsidR="00902337" w:rsidRPr="00335934" w:rsidRDefault="00902337" w:rsidP="00335934">
            <w:pPr>
              <w:pStyle w:val="Prrafodelista"/>
              <w:numPr>
                <w:ilvl w:val="0"/>
                <w:numId w:val="4"/>
              </w:numPr>
              <w:jc w:val="both"/>
              <w:rPr>
                <w:rFonts w:ascii="Verdana" w:hAnsi="Verdana" w:cs="Arial"/>
                <w:snapToGrid w:val="0"/>
                <w:color w:val="000000"/>
                <w:sz w:val="20"/>
                <w:szCs w:val="20"/>
                <w:lang w:val="es-MX"/>
              </w:rPr>
            </w:pPr>
            <w:r w:rsidRPr="00335934">
              <w:rPr>
                <w:rFonts w:ascii="Verdana" w:hAnsi="Verdana" w:cs="Arial"/>
                <w:snapToGrid w:val="0"/>
                <w:color w:val="000000"/>
                <w:sz w:val="20"/>
                <w:szCs w:val="20"/>
                <w:lang w:val="es-MX"/>
              </w:rPr>
              <w:t>Las políticas de ordenamiento y regulación del territorio que sean aplicables; y</w:t>
            </w:r>
          </w:p>
        </w:tc>
      </w:tr>
      <w:tr w:rsidR="00902337" w:rsidRPr="00335934" w14:paraId="1AC5409D" w14:textId="77777777" w:rsidTr="006B6132">
        <w:trPr>
          <w:trHeight w:val="645"/>
        </w:trPr>
        <w:tc>
          <w:tcPr>
            <w:tcW w:w="8929" w:type="dxa"/>
          </w:tcPr>
          <w:p w14:paraId="60543D6C" w14:textId="77777777" w:rsidR="00902337" w:rsidRPr="00335934" w:rsidRDefault="00902337" w:rsidP="00335934">
            <w:pPr>
              <w:pStyle w:val="Prrafodelista"/>
              <w:numPr>
                <w:ilvl w:val="0"/>
                <w:numId w:val="4"/>
              </w:numPr>
              <w:jc w:val="both"/>
              <w:rPr>
                <w:rFonts w:ascii="Verdana" w:hAnsi="Verdana" w:cs="Arial"/>
                <w:snapToGrid w:val="0"/>
                <w:color w:val="000000"/>
                <w:sz w:val="20"/>
                <w:szCs w:val="20"/>
                <w:lang w:val="es-MX"/>
              </w:rPr>
            </w:pPr>
            <w:r w:rsidRPr="00335934">
              <w:rPr>
                <w:rFonts w:ascii="Verdana" w:hAnsi="Verdana" w:cs="Arial"/>
                <w:snapToGrid w:val="0"/>
                <w:color w:val="000000"/>
                <w:sz w:val="20"/>
                <w:szCs w:val="20"/>
                <w:lang w:val="es-MX"/>
              </w:rPr>
              <w:lastRenderedPageBreak/>
              <w:t>Las características geológicas y topográficas, así como la irregularidad en el perímetro, que afecte su valor comercial.</w:t>
            </w:r>
          </w:p>
        </w:tc>
      </w:tr>
      <w:tr w:rsidR="00902337" w:rsidRPr="00335934" w14:paraId="3D2A2395" w14:textId="77777777" w:rsidTr="006B6132">
        <w:trPr>
          <w:trHeight w:val="229"/>
        </w:trPr>
        <w:tc>
          <w:tcPr>
            <w:tcW w:w="8929" w:type="dxa"/>
          </w:tcPr>
          <w:p w14:paraId="1C4C7B7D" w14:textId="77777777" w:rsidR="00902337" w:rsidRPr="00335934" w:rsidRDefault="00902337" w:rsidP="00335934">
            <w:pPr>
              <w:spacing w:line="240" w:lineRule="auto"/>
              <w:jc w:val="both"/>
              <w:rPr>
                <w:rFonts w:ascii="Verdana" w:hAnsi="Verdana" w:cs="Arial"/>
                <w:snapToGrid w:val="0"/>
                <w:color w:val="000000"/>
                <w:sz w:val="20"/>
                <w:szCs w:val="20"/>
              </w:rPr>
            </w:pPr>
          </w:p>
        </w:tc>
      </w:tr>
      <w:tr w:rsidR="00902337" w:rsidRPr="00335934" w14:paraId="3019F872" w14:textId="77777777" w:rsidTr="006B6132">
        <w:tc>
          <w:tcPr>
            <w:tcW w:w="8929" w:type="dxa"/>
          </w:tcPr>
          <w:p w14:paraId="6C3B0ACB" w14:textId="505E7E75" w:rsidR="00902337" w:rsidRPr="00335934" w:rsidRDefault="00902337" w:rsidP="00335934">
            <w:pPr>
              <w:spacing w:line="240" w:lineRule="auto"/>
              <w:jc w:val="both"/>
              <w:rPr>
                <w:rFonts w:ascii="Verdana" w:hAnsi="Verdana" w:cs="Arial"/>
                <w:b/>
                <w:snapToGrid w:val="0"/>
                <w:color w:val="000000"/>
                <w:sz w:val="20"/>
                <w:szCs w:val="20"/>
              </w:rPr>
            </w:pPr>
            <w:r w:rsidRPr="00335934">
              <w:rPr>
                <w:rFonts w:ascii="Verdana" w:hAnsi="Verdana" w:cs="Arial"/>
                <w:b/>
                <w:snapToGrid w:val="0"/>
                <w:color w:val="000000"/>
                <w:sz w:val="20"/>
                <w:szCs w:val="20"/>
              </w:rPr>
              <w:t>II. Para el caso de terrenos rústicos, se hará atendiendo a los siguientes factores:</w:t>
            </w:r>
          </w:p>
        </w:tc>
      </w:tr>
      <w:tr w:rsidR="00902337" w:rsidRPr="00335934" w14:paraId="5CF2310C" w14:textId="77777777" w:rsidTr="006B6132">
        <w:tc>
          <w:tcPr>
            <w:tcW w:w="8929" w:type="dxa"/>
          </w:tcPr>
          <w:p w14:paraId="6F5CFA10" w14:textId="77777777" w:rsidR="00902337" w:rsidRPr="00335934" w:rsidRDefault="00902337" w:rsidP="00335934">
            <w:pPr>
              <w:pStyle w:val="Prrafodelista"/>
              <w:numPr>
                <w:ilvl w:val="0"/>
                <w:numId w:val="5"/>
              </w:numPr>
              <w:jc w:val="both"/>
              <w:rPr>
                <w:rFonts w:ascii="Verdana" w:hAnsi="Verdana" w:cs="Arial"/>
                <w:snapToGrid w:val="0"/>
                <w:color w:val="000000"/>
                <w:sz w:val="20"/>
                <w:szCs w:val="20"/>
                <w:lang w:val="es-MX"/>
              </w:rPr>
            </w:pPr>
            <w:r w:rsidRPr="00335934">
              <w:rPr>
                <w:rFonts w:ascii="Verdana" w:hAnsi="Verdana" w:cs="Arial"/>
                <w:snapToGrid w:val="0"/>
                <w:color w:val="000000"/>
                <w:sz w:val="20"/>
                <w:szCs w:val="20"/>
                <w:lang w:val="es-MX"/>
              </w:rPr>
              <w:t>Las características del medio físico, recursos naturales y situación ambiental que conformen el sistema ecológico;</w:t>
            </w:r>
          </w:p>
        </w:tc>
      </w:tr>
      <w:tr w:rsidR="00902337" w:rsidRPr="00335934" w14:paraId="72CAC3EC" w14:textId="77777777" w:rsidTr="006B6132">
        <w:tc>
          <w:tcPr>
            <w:tcW w:w="8929" w:type="dxa"/>
          </w:tcPr>
          <w:p w14:paraId="52506F4D" w14:textId="77777777" w:rsidR="00902337" w:rsidRPr="00335934" w:rsidRDefault="00902337" w:rsidP="00335934">
            <w:pPr>
              <w:pStyle w:val="Prrafodelista"/>
              <w:numPr>
                <w:ilvl w:val="0"/>
                <w:numId w:val="5"/>
              </w:numPr>
              <w:jc w:val="both"/>
              <w:rPr>
                <w:rFonts w:ascii="Verdana" w:hAnsi="Verdana" w:cs="Arial"/>
                <w:snapToGrid w:val="0"/>
                <w:color w:val="000000"/>
                <w:sz w:val="20"/>
                <w:szCs w:val="20"/>
                <w:lang w:val="es-MX"/>
              </w:rPr>
            </w:pPr>
            <w:r w:rsidRPr="00335934">
              <w:rPr>
                <w:rFonts w:ascii="Verdana" w:hAnsi="Verdana" w:cs="Arial"/>
                <w:snapToGrid w:val="0"/>
                <w:color w:val="000000"/>
                <w:sz w:val="20"/>
                <w:szCs w:val="20"/>
                <w:lang w:val="es-MX"/>
              </w:rPr>
              <w:t>La infraestructura y servicios integrados al área; y</w:t>
            </w:r>
          </w:p>
        </w:tc>
      </w:tr>
      <w:tr w:rsidR="00902337" w:rsidRPr="00335934" w14:paraId="77480920" w14:textId="77777777" w:rsidTr="006B6132">
        <w:tc>
          <w:tcPr>
            <w:tcW w:w="8929" w:type="dxa"/>
          </w:tcPr>
          <w:p w14:paraId="67CB249A" w14:textId="77777777" w:rsidR="00902337" w:rsidRPr="00335934" w:rsidRDefault="00902337" w:rsidP="00335934">
            <w:pPr>
              <w:pStyle w:val="Prrafodelista"/>
              <w:numPr>
                <w:ilvl w:val="0"/>
                <w:numId w:val="5"/>
              </w:numPr>
              <w:jc w:val="both"/>
              <w:rPr>
                <w:rFonts w:ascii="Verdana" w:hAnsi="Verdana" w:cs="Arial"/>
                <w:snapToGrid w:val="0"/>
                <w:color w:val="000000"/>
                <w:sz w:val="20"/>
                <w:szCs w:val="20"/>
                <w:lang w:val="es-MX"/>
              </w:rPr>
            </w:pPr>
            <w:r w:rsidRPr="00335934">
              <w:rPr>
                <w:rFonts w:ascii="Verdana" w:hAnsi="Verdana" w:cs="Arial"/>
                <w:snapToGrid w:val="0"/>
                <w:color w:val="000000"/>
                <w:sz w:val="20"/>
                <w:szCs w:val="20"/>
                <w:lang w:val="es-MX"/>
              </w:rPr>
              <w:t>La situación jurídica de la tenencia de la tierra.</w:t>
            </w:r>
          </w:p>
        </w:tc>
      </w:tr>
      <w:tr w:rsidR="00902337" w:rsidRPr="00335934" w14:paraId="1F9AE1FA" w14:textId="77777777" w:rsidTr="006B6132">
        <w:trPr>
          <w:trHeight w:val="387"/>
        </w:trPr>
        <w:tc>
          <w:tcPr>
            <w:tcW w:w="8929" w:type="dxa"/>
          </w:tcPr>
          <w:p w14:paraId="21930105" w14:textId="77777777" w:rsidR="00902337" w:rsidRPr="00335934" w:rsidRDefault="00902337" w:rsidP="00335934">
            <w:pPr>
              <w:spacing w:line="240" w:lineRule="auto"/>
              <w:jc w:val="both"/>
              <w:rPr>
                <w:rFonts w:ascii="Verdana" w:hAnsi="Verdana" w:cs="Arial"/>
                <w:snapToGrid w:val="0"/>
                <w:color w:val="000000"/>
                <w:sz w:val="20"/>
                <w:szCs w:val="20"/>
              </w:rPr>
            </w:pPr>
          </w:p>
        </w:tc>
      </w:tr>
      <w:tr w:rsidR="00902337" w:rsidRPr="00335934" w14:paraId="2318D4EC" w14:textId="77777777" w:rsidTr="006B6132">
        <w:tc>
          <w:tcPr>
            <w:tcW w:w="8929" w:type="dxa"/>
          </w:tcPr>
          <w:p w14:paraId="13DC0066" w14:textId="77777777" w:rsidR="00902337" w:rsidRPr="00335934" w:rsidRDefault="00902337" w:rsidP="00335934">
            <w:pPr>
              <w:spacing w:line="240" w:lineRule="auto"/>
              <w:jc w:val="both"/>
              <w:rPr>
                <w:rFonts w:ascii="Verdana" w:hAnsi="Verdana" w:cs="Arial"/>
                <w:b/>
                <w:snapToGrid w:val="0"/>
                <w:color w:val="000000"/>
                <w:sz w:val="20"/>
                <w:szCs w:val="20"/>
              </w:rPr>
            </w:pPr>
            <w:r w:rsidRPr="00335934">
              <w:rPr>
                <w:rFonts w:ascii="Verdana" w:hAnsi="Verdana" w:cs="Arial"/>
                <w:b/>
                <w:snapToGrid w:val="0"/>
                <w:color w:val="000000"/>
                <w:sz w:val="20"/>
                <w:szCs w:val="20"/>
              </w:rPr>
              <w:t>III. Tratándose de construcción se atenderá a los factores siguientes:</w:t>
            </w:r>
          </w:p>
          <w:p w14:paraId="7A0814F4" w14:textId="77777777" w:rsidR="00902337" w:rsidRPr="00335934" w:rsidRDefault="00902337" w:rsidP="00335934">
            <w:pPr>
              <w:spacing w:line="240" w:lineRule="auto"/>
              <w:jc w:val="both"/>
              <w:rPr>
                <w:rFonts w:ascii="Verdana" w:hAnsi="Verdana" w:cs="Arial"/>
                <w:snapToGrid w:val="0"/>
                <w:color w:val="000000"/>
                <w:sz w:val="20"/>
                <w:szCs w:val="20"/>
              </w:rPr>
            </w:pPr>
          </w:p>
        </w:tc>
      </w:tr>
      <w:tr w:rsidR="00902337" w:rsidRPr="00335934" w14:paraId="2CE58C5C" w14:textId="77777777" w:rsidTr="006B6132">
        <w:tc>
          <w:tcPr>
            <w:tcW w:w="8929" w:type="dxa"/>
          </w:tcPr>
          <w:p w14:paraId="0AAD1404" w14:textId="77777777" w:rsidR="00902337" w:rsidRPr="00335934" w:rsidRDefault="00902337" w:rsidP="00335934">
            <w:pPr>
              <w:pStyle w:val="Prrafodelista"/>
              <w:numPr>
                <w:ilvl w:val="0"/>
                <w:numId w:val="6"/>
              </w:numPr>
              <w:jc w:val="both"/>
              <w:rPr>
                <w:rFonts w:ascii="Verdana" w:hAnsi="Verdana" w:cs="Arial"/>
                <w:snapToGrid w:val="0"/>
                <w:color w:val="000000"/>
                <w:sz w:val="20"/>
                <w:szCs w:val="20"/>
                <w:lang w:val="es-MX"/>
              </w:rPr>
            </w:pPr>
            <w:r w:rsidRPr="00335934">
              <w:rPr>
                <w:rFonts w:ascii="Verdana" w:hAnsi="Verdana" w:cs="Arial"/>
                <w:snapToGrid w:val="0"/>
                <w:color w:val="000000"/>
                <w:sz w:val="20"/>
                <w:szCs w:val="20"/>
                <w:lang w:val="es-MX"/>
              </w:rPr>
              <w:t>Uso y calidad de la construcción;</w:t>
            </w:r>
          </w:p>
        </w:tc>
      </w:tr>
      <w:tr w:rsidR="00902337" w:rsidRPr="00335934" w14:paraId="12DDD26A" w14:textId="77777777" w:rsidTr="006B6132">
        <w:tc>
          <w:tcPr>
            <w:tcW w:w="8929" w:type="dxa"/>
          </w:tcPr>
          <w:p w14:paraId="7D467405" w14:textId="77777777" w:rsidR="00902337" w:rsidRPr="00335934" w:rsidRDefault="00902337" w:rsidP="00335934">
            <w:pPr>
              <w:pStyle w:val="Prrafodelista"/>
              <w:numPr>
                <w:ilvl w:val="0"/>
                <w:numId w:val="6"/>
              </w:numPr>
              <w:jc w:val="both"/>
              <w:rPr>
                <w:rFonts w:ascii="Verdana" w:hAnsi="Verdana" w:cs="Arial"/>
                <w:snapToGrid w:val="0"/>
                <w:color w:val="000000"/>
                <w:sz w:val="20"/>
                <w:szCs w:val="20"/>
                <w:lang w:val="es-MX"/>
              </w:rPr>
            </w:pPr>
            <w:r w:rsidRPr="00335934">
              <w:rPr>
                <w:rFonts w:ascii="Verdana" w:hAnsi="Verdana" w:cs="Arial"/>
                <w:snapToGrid w:val="0"/>
                <w:color w:val="000000"/>
                <w:sz w:val="20"/>
                <w:szCs w:val="20"/>
                <w:lang w:val="es-MX"/>
              </w:rPr>
              <w:t>Costo y calidad de los materiales de construcción utilizados; y</w:t>
            </w:r>
          </w:p>
        </w:tc>
      </w:tr>
      <w:tr w:rsidR="00902337" w:rsidRPr="00335934" w14:paraId="757C117E" w14:textId="77777777" w:rsidTr="006B6132">
        <w:tc>
          <w:tcPr>
            <w:tcW w:w="8929" w:type="dxa"/>
          </w:tcPr>
          <w:p w14:paraId="62DDE3E1" w14:textId="77777777" w:rsidR="00902337" w:rsidRPr="00335934" w:rsidRDefault="00902337" w:rsidP="00335934">
            <w:pPr>
              <w:pStyle w:val="Prrafodelista"/>
              <w:numPr>
                <w:ilvl w:val="0"/>
                <w:numId w:val="6"/>
              </w:numPr>
              <w:jc w:val="both"/>
              <w:rPr>
                <w:rFonts w:ascii="Verdana" w:hAnsi="Verdana" w:cs="Arial"/>
                <w:snapToGrid w:val="0"/>
                <w:color w:val="000000"/>
                <w:sz w:val="20"/>
                <w:szCs w:val="20"/>
                <w:lang w:val="es-MX"/>
              </w:rPr>
            </w:pPr>
            <w:r w:rsidRPr="00335934">
              <w:rPr>
                <w:rFonts w:ascii="Verdana" w:hAnsi="Verdana" w:cs="Arial"/>
                <w:snapToGrid w:val="0"/>
                <w:color w:val="000000"/>
                <w:sz w:val="20"/>
                <w:szCs w:val="20"/>
                <w:lang w:val="es-MX"/>
              </w:rPr>
              <w:t>Costo de la mano de obra empleada.</w:t>
            </w:r>
          </w:p>
        </w:tc>
      </w:tr>
    </w:tbl>
    <w:p w14:paraId="33B7F80C" w14:textId="77777777" w:rsidR="00902337" w:rsidRPr="00335934" w:rsidRDefault="00902337" w:rsidP="00335934">
      <w:pPr>
        <w:spacing w:line="240" w:lineRule="auto"/>
        <w:jc w:val="center"/>
        <w:rPr>
          <w:rStyle w:val="Textoennegrita"/>
          <w:rFonts w:ascii="Verdana" w:hAnsi="Verdana" w:cs="Arial"/>
          <w:sz w:val="20"/>
          <w:szCs w:val="20"/>
          <w:highlight w:val="yellow"/>
        </w:rPr>
      </w:pPr>
    </w:p>
    <w:p w14:paraId="33B3C624" w14:textId="77777777" w:rsidR="00902337" w:rsidRPr="00335934" w:rsidRDefault="00902337" w:rsidP="00335934">
      <w:pPr>
        <w:spacing w:line="240" w:lineRule="auto"/>
        <w:jc w:val="center"/>
        <w:rPr>
          <w:rFonts w:ascii="Verdana" w:eastAsia="Times New Roman" w:hAnsi="Verdana" w:cs="Arial"/>
          <w:sz w:val="20"/>
          <w:szCs w:val="20"/>
        </w:rPr>
      </w:pPr>
      <w:r w:rsidRPr="00335934">
        <w:rPr>
          <w:rStyle w:val="Textoennegrita"/>
          <w:rFonts w:ascii="Verdana" w:hAnsi="Verdana" w:cs="Arial"/>
          <w:sz w:val="20"/>
          <w:szCs w:val="20"/>
        </w:rPr>
        <w:t>SECCIÓN SEGUNDA</w:t>
      </w:r>
      <w:r w:rsidRPr="00335934">
        <w:rPr>
          <w:rFonts w:ascii="Verdana" w:eastAsia="Times New Roman" w:hAnsi="Verdana" w:cs="Arial"/>
          <w:b/>
          <w:bCs/>
          <w:sz w:val="20"/>
          <w:szCs w:val="20"/>
        </w:rPr>
        <w:br/>
      </w:r>
      <w:r w:rsidRPr="00335934">
        <w:rPr>
          <w:rStyle w:val="Textoennegrita"/>
          <w:rFonts w:ascii="Verdana" w:hAnsi="Verdana" w:cs="Arial"/>
          <w:sz w:val="20"/>
          <w:szCs w:val="20"/>
        </w:rPr>
        <w:t>IMPUESTO SOBRE LA ADQUISICIÓN DE BIENES INMUEBLES</w:t>
      </w:r>
    </w:p>
    <w:p w14:paraId="31956254" w14:textId="77777777" w:rsidR="00902337" w:rsidRPr="00335934" w:rsidRDefault="00902337" w:rsidP="00335934">
      <w:pPr>
        <w:spacing w:line="240" w:lineRule="auto"/>
        <w:jc w:val="both"/>
        <w:rPr>
          <w:rFonts w:ascii="Verdana" w:eastAsia="Times New Roman" w:hAnsi="Verdana" w:cs="Arial"/>
          <w:sz w:val="20"/>
          <w:szCs w:val="20"/>
        </w:rPr>
      </w:pPr>
      <w:r w:rsidRPr="00335934">
        <w:rPr>
          <w:rStyle w:val="Textoennegrita"/>
          <w:rFonts w:ascii="Verdana" w:hAnsi="Verdana" w:cs="Arial"/>
          <w:sz w:val="20"/>
          <w:szCs w:val="20"/>
        </w:rPr>
        <w:tab/>
        <w:t>Artículo 7</w:t>
      </w:r>
      <w:r w:rsidRPr="00335934">
        <w:rPr>
          <w:rFonts w:ascii="Verdana" w:eastAsia="Times New Roman" w:hAnsi="Verdana" w:cs="Arial"/>
          <w:sz w:val="20"/>
          <w:szCs w:val="20"/>
        </w:rPr>
        <w:t>.</w:t>
      </w:r>
      <w:r w:rsidRPr="00335934">
        <w:rPr>
          <w:rFonts w:ascii="Verdana" w:eastAsia="Times New Roman" w:hAnsi="Verdana" w:cs="Arial"/>
          <w:b/>
          <w:bCs/>
          <w:sz w:val="20"/>
          <w:szCs w:val="20"/>
        </w:rPr>
        <w:t>  </w:t>
      </w:r>
      <w:r w:rsidRPr="00335934">
        <w:rPr>
          <w:rFonts w:ascii="Verdana" w:eastAsia="Times New Roman" w:hAnsi="Verdana" w:cs="Arial"/>
          <w:sz w:val="20"/>
          <w:szCs w:val="20"/>
        </w:rPr>
        <w:t xml:space="preserve">El impuesto sobre adquisición de bienes inmuebles se causará y liquidará a la tasa del 0.50%. </w:t>
      </w:r>
    </w:p>
    <w:p w14:paraId="6E72324D" w14:textId="77777777" w:rsidR="00902337" w:rsidRPr="00335934" w:rsidRDefault="00902337" w:rsidP="00335934">
      <w:pPr>
        <w:spacing w:line="240" w:lineRule="auto"/>
        <w:jc w:val="center"/>
        <w:rPr>
          <w:rStyle w:val="Textoennegrita"/>
          <w:rFonts w:ascii="Verdana" w:hAnsi="Verdana" w:cs="Arial"/>
          <w:sz w:val="20"/>
          <w:szCs w:val="20"/>
          <w:highlight w:val="yellow"/>
        </w:rPr>
      </w:pPr>
    </w:p>
    <w:p w14:paraId="2E009B9A" w14:textId="77777777" w:rsidR="00902337" w:rsidRPr="00335934" w:rsidRDefault="00902337" w:rsidP="00335934">
      <w:pPr>
        <w:spacing w:line="240" w:lineRule="auto"/>
        <w:jc w:val="center"/>
        <w:rPr>
          <w:rFonts w:ascii="Verdana" w:eastAsia="Times New Roman" w:hAnsi="Verdana" w:cs="Arial"/>
          <w:sz w:val="20"/>
          <w:szCs w:val="20"/>
        </w:rPr>
      </w:pPr>
      <w:r w:rsidRPr="00335934">
        <w:rPr>
          <w:rStyle w:val="Textoennegrita"/>
          <w:rFonts w:ascii="Verdana" w:hAnsi="Verdana" w:cs="Arial"/>
          <w:sz w:val="20"/>
          <w:szCs w:val="20"/>
        </w:rPr>
        <w:t>SECCIÓN TERCERA</w:t>
      </w:r>
      <w:r w:rsidRPr="00335934">
        <w:rPr>
          <w:rFonts w:ascii="Verdana" w:eastAsia="Times New Roman" w:hAnsi="Verdana" w:cs="Arial"/>
          <w:b/>
          <w:bCs/>
          <w:sz w:val="20"/>
          <w:szCs w:val="20"/>
        </w:rPr>
        <w:br/>
      </w:r>
      <w:r w:rsidRPr="00335934">
        <w:rPr>
          <w:rStyle w:val="Textoennegrita"/>
          <w:rFonts w:ascii="Verdana" w:hAnsi="Verdana" w:cs="Arial"/>
          <w:sz w:val="20"/>
          <w:szCs w:val="20"/>
        </w:rPr>
        <w:t>IMPUESTO SOBRE DIVISIÓN Y LOTIFICACIÓN DE INMUEBLES</w:t>
      </w:r>
    </w:p>
    <w:p w14:paraId="685E1E83" w14:textId="77777777" w:rsidR="00902337" w:rsidRPr="00335934" w:rsidRDefault="00902337" w:rsidP="00335934">
      <w:pPr>
        <w:pStyle w:val="NormalWeb"/>
        <w:jc w:val="both"/>
        <w:rPr>
          <w:rFonts w:ascii="Verdana" w:hAnsi="Verdana"/>
          <w:sz w:val="20"/>
          <w:szCs w:val="20"/>
        </w:rPr>
      </w:pPr>
      <w:r w:rsidRPr="00335934">
        <w:rPr>
          <w:rStyle w:val="Textoennegrita"/>
          <w:rFonts w:ascii="Verdana" w:hAnsi="Verdana"/>
          <w:sz w:val="20"/>
          <w:szCs w:val="20"/>
        </w:rPr>
        <w:tab/>
        <w:t>Artículo 8</w:t>
      </w:r>
      <w:r w:rsidRPr="00335934">
        <w:rPr>
          <w:rFonts w:ascii="Verdana" w:hAnsi="Verdana"/>
          <w:sz w:val="20"/>
          <w:szCs w:val="20"/>
        </w:rPr>
        <w:t>. El impuesto sobre división y lotificación de inmuebles se causará y liquidará conforme a las siguientes:</w:t>
      </w:r>
    </w:p>
    <w:p w14:paraId="7DC570F0" w14:textId="77777777" w:rsidR="00902337" w:rsidRPr="00335934" w:rsidRDefault="00902337" w:rsidP="00335934">
      <w:pPr>
        <w:pStyle w:val="NormalWeb"/>
        <w:jc w:val="center"/>
        <w:rPr>
          <w:rFonts w:ascii="Verdana" w:hAnsi="Verdana"/>
          <w:sz w:val="20"/>
          <w:szCs w:val="20"/>
        </w:rPr>
      </w:pPr>
      <w:r w:rsidRPr="00335934">
        <w:rPr>
          <w:rFonts w:ascii="Verdana" w:hAnsi="Verdana"/>
          <w:b/>
          <w:bCs/>
          <w:sz w:val="20"/>
          <w:szCs w:val="20"/>
        </w:rPr>
        <w:t>TASAS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930"/>
        <w:gridCol w:w="1175"/>
      </w:tblGrid>
      <w:tr w:rsidR="00902337" w:rsidRPr="00335934" w14:paraId="1F87CC98" w14:textId="77777777" w:rsidTr="006B6132">
        <w:trPr>
          <w:jc w:val="center"/>
        </w:trPr>
        <w:tc>
          <w:tcPr>
            <w:tcW w:w="7930" w:type="dxa"/>
            <w:tcBorders>
              <w:top w:val="single" w:sz="6" w:space="0" w:color="000000"/>
              <w:left w:val="single" w:sz="6" w:space="0" w:color="000000"/>
              <w:bottom w:val="single" w:sz="6" w:space="0" w:color="000000"/>
              <w:right w:val="single" w:sz="6" w:space="0" w:color="000000"/>
            </w:tcBorders>
            <w:vAlign w:val="center"/>
            <w:hideMark/>
          </w:tcPr>
          <w:p w14:paraId="1A8A8FDD" w14:textId="77777777" w:rsidR="00902337" w:rsidRPr="00335934" w:rsidRDefault="00902337" w:rsidP="00335934">
            <w:pPr>
              <w:pStyle w:val="Prrafodelista"/>
              <w:numPr>
                <w:ilvl w:val="0"/>
                <w:numId w:val="24"/>
              </w:numPr>
              <w:rPr>
                <w:rFonts w:ascii="Verdana" w:hAnsi="Verdana" w:cs="Arial"/>
                <w:sz w:val="20"/>
                <w:szCs w:val="20"/>
              </w:rPr>
            </w:pPr>
            <w:r w:rsidRPr="00335934">
              <w:rPr>
                <w:rFonts w:ascii="Verdana" w:hAnsi="Verdana" w:cs="Arial"/>
                <w:sz w:val="20"/>
                <w:szCs w:val="20"/>
              </w:rPr>
              <w:t>Tratándose de la división o lotificación de inmuebles urbanos y suburbanos</w:t>
            </w:r>
          </w:p>
        </w:tc>
        <w:tc>
          <w:tcPr>
            <w:tcW w:w="1175" w:type="dxa"/>
            <w:tcBorders>
              <w:top w:val="single" w:sz="6" w:space="0" w:color="000000"/>
              <w:left w:val="single" w:sz="6" w:space="0" w:color="000000"/>
              <w:bottom w:val="single" w:sz="6" w:space="0" w:color="000000"/>
              <w:right w:val="single" w:sz="6" w:space="0" w:color="000000"/>
            </w:tcBorders>
            <w:vAlign w:val="center"/>
            <w:hideMark/>
          </w:tcPr>
          <w:p w14:paraId="50BDE1AF"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0.90 %</w:t>
            </w:r>
          </w:p>
        </w:tc>
      </w:tr>
      <w:tr w:rsidR="00902337" w:rsidRPr="00335934" w14:paraId="25D12355" w14:textId="77777777" w:rsidTr="006B6132">
        <w:trPr>
          <w:jc w:val="center"/>
        </w:trPr>
        <w:tc>
          <w:tcPr>
            <w:tcW w:w="7930" w:type="dxa"/>
            <w:tcBorders>
              <w:top w:val="single" w:sz="6" w:space="0" w:color="000000"/>
              <w:left w:val="single" w:sz="6" w:space="0" w:color="000000"/>
              <w:bottom w:val="single" w:sz="6" w:space="0" w:color="000000"/>
              <w:right w:val="single" w:sz="6" w:space="0" w:color="000000"/>
            </w:tcBorders>
            <w:vAlign w:val="center"/>
            <w:hideMark/>
          </w:tcPr>
          <w:p w14:paraId="37C0AAC7" w14:textId="77777777" w:rsidR="00902337" w:rsidRPr="00335934" w:rsidRDefault="00902337" w:rsidP="00335934">
            <w:pPr>
              <w:pStyle w:val="Prrafodelista"/>
              <w:numPr>
                <w:ilvl w:val="0"/>
                <w:numId w:val="24"/>
              </w:numPr>
              <w:rPr>
                <w:rFonts w:ascii="Verdana" w:hAnsi="Verdana" w:cs="Arial"/>
                <w:sz w:val="20"/>
                <w:szCs w:val="20"/>
              </w:rPr>
            </w:pPr>
            <w:r w:rsidRPr="00335934">
              <w:rPr>
                <w:rFonts w:ascii="Verdana" w:hAnsi="Verdana" w:cs="Arial"/>
                <w:sz w:val="20"/>
                <w:szCs w:val="20"/>
              </w:rPr>
              <w:t>Tratándose de la división de un inmueble por la constitución de condominios horizontales, verticales o mixtos</w:t>
            </w:r>
          </w:p>
        </w:tc>
        <w:tc>
          <w:tcPr>
            <w:tcW w:w="1175" w:type="dxa"/>
            <w:tcBorders>
              <w:top w:val="single" w:sz="6" w:space="0" w:color="000000"/>
              <w:left w:val="single" w:sz="6" w:space="0" w:color="000000"/>
              <w:bottom w:val="single" w:sz="6" w:space="0" w:color="000000"/>
              <w:right w:val="single" w:sz="6" w:space="0" w:color="000000"/>
            </w:tcBorders>
            <w:vAlign w:val="center"/>
            <w:hideMark/>
          </w:tcPr>
          <w:p w14:paraId="756459AC"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0.45 %</w:t>
            </w:r>
          </w:p>
        </w:tc>
      </w:tr>
      <w:tr w:rsidR="00902337" w:rsidRPr="00335934" w14:paraId="41A2A49C" w14:textId="77777777" w:rsidTr="006B6132">
        <w:trPr>
          <w:jc w:val="center"/>
        </w:trPr>
        <w:tc>
          <w:tcPr>
            <w:tcW w:w="7930" w:type="dxa"/>
            <w:tcBorders>
              <w:top w:val="single" w:sz="6" w:space="0" w:color="000000"/>
              <w:left w:val="single" w:sz="6" w:space="0" w:color="000000"/>
              <w:bottom w:val="single" w:sz="6" w:space="0" w:color="000000"/>
              <w:right w:val="single" w:sz="6" w:space="0" w:color="000000"/>
            </w:tcBorders>
            <w:vAlign w:val="center"/>
            <w:hideMark/>
          </w:tcPr>
          <w:p w14:paraId="6345337E" w14:textId="77777777" w:rsidR="00902337" w:rsidRPr="00335934" w:rsidRDefault="00902337" w:rsidP="00335934">
            <w:pPr>
              <w:pStyle w:val="Prrafodelista"/>
              <w:numPr>
                <w:ilvl w:val="0"/>
                <w:numId w:val="24"/>
              </w:numPr>
              <w:rPr>
                <w:rFonts w:ascii="Verdana" w:hAnsi="Verdana" w:cs="Arial"/>
                <w:sz w:val="20"/>
                <w:szCs w:val="20"/>
              </w:rPr>
            </w:pPr>
            <w:r w:rsidRPr="00335934">
              <w:rPr>
                <w:rFonts w:ascii="Verdana" w:hAnsi="Verdana" w:cs="Arial"/>
                <w:sz w:val="20"/>
                <w:szCs w:val="20"/>
              </w:rPr>
              <w:t>Tratándose de inmuebles rústicos</w:t>
            </w:r>
          </w:p>
        </w:tc>
        <w:tc>
          <w:tcPr>
            <w:tcW w:w="1175" w:type="dxa"/>
            <w:tcBorders>
              <w:top w:val="single" w:sz="6" w:space="0" w:color="000000"/>
              <w:left w:val="single" w:sz="6" w:space="0" w:color="000000"/>
              <w:bottom w:val="single" w:sz="6" w:space="0" w:color="000000"/>
              <w:right w:val="single" w:sz="6" w:space="0" w:color="000000"/>
            </w:tcBorders>
            <w:vAlign w:val="center"/>
            <w:hideMark/>
          </w:tcPr>
          <w:p w14:paraId="70D54AC7"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0.45 %</w:t>
            </w:r>
          </w:p>
        </w:tc>
      </w:tr>
    </w:tbl>
    <w:p w14:paraId="1791D94E" w14:textId="77777777" w:rsidR="00902337" w:rsidRPr="00335934" w:rsidRDefault="00902337" w:rsidP="00335934">
      <w:pPr>
        <w:pStyle w:val="NormalWeb"/>
        <w:jc w:val="both"/>
        <w:rPr>
          <w:rFonts w:ascii="Verdana" w:hAnsi="Verdana"/>
          <w:sz w:val="20"/>
          <w:szCs w:val="20"/>
        </w:rPr>
      </w:pPr>
      <w:r w:rsidRPr="00335934">
        <w:rPr>
          <w:rFonts w:ascii="Verdana" w:hAnsi="Verdana"/>
          <w:sz w:val="20"/>
          <w:szCs w:val="20"/>
        </w:rPr>
        <w:tab/>
        <w:t>No se causará este impuesto en los supuestos establecidos en el artículo 187 de la Ley de Hacienda para los municipios del Estado de Guanajuato. </w:t>
      </w:r>
    </w:p>
    <w:p w14:paraId="514A36A3" w14:textId="77777777" w:rsidR="00902337" w:rsidRPr="00335934" w:rsidRDefault="00902337" w:rsidP="00335934">
      <w:pPr>
        <w:spacing w:line="240" w:lineRule="auto"/>
        <w:jc w:val="center"/>
        <w:rPr>
          <w:rFonts w:ascii="Verdana" w:eastAsia="Times New Roman" w:hAnsi="Verdana" w:cs="Arial"/>
          <w:sz w:val="20"/>
          <w:szCs w:val="20"/>
        </w:rPr>
      </w:pPr>
      <w:r w:rsidRPr="00335934">
        <w:rPr>
          <w:rStyle w:val="Textoennegrita"/>
          <w:rFonts w:ascii="Verdana" w:hAnsi="Verdana" w:cs="Arial"/>
          <w:sz w:val="20"/>
          <w:szCs w:val="20"/>
        </w:rPr>
        <w:lastRenderedPageBreak/>
        <w:t>SECCIÓN CUARTA</w:t>
      </w:r>
      <w:r w:rsidRPr="00335934">
        <w:rPr>
          <w:rFonts w:ascii="Verdana" w:eastAsia="Times New Roman" w:hAnsi="Verdana" w:cs="Arial"/>
          <w:b/>
          <w:bCs/>
          <w:sz w:val="20"/>
          <w:szCs w:val="20"/>
        </w:rPr>
        <w:br/>
      </w:r>
      <w:r w:rsidRPr="00335934">
        <w:rPr>
          <w:rStyle w:val="Textoennegrita"/>
          <w:rFonts w:ascii="Verdana" w:hAnsi="Verdana" w:cs="Arial"/>
          <w:sz w:val="20"/>
          <w:szCs w:val="20"/>
        </w:rPr>
        <w:t>IMPUESTO SOBRE JUEGOS Y APUESTAS PERMITIDAS</w:t>
      </w:r>
    </w:p>
    <w:p w14:paraId="6A42B95B" w14:textId="77777777" w:rsidR="00902337" w:rsidRPr="00335934" w:rsidRDefault="00902337" w:rsidP="00335934">
      <w:pPr>
        <w:spacing w:line="240" w:lineRule="auto"/>
        <w:jc w:val="both"/>
        <w:rPr>
          <w:rFonts w:ascii="Verdana" w:eastAsia="Times New Roman" w:hAnsi="Verdana" w:cs="Arial"/>
          <w:sz w:val="20"/>
          <w:szCs w:val="20"/>
        </w:rPr>
      </w:pPr>
      <w:r w:rsidRPr="00335934">
        <w:rPr>
          <w:rStyle w:val="Textoennegrita"/>
          <w:rFonts w:ascii="Verdana" w:hAnsi="Verdana" w:cs="Arial"/>
          <w:sz w:val="20"/>
          <w:szCs w:val="20"/>
        </w:rPr>
        <w:tab/>
        <w:t>Artículo 9</w:t>
      </w:r>
      <w:r w:rsidRPr="00335934">
        <w:rPr>
          <w:rFonts w:ascii="Verdana" w:eastAsia="Times New Roman" w:hAnsi="Verdana" w:cs="Arial"/>
          <w:sz w:val="20"/>
          <w:szCs w:val="20"/>
        </w:rPr>
        <w:t xml:space="preserve">. El impuesto sobre juegos y apuestas permitidas se causará y liquidará a la tasa del 8%.  </w:t>
      </w:r>
    </w:p>
    <w:p w14:paraId="555CBB5B" w14:textId="77777777" w:rsidR="00335934" w:rsidRDefault="00335934" w:rsidP="00335934">
      <w:pPr>
        <w:pStyle w:val="Sinespaciado"/>
        <w:rPr>
          <w:rStyle w:val="Textoennegrita"/>
          <w:rFonts w:ascii="Verdana" w:hAnsi="Verdana" w:cs="Arial"/>
          <w:sz w:val="20"/>
          <w:szCs w:val="20"/>
        </w:rPr>
      </w:pPr>
    </w:p>
    <w:p w14:paraId="1C8FFAD0" w14:textId="54261E14" w:rsidR="00902337" w:rsidRPr="00335934" w:rsidRDefault="00902337" w:rsidP="00335934">
      <w:pPr>
        <w:spacing w:line="240" w:lineRule="auto"/>
        <w:jc w:val="center"/>
        <w:rPr>
          <w:rFonts w:ascii="Verdana" w:eastAsia="Times New Roman" w:hAnsi="Verdana" w:cs="Arial"/>
          <w:sz w:val="20"/>
          <w:szCs w:val="20"/>
        </w:rPr>
      </w:pPr>
      <w:r w:rsidRPr="00335934">
        <w:rPr>
          <w:rStyle w:val="Textoennegrita"/>
          <w:rFonts w:ascii="Verdana" w:hAnsi="Verdana" w:cs="Arial"/>
          <w:sz w:val="20"/>
          <w:szCs w:val="20"/>
        </w:rPr>
        <w:t>SECCIÓN QUINTA</w:t>
      </w:r>
      <w:r w:rsidRPr="00335934">
        <w:rPr>
          <w:rFonts w:ascii="Verdana" w:eastAsia="Times New Roman" w:hAnsi="Verdana" w:cs="Arial"/>
          <w:b/>
          <w:bCs/>
          <w:sz w:val="20"/>
          <w:szCs w:val="20"/>
        </w:rPr>
        <w:br/>
      </w:r>
      <w:r w:rsidRPr="00335934">
        <w:rPr>
          <w:rStyle w:val="Textoennegrita"/>
          <w:rFonts w:ascii="Verdana" w:hAnsi="Verdana" w:cs="Arial"/>
          <w:sz w:val="20"/>
          <w:szCs w:val="20"/>
        </w:rPr>
        <w:t>IMPUESTO SOBRE DIVERSIONES Y ESPECTÁCULOS PÚBLICOS</w:t>
      </w:r>
    </w:p>
    <w:p w14:paraId="3CF1D014" w14:textId="77777777" w:rsidR="00902337" w:rsidRPr="00335934" w:rsidRDefault="00902337" w:rsidP="00335934">
      <w:pPr>
        <w:spacing w:line="240" w:lineRule="auto"/>
        <w:jc w:val="both"/>
        <w:rPr>
          <w:rFonts w:ascii="Verdana" w:eastAsia="Times New Roman" w:hAnsi="Verdana" w:cs="Arial"/>
          <w:sz w:val="20"/>
          <w:szCs w:val="20"/>
        </w:rPr>
      </w:pPr>
      <w:r w:rsidRPr="00335934">
        <w:rPr>
          <w:rStyle w:val="Textoennegrita"/>
          <w:rFonts w:ascii="Verdana" w:hAnsi="Verdana" w:cs="Arial"/>
          <w:sz w:val="20"/>
          <w:szCs w:val="20"/>
        </w:rPr>
        <w:tab/>
        <w:t>Artículo 10</w:t>
      </w:r>
      <w:r w:rsidRPr="00335934">
        <w:rPr>
          <w:rFonts w:ascii="Verdana" w:eastAsia="Times New Roman" w:hAnsi="Verdana" w:cs="Arial"/>
          <w:sz w:val="20"/>
          <w:szCs w:val="20"/>
        </w:rPr>
        <w:t>. </w:t>
      </w:r>
      <w:r w:rsidRPr="00335934">
        <w:rPr>
          <w:rFonts w:ascii="Verdana" w:eastAsia="Times New Roman" w:hAnsi="Verdana" w:cs="Arial"/>
          <w:b/>
          <w:bCs/>
          <w:sz w:val="20"/>
          <w:szCs w:val="20"/>
        </w:rPr>
        <w:t> </w:t>
      </w:r>
      <w:r w:rsidRPr="00335934">
        <w:rPr>
          <w:rFonts w:ascii="Verdana" w:eastAsia="Times New Roman" w:hAnsi="Verdana" w:cs="Arial"/>
          <w:sz w:val="20"/>
          <w:szCs w:val="20"/>
        </w:rPr>
        <w:t>El impuesto sobre diversiones y espectáculos públicos se causará y liquidará a la tasa del 8%, excepto los espectáculos de teatro y circo, los cuales tributarán a la tasa del 6.6%.</w:t>
      </w:r>
    </w:p>
    <w:p w14:paraId="3E216874" w14:textId="77777777" w:rsidR="00902337" w:rsidRPr="00335934" w:rsidRDefault="00902337" w:rsidP="00335934">
      <w:pPr>
        <w:pStyle w:val="Sinespaciado"/>
        <w:rPr>
          <w:rStyle w:val="Textoennegrita"/>
          <w:rFonts w:ascii="Verdana" w:hAnsi="Verdana" w:cs="Arial"/>
          <w:sz w:val="20"/>
          <w:szCs w:val="20"/>
          <w:highlight w:val="yellow"/>
        </w:rPr>
      </w:pPr>
    </w:p>
    <w:p w14:paraId="22B0F2F9" w14:textId="77777777" w:rsidR="00902337" w:rsidRPr="00335934" w:rsidRDefault="00902337" w:rsidP="00335934">
      <w:pPr>
        <w:spacing w:line="240" w:lineRule="auto"/>
        <w:jc w:val="center"/>
        <w:rPr>
          <w:rFonts w:ascii="Verdana" w:eastAsia="Times New Roman" w:hAnsi="Verdana" w:cs="Arial"/>
          <w:sz w:val="20"/>
          <w:szCs w:val="20"/>
        </w:rPr>
      </w:pPr>
      <w:r w:rsidRPr="00335934">
        <w:rPr>
          <w:rStyle w:val="Textoennegrita"/>
          <w:rFonts w:ascii="Verdana" w:hAnsi="Verdana" w:cs="Arial"/>
          <w:sz w:val="20"/>
          <w:szCs w:val="20"/>
        </w:rPr>
        <w:t>SECCIÓN SEXTA</w:t>
      </w:r>
      <w:r w:rsidRPr="00335934">
        <w:rPr>
          <w:rFonts w:ascii="Verdana" w:eastAsia="Times New Roman" w:hAnsi="Verdana" w:cs="Arial"/>
          <w:b/>
          <w:bCs/>
          <w:sz w:val="20"/>
          <w:szCs w:val="20"/>
        </w:rPr>
        <w:br/>
      </w:r>
      <w:r w:rsidRPr="00335934">
        <w:rPr>
          <w:rStyle w:val="Textoennegrita"/>
          <w:rFonts w:ascii="Verdana" w:hAnsi="Verdana" w:cs="Arial"/>
          <w:sz w:val="20"/>
          <w:szCs w:val="20"/>
        </w:rPr>
        <w:t>IMPUESTO SOBRE RIFAS, SORTEOS, LOTERÍAS Y CONCURSOS</w:t>
      </w:r>
    </w:p>
    <w:p w14:paraId="599616C4" w14:textId="77777777" w:rsidR="00902337" w:rsidRPr="00335934" w:rsidRDefault="00902337" w:rsidP="00335934">
      <w:pPr>
        <w:spacing w:line="240" w:lineRule="auto"/>
        <w:jc w:val="both"/>
        <w:rPr>
          <w:rFonts w:ascii="Verdana" w:eastAsia="Times New Roman" w:hAnsi="Verdana" w:cs="Arial"/>
          <w:sz w:val="20"/>
          <w:szCs w:val="20"/>
        </w:rPr>
      </w:pPr>
      <w:r w:rsidRPr="00335934">
        <w:rPr>
          <w:rStyle w:val="Textoennegrita"/>
          <w:rFonts w:ascii="Verdana" w:hAnsi="Verdana" w:cs="Arial"/>
          <w:sz w:val="20"/>
          <w:szCs w:val="20"/>
        </w:rPr>
        <w:tab/>
        <w:t>Artículo 11</w:t>
      </w:r>
      <w:r w:rsidRPr="00335934">
        <w:rPr>
          <w:rFonts w:ascii="Verdana" w:eastAsia="Times New Roman" w:hAnsi="Verdana" w:cs="Arial"/>
          <w:sz w:val="20"/>
          <w:szCs w:val="20"/>
        </w:rPr>
        <w:t xml:space="preserve">. El impuesto sobre rifas, sorteos, loterías y concursos se causará y liquidará a la tasa del 6%. </w:t>
      </w:r>
    </w:p>
    <w:p w14:paraId="6DF4499F" w14:textId="77777777" w:rsidR="00902337" w:rsidRPr="00335934" w:rsidRDefault="00902337" w:rsidP="00335934">
      <w:pPr>
        <w:pStyle w:val="Sinespaciado"/>
        <w:jc w:val="center"/>
        <w:rPr>
          <w:rFonts w:ascii="Verdana" w:hAnsi="Verdana"/>
          <w:b/>
          <w:bCs/>
          <w:sz w:val="20"/>
          <w:szCs w:val="20"/>
        </w:rPr>
      </w:pPr>
    </w:p>
    <w:p w14:paraId="4FB95298" w14:textId="4C4C9B62" w:rsidR="00902337" w:rsidRPr="00335934" w:rsidRDefault="00902337" w:rsidP="00335934">
      <w:pPr>
        <w:pStyle w:val="Sinespaciado"/>
        <w:jc w:val="center"/>
        <w:rPr>
          <w:rFonts w:ascii="Verdana" w:hAnsi="Verdana"/>
          <w:b/>
          <w:bCs/>
          <w:sz w:val="20"/>
          <w:szCs w:val="20"/>
        </w:rPr>
      </w:pPr>
      <w:r w:rsidRPr="00335934">
        <w:rPr>
          <w:rFonts w:ascii="Verdana" w:hAnsi="Verdana"/>
          <w:b/>
          <w:bCs/>
          <w:sz w:val="20"/>
          <w:szCs w:val="20"/>
        </w:rPr>
        <w:t>CAPÍTULO CUARTO</w:t>
      </w:r>
      <w:r w:rsidRPr="00335934">
        <w:rPr>
          <w:rFonts w:ascii="Verdana" w:hAnsi="Verdana"/>
          <w:b/>
          <w:bCs/>
          <w:sz w:val="20"/>
          <w:szCs w:val="20"/>
        </w:rPr>
        <w:br/>
        <w:t>DERECHOS</w:t>
      </w:r>
    </w:p>
    <w:p w14:paraId="13A2788C" w14:textId="77777777" w:rsidR="00902337" w:rsidRPr="00335934" w:rsidRDefault="00902337" w:rsidP="00335934">
      <w:pPr>
        <w:pStyle w:val="Sinespaciado"/>
        <w:jc w:val="center"/>
        <w:rPr>
          <w:rStyle w:val="Textoennegrita"/>
          <w:rFonts w:ascii="Verdana" w:hAnsi="Verdana" w:cs="Arial"/>
          <w:sz w:val="20"/>
          <w:szCs w:val="20"/>
        </w:rPr>
      </w:pPr>
    </w:p>
    <w:p w14:paraId="5AF758D7" w14:textId="77777777" w:rsidR="00902337" w:rsidRPr="00335934" w:rsidRDefault="00902337" w:rsidP="00335934">
      <w:pPr>
        <w:pStyle w:val="Sinespaciado"/>
        <w:jc w:val="center"/>
        <w:rPr>
          <w:rFonts w:ascii="Verdana" w:hAnsi="Verdana"/>
          <w:b/>
          <w:bCs/>
          <w:sz w:val="20"/>
          <w:szCs w:val="20"/>
        </w:rPr>
      </w:pPr>
      <w:r w:rsidRPr="00335934">
        <w:rPr>
          <w:rStyle w:val="Textoennegrita"/>
          <w:rFonts w:ascii="Verdana" w:hAnsi="Verdana" w:cs="Arial"/>
          <w:sz w:val="20"/>
          <w:szCs w:val="20"/>
        </w:rPr>
        <w:t>SECCIÓN PRIMERA</w:t>
      </w:r>
    </w:p>
    <w:p w14:paraId="5E1822F8" w14:textId="77777777" w:rsidR="00902337" w:rsidRPr="00335934" w:rsidRDefault="00902337" w:rsidP="00335934">
      <w:pPr>
        <w:pStyle w:val="Sinespaciado"/>
        <w:jc w:val="center"/>
        <w:rPr>
          <w:rStyle w:val="Textoennegrita"/>
          <w:rFonts w:ascii="Verdana" w:hAnsi="Verdana" w:cs="Arial"/>
          <w:sz w:val="20"/>
          <w:szCs w:val="20"/>
        </w:rPr>
      </w:pPr>
      <w:r w:rsidRPr="00335934">
        <w:rPr>
          <w:rStyle w:val="Textoennegrita"/>
          <w:rFonts w:ascii="Verdana" w:hAnsi="Verdana" w:cs="Arial"/>
          <w:sz w:val="20"/>
          <w:szCs w:val="20"/>
        </w:rPr>
        <w:t>SERVICIOS DE AGUA POTABLE, DRENAJE, ALCANTARILLADO, TRATAMIENTO Y DISPOSICIÓN DE SUS AGUAS RESIDUALES</w:t>
      </w:r>
    </w:p>
    <w:p w14:paraId="5F026F64" w14:textId="77777777" w:rsidR="00902337" w:rsidRPr="00335934" w:rsidRDefault="00902337" w:rsidP="00335934">
      <w:pPr>
        <w:pStyle w:val="Sinespaciado"/>
        <w:jc w:val="center"/>
        <w:rPr>
          <w:rStyle w:val="Textoennegrita"/>
          <w:rFonts w:ascii="Verdana" w:hAnsi="Verdana" w:cs="Arial"/>
          <w:sz w:val="20"/>
          <w:szCs w:val="20"/>
        </w:rPr>
      </w:pPr>
    </w:p>
    <w:p w14:paraId="7B782D5C" w14:textId="77777777" w:rsidR="00902337" w:rsidRPr="00335934" w:rsidRDefault="00902337" w:rsidP="00335934">
      <w:pPr>
        <w:spacing w:line="240" w:lineRule="auto"/>
        <w:jc w:val="both"/>
        <w:rPr>
          <w:rFonts w:ascii="Verdana" w:hAnsi="Verdana" w:cs="Arial"/>
          <w:sz w:val="20"/>
          <w:szCs w:val="20"/>
        </w:rPr>
      </w:pPr>
      <w:r w:rsidRPr="00335934">
        <w:rPr>
          <w:rStyle w:val="Textoennegrita"/>
          <w:rFonts w:ascii="Verdana" w:hAnsi="Verdana" w:cs="Arial"/>
          <w:sz w:val="20"/>
          <w:szCs w:val="20"/>
        </w:rPr>
        <w:tab/>
        <w:t>Artículo 12</w:t>
      </w:r>
      <w:r w:rsidRPr="00335934">
        <w:rPr>
          <w:rFonts w:ascii="Verdana" w:hAnsi="Verdana" w:cs="Arial"/>
          <w:sz w:val="20"/>
          <w:szCs w:val="20"/>
        </w:rPr>
        <w:t>. Las contraprestaciones correspondientes a los servicios públicos de agua potable, drenaje, alcantarillado, tratamiento y disposición de sus aguas residuales se causarán y liquidarán mensualmente conforme a lo siguiente:</w:t>
      </w:r>
    </w:p>
    <w:p w14:paraId="4C71210D" w14:textId="77777777" w:rsidR="00902337" w:rsidRPr="00335934" w:rsidRDefault="00902337" w:rsidP="00335934">
      <w:pPr>
        <w:pStyle w:val="NormalWeb"/>
        <w:jc w:val="both"/>
        <w:rPr>
          <w:rFonts w:ascii="Verdana" w:hAnsi="Verdana"/>
          <w:sz w:val="20"/>
          <w:szCs w:val="20"/>
        </w:rPr>
      </w:pPr>
      <w:r w:rsidRPr="00335934">
        <w:rPr>
          <w:rFonts w:ascii="Verdana" w:hAnsi="Verdana"/>
          <w:b/>
          <w:bCs/>
          <w:sz w:val="20"/>
          <w:szCs w:val="20"/>
        </w:rPr>
        <w:tab/>
        <w:t>I. Tarifas de servicio a cuota fija:</w:t>
      </w:r>
    </w:p>
    <w:tbl>
      <w:tblPr>
        <w:tblW w:w="8662"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492"/>
        <w:gridCol w:w="2257"/>
        <w:gridCol w:w="4913"/>
      </w:tblGrid>
      <w:tr w:rsidR="00902337" w:rsidRPr="00335934" w14:paraId="2D06E8FB" w14:textId="77777777" w:rsidTr="006B6132">
        <w:trPr>
          <w:trHeight w:val="244"/>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0DC8AA" w14:textId="77777777" w:rsidR="00902337" w:rsidRPr="00335934" w:rsidRDefault="00902337" w:rsidP="00335934">
            <w:pPr>
              <w:spacing w:line="240" w:lineRule="auto"/>
              <w:jc w:val="cente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7EC89" w14:textId="77777777" w:rsidR="00902337" w:rsidRPr="00335934" w:rsidRDefault="00902337" w:rsidP="00335934">
            <w:pPr>
              <w:spacing w:line="240" w:lineRule="auto"/>
              <w:jc w:val="center"/>
              <w:rPr>
                <w:rFonts w:ascii="Verdana" w:eastAsia="Times New Roman" w:hAnsi="Verdana" w:cs="Arial"/>
                <w:b/>
                <w:bCs/>
                <w:sz w:val="20"/>
                <w:szCs w:val="20"/>
              </w:rPr>
            </w:pPr>
            <w:r w:rsidRPr="00335934">
              <w:rPr>
                <w:rFonts w:ascii="Verdana" w:eastAsia="Times New Roman" w:hAnsi="Verdana" w:cs="Arial"/>
                <w:b/>
                <w:bCs/>
                <w:sz w:val="20"/>
                <w:szCs w:val="20"/>
              </w:rPr>
              <w:t>DOMESTICO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A283F" w14:textId="77777777" w:rsidR="00902337" w:rsidRPr="00335934" w:rsidRDefault="00902337" w:rsidP="00335934">
            <w:pPr>
              <w:spacing w:line="240" w:lineRule="auto"/>
              <w:jc w:val="center"/>
              <w:rPr>
                <w:rFonts w:ascii="Verdana" w:eastAsia="Times New Roman" w:hAnsi="Verdana" w:cs="Arial"/>
                <w:b/>
                <w:bCs/>
                <w:sz w:val="20"/>
                <w:szCs w:val="20"/>
              </w:rPr>
            </w:pPr>
            <w:r w:rsidRPr="00335934">
              <w:rPr>
                <w:rFonts w:ascii="Verdana" w:eastAsia="Times New Roman" w:hAnsi="Verdana" w:cs="Arial"/>
                <w:b/>
                <w:bCs/>
                <w:sz w:val="20"/>
                <w:szCs w:val="20"/>
              </w:rPr>
              <w:t>COMERCIAL Y DE SERVICIOS</w:t>
            </w:r>
          </w:p>
        </w:tc>
      </w:tr>
      <w:tr w:rsidR="00902337" w:rsidRPr="00335934" w14:paraId="768ECAE1" w14:textId="77777777" w:rsidTr="006B6132">
        <w:trPr>
          <w:trHeight w:val="23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24B4D4" w14:textId="77777777" w:rsidR="00902337" w:rsidRPr="00335934" w:rsidRDefault="00902337" w:rsidP="00335934">
            <w:pPr>
              <w:spacing w:line="240" w:lineRule="auto"/>
              <w:rPr>
                <w:rFonts w:ascii="Verdana" w:eastAsia="Times New Roman" w:hAnsi="Verdana" w:cs="Arial"/>
                <w:sz w:val="20"/>
                <w:szCs w:val="20"/>
              </w:rPr>
            </w:pPr>
            <w:r w:rsidRPr="00335934">
              <w:rPr>
                <w:rFonts w:ascii="Verdana" w:eastAsia="Times New Roman" w:hAnsi="Verdana" w:cs="Arial"/>
                <w:sz w:val="20"/>
                <w:szCs w:val="20"/>
              </w:rPr>
              <w:t>Mensual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A2C72" w14:textId="77777777" w:rsidR="00902337" w:rsidRPr="00335934" w:rsidRDefault="00902337" w:rsidP="00335934">
            <w:pPr>
              <w:spacing w:line="240" w:lineRule="auto"/>
              <w:jc w:val="center"/>
              <w:rPr>
                <w:rFonts w:ascii="Verdana" w:eastAsia="Times New Roman" w:hAnsi="Verdana" w:cs="Arial"/>
                <w:sz w:val="20"/>
                <w:szCs w:val="20"/>
              </w:rPr>
            </w:pPr>
            <w:r w:rsidRPr="00335934">
              <w:rPr>
                <w:rFonts w:ascii="Verdana" w:eastAsia="Times New Roman" w:hAnsi="Verdana" w:cs="Arial"/>
                <w:sz w:val="20"/>
                <w:szCs w:val="20"/>
              </w:rPr>
              <w:t>$57.67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7B59B" w14:textId="77777777" w:rsidR="00902337" w:rsidRPr="00335934" w:rsidRDefault="00902337" w:rsidP="00335934">
            <w:pPr>
              <w:spacing w:line="240" w:lineRule="auto"/>
              <w:jc w:val="center"/>
              <w:rPr>
                <w:rFonts w:ascii="Verdana" w:eastAsia="Times New Roman" w:hAnsi="Verdana" w:cs="Arial"/>
                <w:sz w:val="20"/>
                <w:szCs w:val="20"/>
              </w:rPr>
            </w:pPr>
            <w:r w:rsidRPr="00335934">
              <w:rPr>
                <w:rFonts w:ascii="Verdana" w:eastAsia="Times New Roman" w:hAnsi="Verdana" w:cs="Arial"/>
                <w:sz w:val="20"/>
                <w:szCs w:val="20"/>
              </w:rPr>
              <w:t>$76.88</w:t>
            </w:r>
          </w:p>
        </w:tc>
      </w:tr>
      <w:tr w:rsidR="00902337" w:rsidRPr="00335934" w14:paraId="0CA5C510" w14:textId="77777777" w:rsidTr="006B6132">
        <w:trPr>
          <w:trHeight w:val="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0A1631" w14:textId="77777777" w:rsidR="00902337" w:rsidRPr="00335934" w:rsidRDefault="00902337" w:rsidP="00335934">
            <w:pPr>
              <w:spacing w:line="240" w:lineRule="auto"/>
              <w:rPr>
                <w:rFonts w:ascii="Verdana" w:eastAsia="Times New Roman" w:hAnsi="Verdana" w:cs="Arial"/>
                <w:sz w:val="20"/>
                <w:szCs w:val="20"/>
              </w:rPr>
            </w:pPr>
            <w:r w:rsidRPr="00335934">
              <w:rPr>
                <w:rFonts w:ascii="Verdana" w:eastAsia="Times New Roman" w:hAnsi="Verdana" w:cs="Arial"/>
                <w:sz w:val="20"/>
                <w:szCs w:val="20"/>
              </w:rPr>
              <w:t>Anual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24AC4" w14:textId="77777777" w:rsidR="00902337" w:rsidRPr="00335934" w:rsidRDefault="00902337" w:rsidP="00335934">
            <w:pPr>
              <w:spacing w:line="240" w:lineRule="auto"/>
              <w:jc w:val="center"/>
              <w:rPr>
                <w:rFonts w:ascii="Verdana" w:eastAsia="Times New Roman" w:hAnsi="Verdana" w:cs="Arial"/>
                <w:sz w:val="20"/>
                <w:szCs w:val="20"/>
              </w:rPr>
            </w:pPr>
            <w:r w:rsidRPr="00335934">
              <w:rPr>
                <w:rFonts w:ascii="Verdana" w:eastAsia="Times New Roman" w:hAnsi="Verdana" w:cs="Arial"/>
                <w:sz w:val="20"/>
                <w:szCs w:val="20"/>
              </w:rPr>
              <w:t>$676.93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B096E" w14:textId="77777777" w:rsidR="00902337" w:rsidRPr="00335934" w:rsidRDefault="00902337" w:rsidP="00335934">
            <w:pPr>
              <w:spacing w:line="240" w:lineRule="auto"/>
              <w:jc w:val="center"/>
              <w:rPr>
                <w:rFonts w:ascii="Verdana" w:eastAsia="Times New Roman" w:hAnsi="Verdana" w:cs="Arial"/>
                <w:sz w:val="20"/>
                <w:szCs w:val="20"/>
              </w:rPr>
            </w:pPr>
            <w:r w:rsidRPr="00335934">
              <w:rPr>
                <w:rFonts w:ascii="Verdana" w:eastAsia="Times New Roman" w:hAnsi="Verdana" w:cs="Arial"/>
                <w:sz w:val="20"/>
                <w:szCs w:val="20"/>
              </w:rPr>
              <w:t>$842.05</w:t>
            </w:r>
          </w:p>
        </w:tc>
      </w:tr>
    </w:tbl>
    <w:p w14:paraId="4E85B347" w14:textId="77777777" w:rsidR="00902337" w:rsidRPr="00335934" w:rsidRDefault="00902337" w:rsidP="00335934">
      <w:pPr>
        <w:pStyle w:val="NormalWeb"/>
        <w:jc w:val="both"/>
        <w:rPr>
          <w:rFonts w:ascii="Verdana" w:hAnsi="Verdana"/>
          <w:sz w:val="20"/>
          <w:szCs w:val="20"/>
        </w:rPr>
      </w:pPr>
      <w:r w:rsidRPr="00335934">
        <w:rPr>
          <w:rFonts w:ascii="Verdana" w:hAnsi="Verdana"/>
          <w:sz w:val="20"/>
          <w:szCs w:val="20"/>
        </w:rPr>
        <w:tab/>
        <w:t>Para el cobro de servicios a tomas de instituciones públicas se les aplicarán las cuotas contenidas en la fracción I del presente Artículo de acuerdo con el giro que corresponda a la actividad ahí realizada.</w:t>
      </w:r>
    </w:p>
    <w:p w14:paraId="7A3B9B08" w14:textId="77777777" w:rsidR="00902337" w:rsidRPr="00335934" w:rsidRDefault="00902337" w:rsidP="00335934">
      <w:pPr>
        <w:pStyle w:val="NormalWeb"/>
        <w:jc w:val="both"/>
        <w:rPr>
          <w:rFonts w:ascii="Verdana" w:hAnsi="Verdana"/>
          <w:sz w:val="20"/>
          <w:szCs w:val="20"/>
        </w:rPr>
      </w:pPr>
      <w:r w:rsidRPr="00335934">
        <w:rPr>
          <w:rFonts w:ascii="Verdana" w:hAnsi="Verdana"/>
          <w:sz w:val="20"/>
          <w:szCs w:val="20"/>
        </w:rPr>
        <w:tab/>
        <w:t>Las escuelas públicas pagarán el 50% de la tarifa que corresponda.</w:t>
      </w:r>
    </w:p>
    <w:p w14:paraId="5BB785DB" w14:textId="77777777" w:rsidR="00902337" w:rsidRPr="00335934" w:rsidRDefault="00902337" w:rsidP="00335934">
      <w:pPr>
        <w:pStyle w:val="NormalWeb"/>
        <w:jc w:val="both"/>
        <w:rPr>
          <w:rFonts w:ascii="Verdana" w:hAnsi="Verdana"/>
          <w:sz w:val="20"/>
          <w:szCs w:val="20"/>
        </w:rPr>
      </w:pPr>
      <w:r w:rsidRPr="00335934">
        <w:rPr>
          <w:rFonts w:ascii="Verdana" w:hAnsi="Verdana"/>
          <w:b/>
          <w:bCs/>
          <w:sz w:val="20"/>
          <w:szCs w:val="20"/>
        </w:rPr>
        <w:lastRenderedPageBreak/>
        <w:tab/>
        <w:t xml:space="preserve">II. La contraprestación por el servicio de drenaje se cubrirá de </w:t>
      </w:r>
      <w:r w:rsidRPr="00335934">
        <w:rPr>
          <w:rFonts w:ascii="Verdana" w:hAnsi="Verdana"/>
          <w:b/>
          <w:bCs/>
          <w:sz w:val="20"/>
          <w:szCs w:val="20"/>
        </w:rPr>
        <w:tab/>
        <w:t>conformidad con los siguientes periodos y cuotas: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51"/>
        <w:gridCol w:w="1162"/>
      </w:tblGrid>
      <w:tr w:rsidR="00902337" w:rsidRPr="00335934" w14:paraId="1EAABA2E" w14:textId="77777777" w:rsidTr="006B613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96F774" w14:textId="77777777" w:rsidR="00902337" w:rsidRPr="00335934" w:rsidRDefault="00902337" w:rsidP="00335934">
            <w:pPr>
              <w:spacing w:line="240" w:lineRule="auto"/>
              <w:jc w:val="center"/>
              <w:rPr>
                <w:rFonts w:ascii="Verdana" w:eastAsia="Times New Roman" w:hAnsi="Verdana" w:cs="Arial"/>
                <w:b/>
                <w:bCs/>
                <w:sz w:val="20"/>
                <w:szCs w:val="20"/>
              </w:rPr>
            </w:pPr>
            <w:r w:rsidRPr="00335934">
              <w:rPr>
                <w:rFonts w:ascii="Verdana" w:eastAsia="Times New Roman" w:hAnsi="Verdana" w:cs="Arial"/>
                <w:b/>
                <w:bCs/>
                <w:sz w:val="20"/>
                <w:szCs w:val="20"/>
              </w:rPr>
              <w:t>Periodo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FEF42" w14:textId="77777777" w:rsidR="00902337" w:rsidRPr="00335934" w:rsidRDefault="00902337" w:rsidP="00335934">
            <w:pPr>
              <w:spacing w:line="240" w:lineRule="auto"/>
              <w:jc w:val="center"/>
              <w:rPr>
                <w:rFonts w:ascii="Verdana" w:eastAsia="Times New Roman" w:hAnsi="Verdana" w:cs="Arial"/>
                <w:b/>
                <w:bCs/>
                <w:sz w:val="20"/>
                <w:szCs w:val="20"/>
              </w:rPr>
            </w:pPr>
            <w:r w:rsidRPr="00335934">
              <w:rPr>
                <w:rFonts w:ascii="Verdana" w:eastAsia="Times New Roman" w:hAnsi="Verdana" w:cs="Arial"/>
                <w:b/>
                <w:bCs/>
                <w:sz w:val="20"/>
                <w:szCs w:val="20"/>
              </w:rPr>
              <w:t>Importe</w:t>
            </w:r>
          </w:p>
        </w:tc>
      </w:tr>
      <w:tr w:rsidR="00902337" w:rsidRPr="00335934" w14:paraId="63BBB17F"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B52C4A" w14:textId="77777777" w:rsidR="00902337" w:rsidRPr="00335934" w:rsidRDefault="00902337" w:rsidP="00335934">
            <w:pPr>
              <w:spacing w:line="240" w:lineRule="auto"/>
              <w:rPr>
                <w:rFonts w:ascii="Verdana" w:eastAsia="Times New Roman" w:hAnsi="Verdana" w:cs="Arial"/>
                <w:sz w:val="20"/>
                <w:szCs w:val="20"/>
              </w:rPr>
            </w:pPr>
            <w:r w:rsidRPr="00335934">
              <w:rPr>
                <w:rFonts w:ascii="Verdana" w:eastAsia="Times New Roman" w:hAnsi="Verdana" w:cs="Arial"/>
                <w:sz w:val="20"/>
                <w:szCs w:val="20"/>
              </w:rPr>
              <w:t>Mensual: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0C17D"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$22.00</w:t>
            </w:r>
          </w:p>
        </w:tc>
      </w:tr>
      <w:tr w:rsidR="00902337" w:rsidRPr="00335934" w14:paraId="35DE94D3"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955437" w14:textId="77777777" w:rsidR="00902337" w:rsidRPr="00335934" w:rsidRDefault="00902337" w:rsidP="00335934">
            <w:pPr>
              <w:spacing w:line="240" w:lineRule="auto"/>
              <w:rPr>
                <w:rFonts w:ascii="Verdana" w:eastAsia="Times New Roman" w:hAnsi="Verdana" w:cs="Arial"/>
                <w:sz w:val="20"/>
                <w:szCs w:val="20"/>
              </w:rPr>
            </w:pPr>
            <w:r w:rsidRPr="00335934">
              <w:rPr>
                <w:rFonts w:ascii="Verdana" w:eastAsia="Times New Roman" w:hAnsi="Verdana" w:cs="Arial"/>
                <w:sz w:val="20"/>
                <w:szCs w:val="20"/>
              </w:rPr>
              <w:t>Anual: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C9E38"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$264.17</w:t>
            </w:r>
          </w:p>
        </w:tc>
      </w:tr>
    </w:tbl>
    <w:p w14:paraId="37002B42" w14:textId="77777777" w:rsidR="00902337" w:rsidRPr="00335934" w:rsidRDefault="00902337" w:rsidP="00335934">
      <w:pPr>
        <w:pStyle w:val="NormalWeb"/>
        <w:jc w:val="both"/>
        <w:rPr>
          <w:rFonts w:ascii="Verdana" w:hAnsi="Verdana"/>
          <w:sz w:val="20"/>
          <w:szCs w:val="20"/>
        </w:rPr>
      </w:pPr>
      <w:r w:rsidRPr="00335934">
        <w:rPr>
          <w:rFonts w:ascii="Verdana" w:hAnsi="Verdana"/>
          <w:b/>
          <w:bCs/>
          <w:sz w:val="20"/>
          <w:szCs w:val="20"/>
        </w:rPr>
        <w:t>III. Otros servicios: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425"/>
        <w:gridCol w:w="1181"/>
        <w:gridCol w:w="1162"/>
      </w:tblGrid>
      <w:tr w:rsidR="00902337" w:rsidRPr="00335934" w14:paraId="4A1AE4B2" w14:textId="77777777" w:rsidTr="006B613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885D31" w14:textId="77777777" w:rsidR="00902337" w:rsidRPr="00335934" w:rsidRDefault="00902337" w:rsidP="00335934">
            <w:pPr>
              <w:spacing w:line="240" w:lineRule="auto"/>
              <w:jc w:val="center"/>
              <w:rPr>
                <w:rFonts w:ascii="Verdana" w:eastAsia="Times New Roman" w:hAnsi="Verdana" w:cs="Arial"/>
                <w:b/>
                <w:bCs/>
                <w:sz w:val="20"/>
                <w:szCs w:val="20"/>
              </w:rPr>
            </w:pPr>
            <w:r w:rsidRPr="00335934">
              <w:rPr>
                <w:rFonts w:ascii="Verdana" w:eastAsia="Times New Roman" w:hAnsi="Verdana" w:cs="Arial"/>
                <w:b/>
                <w:bCs/>
                <w:sz w:val="20"/>
                <w:szCs w:val="20"/>
              </w:rPr>
              <w:t xml:space="preserve">Concepto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BEEF4" w14:textId="77777777" w:rsidR="00902337" w:rsidRPr="00335934" w:rsidRDefault="00902337" w:rsidP="00335934">
            <w:pPr>
              <w:spacing w:line="240" w:lineRule="auto"/>
              <w:jc w:val="center"/>
              <w:rPr>
                <w:rFonts w:ascii="Verdana" w:eastAsia="Times New Roman" w:hAnsi="Verdana" w:cs="Arial"/>
                <w:b/>
                <w:bCs/>
                <w:sz w:val="20"/>
                <w:szCs w:val="20"/>
              </w:rPr>
            </w:pPr>
            <w:r w:rsidRPr="00335934">
              <w:rPr>
                <w:rFonts w:ascii="Verdana" w:eastAsia="Times New Roman" w:hAnsi="Verdana" w:cs="Arial"/>
                <w:b/>
                <w:bCs/>
                <w:sz w:val="20"/>
                <w:szCs w:val="20"/>
              </w:rPr>
              <w:t xml:space="preserve">Unidad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ACB6C" w14:textId="77777777" w:rsidR="00902337" w:rsidRPr="00335934" w:rsidRDefault="00902337" w:rsidP="00335934">
            <w:pPr>
              <w:spacing w:line="240" w:lineRule="auto"/>
              <w:jc w:val="center"/>
              <w:rPr>
                <w:rFonts w:ascii="Verdana" w:eastAsia="Times New Roman" w:hAnsi="Verdana" w:cs="Arial"/>
                <w:b/>
                <w:bCs/>
                <w:sz w:val="20"/>
                <w:szCs w:val="20"/>
              </w:rPr>
            </w:pPr>
            <w:r w:rsidRPr="00335934">
              <w:rPr>
                <w:rFonts w:ascii="Verdana" w:eastAsia="Times New Roman" w:hAnsi="Verdana" w:cs="Arial"/>
                <w:b/>
                <w:bCs/>
                <w:sz w:val="20"/>
                <w:szCs w:val="20"/>
              </w:rPr>
              <w:t xml:space="preserve">Importe </w:t>
            </w:r>
          </w:p>
        </w:tc>
      </w:tr>
      <w:tr w:rsidR="00902337" w:rsidRPr="00335934" w14:paraId="1E92AA51"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C4612D" w14:textId="77777777" w:rsidR="00902337" w:rsidRPr="00335934" w:rsidRDefault="00902337" w:rsidP="00335934">
            <w:pPr>
              <w:spacing w:line="240" w:lineRule="auto"/>
              <w:rPr>
                <w:rFonts w:ascii="Verdana" w:eastAsia="Times New Roman" w:hAnsi="Verdana" w:cs="Arial"/>
                <w:sz w:val="20"/>
                <w:szCs w:val="20"/>
              </w:rPr>
            </w:pPr>
            <w:r w:rsidRPr="00335934">
              <w:rPr>
                <w:rFonts w:ascii="Verdana" w:eastAsia="Times New Roman" w:hAnsi="Verdana" w:cs="Arial"/>
                <w:sz w:val="20"/>
                <w:szCs w:val="20"/>
              </w:rPr>
              <w:t>a) Contrato de Agua Potable (Doméstico)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0AD06" w14:textId="77777777" w:rsidR="00902337" w:rsidRPr="00335934" w:rsidRDefault="00902337" w:rsidP="00335934">
            <w:pPr>
              <w:spacing w:line="240" w:lineRule="auto"/>
              <w:rPr>
                <w:rFonts w:ascii="Verdana" w:eastAsia="Times New Roman" w:hAnsi="Verdana" w:cs="Arial"/>
                <w:sz w:val="20"/>
                <w:szCs w:val="20"/>
              </w:rPr>
            </w:pPr>
            <w:r w:rsidRPr="00335934">
              <w:rPr>
                <w:rFonts w:ascii="Verdana" w:eastAsia="Times New Roman" w:hAnsi="Verdana" w:cs="Arial"/>
                <w:sz w:val="20"/>
                <w:szCs w:val="20"/>
              </w:rPr>
              <w:t>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AA96D"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$628.98</w:t>
            </w:r>
          </w:p>
        </w:tc>
      </w:tr>
      <w:tr w:rsidR="00902337" w:rsidRPr="00335934" w14:paraId="688045D3"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9CB8AB" w14:textId="77777777" w:rsidR="00902337" w:rsidRPr="00335934" w:rsidRDefault="00902337" w:rsidP="00335934">
            <w:pPr>
              <w:spacing w:line="240" w:lineRule="auto"/>
              <w:rPr>
                <w:rFonts w:ascii="Verdana" w:eastAsia="Times New Roman" w:hAnsi="Verdana" w:cs="Arial"/>
                <w:sz w:val="20"/>
                <w:szCs w:val="20"/>
              </w:rPr>
            </w:pPr>
            <w:r w:rsidRPr="00335934">
              <w:rPr>
                <w:rFonts w:ascii="Verdana" w:eastAsia="Times New Roman" w:hAnsi="Verdana" w:cs="Arial"/>
                <w:sz w:val="20"/>
                <w:szCs w:val="20"/>
              </w:rPr>
              <w:t>b) Contrato de Agua Potable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570C1" w14:textId="77777777" w:rsidR="00902337" w:rsidRPr="00335934" w:rsidRDefault="00902337" w:rsidP="00335934">
            <w:pPr>
              <w:spacing w:line="240" w:lineRule="auto"/>
              <w:rPr>
                <w:rFonts w:ascii="Verdana" w:eastAsia="Times New Roman" w:hAnsi="Verdana" w:cs="Arial"/>
                <w:sz w:val="20"/>
                <w:szCs w:val="20"/>
              </w:rPr>
            </w:pPr>
            <w:r w:rsidRPr="00335934">
              <w:rPr>
                <w:rFonts w:ascii="Verdana" w:eastAsia="Times New Roman" w:hAnsi="Verdana" w:cs="Arial"/>
                <w:sz w:val="20"/>
                <w:szCs w:val="20"/>
              </w:rPr>
              <w:t>Comercio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38709"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$714.59</w:t>
            </w:r>
          </w:p>
        </w:tc>
      </w:tr>
      <w:tr w:rsidR="00902337" w:rsidRPr="00335934" w14:paraId="263AEE91"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039C87" w14:textId="77777777" w:rsidR="00902337" w:rsidRPr="00335934" w:rsidRDefault="00902337" w:rsidP="00335934">
            <w:pPr>
              <w:spacing w:line="240" w:lineRule="auto"/>
              <w:rPr>
                <w:rFonts w:ascii="Verdana" w:eastAsia="Times New Roman" w:hAnsi="Verdana" w:cs="Arial"/>
                <w:sz w:val="20"/>
                <w:szCs w:val="20"/>
              </w:rPr>
            </w:pPr>
            <w:r w:rsidRPr="00335934">
              <w:rPr>
                <w:rFonts w:ascii="Verdana" w:eastAsia="Times New Roman" w:hAnsi="Verdana" w:cs="Arial"/>
                <w:sz w:val="20"/>
                <w:szCs w:val="20"/>
              </w:rPr>
              <w:t>c) Contrato de Drenaje (Doméstico)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89799" w14:textId="77777777" w:rsidR="00902337" w:rsidRPr="00335934" w:rsidRDefault="00902337" w:rsidP="00335934">
            <w:pPr>
              <w:spacing w:line="240" w:lineRule="auto"/>
              <w:rPr>
                <w:rFonts w:ascii="Verdana" w:eastAsia="Times New Roman" w:hAnsi="Verdana" w:cs="Arial"/>
                <w:sz w:val="20"/>
                <w:szCs w:val="20"/>
              </w:rPr>
            </w:pPr>
            <w:r w:rsidRPr="00335934">
              <w:rPr>
                <w:rFonts w:ascii="Verdana" w:eastAsia="Times New Roman" w:hAnsi="Verdana" w:cs="Arial"/>
                <w:sz w:val="20"/>
                <w:szCs w:val="20"/>
              </w:rPr>
              <w:t>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C9708"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$627.27</w:t>
            </w:r>
          </w:p>
        </w:tc>
      </w:tr>
      <w:tr w:rsidR="00902337" w:rsidRPr="00335934" w14:paraId="2435E936"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DEF04A" w14:textId="77777777" w:rsidR="00902337" w:rsidRPr="00335934" w:rsidRDefault="00902337" w:rsidP="00335934">
            <w:pPr>
              <w:spacing w:line="240" w:lineRule="auto"/>
              <w:rPr>
                <w:rFonts w:ascii="Verdana" w:eastAsia="Times New Roman" w:hAnsi="Verdana" w:cs="Arial"/>
                <w:sz w:val="20"/>
                <w:szCs w:val="20"/>
              </w:rPr>
            </w:pPr>
            <w:r w:rsidRPr="00335934">
              <w:rPr>
                <w:rFonts w:ascii="Verdana" w:eastAsia="Times New Roman" w:hAnsi="Verdana" w:cs="Arial"/>
                <w:sz w:val="20"/>
                <w:szCs w:val="20"/>
              </w:rPr>
              <w:t>d) Contrato de Drenaje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528E4" w14:textId="77777777" w:rsidR="00902337" w:rsidRPr="00335934" w:rsidRDefault="00902337" w:rsidP="00335934">
            <w:pPr>
              <w:spacing w:line="240" w:lineRule="auto"/>
              <w:rPr>
                <w:rFonts w:ascii="Verdana" w:eastAsia="Times New Roman" w:hAnsi="Verdana" w:cs="Arial"/>
                <w:sz w:val="20"/>
                <w:szCs w:val="20"/>
              </w:rPr>
            </w:pPr>
            <w:r w:rsidRPr="00335934">
              <w:rPr>
                <w:rFonts w:ascii="Verdana" w:eastAsia="Times New Roman" w:hAnsi="Verdana" w:cs="Arial"/>
                <w:sz w:val="20"/>
                <w:szCs w:val="20"/>
              </w:rPr>
              <w:t>Comercio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E7CC8"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$714.59</w:t>
            </w:r>
          </w:p>
        </w:tc>
      </w:tr>
      <w:tr w:rsidR="00902337" w:rsidRPr="00335934" w14:paraId="080C5B27"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408D51" w14:textId="77777777" w:rsidR="00902337" w:rsidRPr="00335934" w:rsidRDefault="00902337" w:rsidP="00335934">
            <w:pPr>
              <w:spacing w:line="240" w:lineRule="auto"/>
              <w:rPr>
                <w:rFonts w:ascii="Verdana" w:eastAsia="Times New Roman" w:hAnsi="Verdana" w:cs="Arial"/>
                <w:sz w:val="20"/>
                <w:szCs w:val="20"/>
              </w:rPr>
            </w:pPr>
            <w:r w:rsidRPr="00335934">
              <w:rPr>
                <w:rFonts w:ascii="Verdana" w:eastAsia="Times New Roman" w:hAnsi="Verdana" w:cs="Arial"/>
                <w:sz w:val="20"/>
                <w:szCs w:val="20"/>
              </w:rPr>
              <w:t>e) Transporte de agua en pipa hasta 100 km.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A27F5" w14:textId="77777777" w:rsidR="00902337" w:rsidRPr="00335934" w:rsidRDefault="00902337" w:rsidP="00335934">
            <w:pPr>
              <w:spacing w:line="240" w:lineRule="auto"/>
              <w:rPr>
                <w:rFonts w:ascii="Verdana" w:eastAsia="Times New Roman" w:hAnsi="Verdana" w:cs="Arial"/>
                <w:sz w:val="20"/>
                <w:szCs w:val="20"/>
              </w:rPr>
            </w:pPr>
            <w:r w:rsidRPr="00335934">
              <w:rPr>
                <w:rFonts w:ascii="Verdana" w:eastAsia="Times New Roman" w:hAnsi="Verdana" w:cs="Arial"/>
                <w:sz w:val="20"/>
                <w:szCs w:val="20"/>
              </w:rPr>
              <w:t>Pipa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B9913"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$522.40</w:t>
            </w:r>
          </w:p>
        </w:tc>
      </w:tr>
      <w:tr w:rsidR="00902337" w:rsidRPr="00335934" w14:paraId="7EB23762"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119433" w14:textId="77777777" w:rsidR="00902337" w:rsidRPr="00335934" w:rsidRDefault="00902337" w:rsidP="00335934">
            <w:pPr>
              <w:spacing w:line="240" w:lineRule="auto"/>
              <w:rPr>
                <w:rFonts w:ascii="Verdana" w:eastAsia="Times New Roman" w:hAnsi="Verdana" w:cs="Arial"/>
                <w:sz w:val="20"/>
                <w:szCs w:val="20"/>
              </w:rPr>
            </w:pPr>
            <w:r w:rsidRPr="00335934">
              <w:rPr>
                <w:rFonts w:ascii="Verdana" w:eastAsia="Times New Roman" w:hAnsi="Verdana" w:cs="Arial"/>
                <w:sz w:val="20"/>
                <w:szCs w:val="20"/>
              </w:rPr>
              <w:t>f) Transporte de agua en pipa 101 Km. 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F48BD" w14:textId="77777777" w:rsidR="00902337" w:rsidRPr="00335934" w:rsidRDefault="00902337" w:rsidP="00335934">
            <w:pPr>
              <w:spacing w:line="240" w:lineRule="auto"/>
              <w:rPr>
                <w:rFonts w:ascii="Verdana" w:eastAsia="Times New Roman" w:hAnsi="Verdana" w:cs="Arial"/>
                <w:sz w:val="20"/>
                <w:szCs w:val="20"/>
              </w:rPr>
            </w:pPr>
            <w:r w:rsidRPr="00335934">
              <w:rPr>
                <w:rFonts w:ascii="Verdana" w:eastAsia="Times New Roman" w:hAnsi="Verdana" w:cs="Arial"/>
                <w:sz w:val="20"/>
                <w:szCs w:val="20"/>
              </w:rPr>
              <w:t>Pipa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636D3"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$845.66</w:t>
            </w:r>
          </w:p>
        </w:tc>
      </w:tr>
    </w:tbl>
    <w:p w14:paraId="160398D3" w14:textId="77777777" w:rsidR="00902337" w:rsidRPr="00335934" w:rsidRDefault="00902337" w:rsidP="00335934">
      <w:pPr>
        <w:pStyle w:val="NormalWeb"/>
        <w:jc w:val="both"/>
        <w:rPr>
          <w:rFonts w:ascii="Verdana" w:hAnsi="Verdana"/>
          <w:sz w:val="20"/>
          <w:szCs w:val="20"/>
        </w:rPr>
      </w:pPr>
      <w:r w:rsidRPr="00335934">
        <w:rPr>
          <w:rFonts w:ascii="Verdana" w:hAnsi="Verdana"/>
          <w:sz w:val="20"/>
          <w:szCs w:val="20"/>
        </w:rPr>
        <w:tab/>
        <w:t>La contratación de los servicios de agua potable y drenaje incluye trabajos de instalación.</w:t>
      </w:r>
    </w:p>
    <w:p w14:paraId="230A919F" w14:textId="77777777" w:rsidR="00902337" w:rsidRPr="00335934" w:rsidRDefault="00902337" w:rsidP="00335934">
      <w:pPr>
        <w:pStyle w:val="Sinespaciado"/>
        <w:jc w:val="center"/>
      </w:pPr>
      <w:r w:rsidRPr="00335934">
        <w:rPr>
          <w:rStyle w:val="Textoennegrita"/>
          <w:rFonts w:ascii="Verdana" w:hAnsi="Verdana" w:cs="Arial"/>
          <w:sz w:val="20"/>
          <w:szCs w:val="20"/>
        </w:rPr>
        <w:t>SECCIÓN SEGUNDA</w:t>
      </w:r>
      <w:r w:rsidRPr="00335934">
        <w:br/>
      </w:r>
      <w:r w:rsidRPr="00335934">
        <w:rPr>
          <w:rStyle w:val="Textoennegrita"/>
          <w:rFonts w:ascii="Verdana" w:hAnsi="Verdana" w:cs="Arial"/>
          <w:sz w:val="20"/>
          <w:szCs w:val="20"/>
        </w:rPr>
        <w:t>SERVICIO DE ALUMBRADO PÚBLICO</w:t>
      </w:r>
    </w:p>
    <w:p w14:paraId="678158BA" w14:textId="77777777" w:rsidR="00902337" w:rsidRPr="00335934" w:rsidRDefault="00902337" w:rsidP="00335934">
      <w:pPr>
        <w:pStyle w:val="NormalWeb"/>
        <w:jc w:val="both"/>
        <w:rPr>
          <w:rFonts w:ascii="Verdana" w:hAnsi="Verdana"/>
          <w:sz w:val="20"/>
          <w:szCs w:val="20"/>
        </w:rPr>
      </w:pPr>
      <w:r w:rsidRPr="00335934">
        <w:rPr>
          <w:rStyle w:val="Textoennegrita"/>
          <w:rFonts w:ascii="Verdana" w:hAnsi="Verdana"/>
          <w:sz w:val="20"/>
          <w:szCs w:val="20"/>
        </w:rPr>
        <w:tab/>
        <w:t>Artículo 13</w:t>
      </w:r>
      <w:r w:rsidRPr="00335934">
        <w:rPr>
          <w:rFonts w:ascii="Verdana" w:hAnsi="Verdana"/>
          <w:sz w:val="20"/>
          <w:szCs w:val="20"/>
        </w:rPr>
        <w:t>. Los derechos por la prestación del servicio de alumbrado público se causarán y liquidarán de conformidad con lo dispuesto por la Ley de Hacienda para los Municipios del Estado de Guanajuato y el presente ordenamiento, con base en la siguiente:</w:t>
      </w:r>
    </w:p>
    <w:p w14:paraId="6835BAD9" w14:textId="77777777" w:rsidR="00902337" w:rsidRPr="00335934" w:rsidRDefault="00902337" w:rsidP="00335934">
      <w:pPr>
        <w:pStyle w:val="NormalWeb"/>
        <w:jc w:val="center"/>
        <w:rPr>
          <w:rFonts w:ascii="Verdana" w:hAnsi="Verdana"/>
          <w:b/>
          <w:bCs/>
          <w:sz w:val="20"/>
          <w:szCs w:val="20"/>
        </w:rPr>
      </w:pPr>
    </w:p>
    <w:p w14:paraId="704E0A85" w14:textId="77777777" w:rsidR="00902337" w:rsidRPr="00335934" w:rsidRDefault="00902337" w:rsidP="00335934">
      <w:pPr>
        <w:pStyle w:val="NormalWeb"/>
        <w:jc w:val="center"/>
        <w:rPr>
          <w:rFonts w:ascii="Verdana" w:hAnsi="Verdana"/>
          <w:b/>
          <w:bCs/>
          <w:sz w:val="20"/>
          <w:szCs w:val="20"/>
        </w:rPr>
      </w:pPr>
    </w:p>
    <w:p w14:paraId="7CF67B89" w14:textId="77777777" w:rsidR="00902337" w:rsidRPr="00335934" w:rsidRDefault="00902337" w:rsidP="00335934">
      <w:pPr>
        <w:pStyle w:val="NormalWeb"/>
        <w:jc w:val="center"/>
        <w:rPr>
          <w:rFonts w:ascii="Verdana" w:hAnsi="Verdana"/>
          <w:sz w:val="20"/>
          <w:szCs w:val="20"/>
        </w:rPr>
      </w:pPr>
      <w:r w:rsidRPr="00335934">
        <w:rPr>
          <w:rFonts w:ascii="Verdana" w:hAnsi="Verdana"/>
          <w:b/>
          <w:bCs/>
          <w:sz w:val="20"/>
          <w:szCs w:val="20"/>
        </w:rPr>
        <w:lastRenderedPageBreak/>
        <w:t>TARIFA</w:t>
      </w:r>
    </w:p>
    <w:tbl>
      <w:tblPr>
        <w:tblW w:w="4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721"/>
        <w:gridCol w:w="1732"/>
        <w:gridCol w:w="1616"/>
      </w:tblGrid>
      <w:tr w:rsidR="00902337" w:rsidRPr="00335934" w14:paraId="568CF90E" w14:textId="77777777" w:rsidTr="006B6132">
        <w:trPr>
          <w:trHeight w:val="265"/>
          <w:jc w:val="center"/>
        </w:trPr>
        <w:tc>
          <w:tcPr>
            <w:tcW w:w="0" w:type="auto"/>
            <w:vAlign w:val="center"/>
            <w:hideMark/>
          </w:tcPr>
          <w:p w14:paraId="16EE3447" w14:textId="77777777" w:rsidR="00902337" w:rsidRPr="00335934" w:rsidRDefault="00902337" w:rsidP="00335934">
            <w:pPr>
              <w:spacing w:line="240" w:lineRule="auto"/>
              <w:jc w:val="both"/>
              <w:rPr>
                <w:rFonts w:ascii="Verdana" w:eastAsia="Times New Roman" w:hAnsi="Verdana" w:cs="Arial"/>
                <w:b/>
                <w:bCs/>
                <w:sz w:val="20"/>
                <w:szCs w:val="20"/>
              </w:rPr>
            </w:pPr>
            <w:r w:rsidRPr="00335934">
              <w:rPr>
                <w:rFonts w:ascii="Verdana" w:eastAsia="Times New Roman" w:hAnsi="Verdana" w:cs="Arial"/>
                <w:b/>
                <w:bCs/>
                <w:sz w:val="20"/>
                <w:szCs w:val="20"/>
              </w:rPr>
              <w:t>I.</w:t>
            </w:r>
          </w:p>
        </w:tc>
        <w:tc>
          <w:tcPr>
            <w:tcW w:w="0" w:type="auto"/>
            <w:hideMark/>
          </w:tcPr>
          <w:p w14:paraId="4B5844DC"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$1,750.12</w:t>
            </w:r>
          </w:p>
        </w:tc>
        <w:tc>
          <w:tcPr>
            <w:tcW w:w="0" w:type="auto"/>
            <w:vAlign w:val="center"/>
            <w:hideMark/>
          </w:tcPr>
          <w:p w14:paraId="14568730"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Mensual</w:t>
            </w:r>
          </w:p>
        </w:tc>
      </w:tr>
      <w:tr w:rsidR="00902337" w:rsidRPr="00335934" w14:paraId="08D4D5B4" w14:textId="77777777" w:rsidTr="006B6132">
        <w:trPr>
          <w:trHeight w:val="265"/>
          <w:jc w:val="center"/>
        </w:trPr>
        <w:tc>
          <w:tcPr>
            <w:tcW w:w="0" w:type="auto"/>
            <w:vAlign w:val="center"/>
            <w:hideMark/>
          </w:tcPr>
          <w:p w14:paraId="793B65E6" w14:textId="77777777" w:rsidR="00902337" w:rsidRPr="00335934" w:rsidRDefault="00902337" w:rsidP="00335934">
            <w:pPr>
              <w:spacing w:line="240" w:lineRule="auto"/>
              <w:jc w:val="both"/>
              <w:rPr>
                <w:rFonts w:ascii="Verdana" w:eastAsia="Times New Roman" w:hAnsi="Verdana" w:cs="Arial"/>
                <w:b/>
                <w:bCs/>
                <w:sz w:val="20"/>
                <w:szCs w:val="20"/>
              </w:rPr>
            </w:pPr>
            <w:r w:rsidRPr="00335934">
              <w:rPr>
                <w:rFonts w:ascii="Verdana" w:eastAsia="Times New Roman" w:hAnsi="Verdana" w:cs="Arial"/>
                <w:b/>
                <w:bCs/>
                <w:sz w:val="20"/>
                <w:szCs w:val="20"/>
              </w:rPr>
              <w:t>II.</w:t>
            </w:r>
          </w:p>
        </w:tc>
        <w:tc>
          <w:tcPr>
            <w:tcW w:w="0" w:type="auto"/>
            <w:hideMark/>
          </w:tcPr>
          <w:p w14:paraId="76C12442"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$3,500.24</w:t>
            </w:r>
          </w:p>
        </w:tc>
        <w:tc>
          <w:tcPr>
            <w:tcW w:w="0" w:type="auto"/>
            <w:vAlign w:val="center"/>
            <w:hideMark/>
          </w:tcPr>
          <w:p w14:paraId="6A98F3FB"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sz w:val="20"/>
                <w:szCs w:val="20"/>
              </w:rPr>
              <w:t>Bimestral</w:t>
            </w:r>
          </w:p>
        </w:tc>
      </w:tr>
    </w:tbl>
    <w:p w14:paraId="681714FC" w14:textId="77777777" w:rsidR="00902337" w:rsidRPr="00335934" w:rsidRDefault="00902337" w:rsidP="00335934">
      <w:pPr>
        <w:pStyle w:val="NormalWeb"/>
        <w:jc w:val="both"/>
        <w:rPr>
          <w:rFonts w:ascii="Verdana" w:hAnsi="Verdana"/>
          <w:sz w:val="20"/>
          <w:szCs w:val="20"/>
        </w:rPr>
      </w:pPr>
      <w:r w:rsidRPr="00335934">
        <w:rPr>
          <w:rFonts w:ascii="Verdana" w:hAnsi="Verdana"/>
          <w:sz w:val="20"/>
          <w:szCs w:val="20"/>
        </w:rPr>
        <w:tab/>
        <w:t>Aplicará la tarifa mensual o bimestral según el periodo de facturación de la Comisión Federal de Electricidad.</w:t>
      </w:r>
    </w:p>
    <w:p w14:paraId="588CE308" w14:textId="77777777" w:rsidR="00902337" w:rsidRPr="00335934" w:rsidRDefault="00902337" w:rsidP="00335934">
      <w:pPr>
        <w:pStyle w:val="NormalWeb"/>
        <w:jc w:val="both"/>
        <w:rPr>
          <w:rFonts w:ascii="Verdana" w:hAnsi="Verdana"/>
          <w:sz w:val="20"/>
          <w:szCs w:val="20"/>
        </w:rPr>
      </w:pPr>
      <w:r w:rsidRPr="00335934">
        <w:rPr>
          <w:rFonts w:ascii="Verdana" w:hAnsi="Verdana"/>
          <w:sz w:val="20"/>
          <w:szCs w:val="20"/>
        </w:rPr>
        <w:tab/>
        <w:t>Los usuarios de este servicio que no tengan cuenta con la Comisión Federal de Electricidad, pagarán este derecho a través de los recibos que para tal efecto expida la Tesorería Municipal. </w:t>
      </w:r>
    </w:p>
    <w:p w14:paraId="2FEEA1CB" w14:textId="77777777" w:rsidR="00902337" w:rsidRPr="00335934" w:rsidRDefault="00902337" w:rsidP="00335934">
      <w:pPr>
        <w:spacing w:line="240" w:lineRule="auto"/>
        <w:jc w:val="center"/>
        <w:rPr>
          <w:rFonts w:ascii="Verdana" w:eastAsia="Times New Roman" w:hAnsi="Verdana" w:cs="Arial"/>
          <w:sz w:val="20"/>
          <w:szCs w:val="20"/>
        </w:rPr>
      </w:pPr>
      <w:r w:rsidRPr="00335934">
        <w:rPr>
          <w:rStyle w:val="Textoennegrita"/>
          <w:rFonts w:ascii="Verdana" w:hAnsi="Verdana" w:cs="Arial"/>
          <w:sz w:val="20"/>
          <w:szCs w:val="20"/>
        </w:rPr>
        <w:t>SECCIÓN TERCERA</w:t>
      </w:r>
      <w:r w:rsidRPr="00335934">
        <w:rPr>
          <w:rFonts w:ascii="Verdana" w:eastAsia="Times New Roman" w:hAnsi="Verdana" w:cs="Arial"/>
          <w:b/>
          <w:bCs/>
          <w:sz w:val="20"/>
          <w:szCs w:val="20"/>
        </w:rPr>
        <w:br/>
      </w:r>
      <w:r w:rsidRPr="00335934">
        <w:rPr>
          <w:rStyle w:val="Textoennegrita"/>
          <w:rFonts w:ascii="Verdana" w:hAnsi="Verdana" w:cs="Arial"/>
          <w:sz w:val="20"/>
          <w:szCs w:val="20"/>
        </w:rPr>
        <w:t>SERVICIOS DE PANTEONES</w:t>
      </w:r>
    </w:p>
    <w:p w14:paraId="522ADEFE" w14:textId="77777777" w:rsidR="00902337" w:rsidRPr="00335934" w:rsidRDefault="00902337" w:rsidP="00335934">
      <w:pPr>
        <w:spacing w:line="240" w:lineRule="auto"/>
        <w:jc w:val="both"/>
        <w:rPr>
          <w:rFonts w:ascii="Verdana" w:eastAsia="Times New Roman" w:hAnsi="Verdana" w:cs="Arial"/>
          <w:sz w:val="20"/>
          <w:szCs w:val="20"/>
        </w:rPr>
      </w:pPr>
      <w:r w:rsidRPr="00335934">
        <w:rPr>
          <w:rStyle w:val="Textoennegrita"/>
          <w:rFonts w:ascii="Verdana" w:hAnsi="Verdana" w:cs="Arial"/>
          <w:sz w:val="20"/>
          <w:szCs w:val="20"/>
        </w:rPr>
        <w:tab/>
        <w:t>Artículo 14</w:t>
      </w:r>
      <w:r w:rsidRPr="00335934">
        <w:rPr>
          <w:rFonts w:ascii="Verdana" w:eastAsia="Times New Roman" w:hAnsi="Verdana" w:cs="Arial"/>
          <w:sz w:val="20"/>
          <w:szCs w:val="20"/>
        </w:rPr>
        <w:t>. Los derechos por la prestación del servicio público de panteones municipales se causarán y liquidarán conforme a la siguiente:</w:t>
      </w:r>
    </w:p>
    <w:p w14:paraId="51B9A7CA" w14:textId="77777777" w:rsidR="00902337" w:rsidRPr="00335934" w:rsidRDefault="00902337" w:rsidP="00335934">
      <w:pPr>
        <w:pStyle w:val="NormalWeb"/>
        <w:jc w:val="center"/>
        <w:rPr>
          <w:rFonts w:ascii="Verdana" w:hAnsi="Verdana"/>
          <w:b/>
          <w:bCs/>
          <w:sz w:val="20"/>
          <w:szCs w:val="20"/>
        </w:rPr>
      </w:pPr>
      <w:r w:rsidRPr="00335934">
        <w:rPr>
          <w:rFonts w:ascii="Verdana" w:hAnsi="Verdana"/>
          <w:b/>
          <w:bCs/>
          <w:sz w:val="20"/>
          <w:szCs w:val="20"/>
        </w:rPr>
        <w:t>TARIFA</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60"/>
        <w:gridCol w:w="1629"/>
      </w:tblGrid>
      <w:tr w:rsidR="00902337" w:rsidRPr="00335934" w14:paraId="1D7DB43E" w14:textId="77777777" w:rsidTr="006B6132">
        <w:trPr>
          <w:jc w:val="center"/>
        </w:trPr>
        <w:tc>
          <w:tcPr>
            <w:tcW w:w="7460" w:type="dxa"/>
          </w:tcPr>
          <w:p w14:paraId="5A66D157" w14:textId="77777777" w:rsidR="00902337" w:rsidRPr="00335934" w:rsidRDefault="00902337" w:rsidP="00335934">
            <w:pPr>
              <w:spacing w:line="240" w:lineRule="auto"/>
              <w:jc w:val="both"/>
              <w:rPr>
                <w:rFonts w:ascii="Verdana" w:hAnsi="Verdana" w:cs="Arial"/>
                <w:sz w:val="20"/>
                <w:szCs w:val="20"/>
              </w:rPr>
            </w:pPr>
            <w:r w:rsidRPr="00335934">
              <w:rPr>
                <w:rFonts w:ascii="Verdana" w:hAnsi="Verdana" w:cs="Arial"/>
                <w:b/>
                <w:bCs/>
                <w:sz w:val="20"/>
                <w:szCs w:val="20"/>
              </w:rPr>
              <w:t>I.</w:t>
            </w:r>
            <w:r w:rsidRPr="00335934">
              <w:rPr>
                <w:rFonts w:ascii="Verdana" w:hAnsi="Verdana" w:cs="Arial"/>
                <w:bCs/>
                <w:sz w:val="20"/>
                <w:szCs w:val="20"/>
              </w:rPr>
              <w:t xml:space="preserve"> Por </w:t>
            </w:r>
            <w:r w:rsidRPr="00335934">
              <w:rPr>
                <w:rFonts w:ascii="Verdana" w:hAnsi="Verdana" w:cs="Arial"/>
                <w:sz w:val="20"/>
                <w:szCs w:val="20"/>
              </w:rPr>
              <w:t>inhumaciones en fosas o gavetas:</w:t>
            </w:r>
          </w:p>
        </w:tc>
        <w:tc>
          <w:tcPr>
            <w:tcW w:w="1629" w:type="dxa"/>
          </w:tcPr>
          <w:p w14:paraId="3579D218" w14:textId="77777777" w:rsidR="00902337" w:rsidRPr="00335934" w:rsidRDefault="00902337" w:rsidP="00335934">
            <w:pPr>
              <w:spacing w:line="240" w:lineRule="auto"/>
              <w:jc w:val="right"/>
              <w:rPr>
                <w:rFonts w:ascii="Verdana" w:hAnsi="Verdana" w:cs="Arial"/>
                <w:sz w:val="20"/>
                <w:szCs w:val="20"/>
              </w:rPr>
            </w:pPr>
          </w:p>
        </w:tc>
      </w:tr>
      <w:tr w:rsidR="00902337" w:rsidRPr="00335934" w14:paraId="54B7DC09" w14:textId="77777777" w:rsidTr="006B6132">
        <w:trPr>
          <w:jc w:val="center"/>
        </w:trPr>
        <w:tc>
          <w:tcPr>
            <w:tcW w:w="7460" w:type="dxa"/>
          </w:tcPr>
          <w:p w14:paraId="7A7879F9" w14:textId="77777777" w:rsidR="00902337" w:rsidRPr="00335934" w:rsidRDefault="00902337" w:rsidP="00335934">
            <w:pPr>
              <w:pStyle w:val="NormalWeb"/>
              <w:numPr>
                <w:ilvl w:val="0"/>
                <w:numId w:val="10"/>
              </w:numPr>
              <w:spacing w:before="0" w:beforeAutospacing="0" w:after="0" w:afterAutospacing="0"/>
              <w:rPr>
                <w:rFonts w:ascii="Verdana" w:hAnsi="Verdana"/>
                <w:sz w:val="20"/>
                <w:szCs w:val="20"/>
              </w:rPr>
            </w:pPr>
            <w:r w:rsidRPr="00335934">
              <w:rPr>
                <w:rFonts w:ascii="Verdana" w:hAnsi="Verdana"/>
                <w:sz w:val="20"/>
                <w:szCs w:val="20"/>
              </w:rPr>
              <w:t>En fosa común sin caja</w:t>
            </w:r>
          </w:p>
        </w:tc>
        <w:tc>
          <w:tcPr>
            <w:tcW w:w="1629" w:type="dxa"/>
            <w:vAlign w:val="center"/>
          </w:tcPr>
          <w:p w14:paraId="7AEC4249" w14:textId="77777777" w:rsidR="00902337" w:rsidRPr="00335934" w:rsidRDefault="00902337" w:rsidP="00335934">
            <w:pPr>
              <w:spacing w:line="240" w:lineRule="auto"/>
              <w:jc w:val="center"/>
              <w:rPr>
                <w:rFonts w:ascii="Verdana" w:hAnsi="Verdana" w:cs="Arial"/>
                <w:color w:val="000000"/>
                <w:sz w:val="20"/>
                <w:szCs w:val="20"/>
              </w:rPr>
            </w:pPr>
            <w:r w:rsidRPr="00335934">
              <w:rPr>
                <w:rFonts w:ascii="Verdana" w:hAnsi="Verdana" w:cs="Arial"/>
                <w:color w:val="000000"/>
                <w:sz w:val="20"/>
                <w:szCs w:val="20"/>
              </w:rPr>
              <w:t>Exento</w:t>
            </w:r>
          </w:p>
        </w:tc>
      </w:tr>
      <w:tr w:rsidR="00902337" w:rsidRPr="00335934" w14:paraId="37795B5D" w14:textId="77777777" w:rsidTr="006B6132">
        <w:trPr>
          <w:jc w:val="center"/>
        </w:trPr>
        <w:tc>
          <w:tcPr>
            <w:tcW w:w="7460" w:type="dxa"/>
          </w:tcPr>
          <w:p w14:paraId="2C81264E" w14:textId="77777777" w:rsidR="00902337" w:rsidRPr="00335934" w:rsidRDefault="00902337" w:rsidP="00335934">
            <w:pPr>
              <w:pStyle w:val="Prrafodelista"/>
              <w:numPr>
                <w:ilvl w:val="0"/>
                <w:numId w:val="10"/>
              </w:numPr>
              <w:rPr>
                <w:rFonts w:ascii="Verdana" w:hAnsi="Verdana" w:cs="Arial"/>
                <w:sz w:val="20"/>
                <w:szCs w:val="20"/>
                <w:lang w:val="es-MX"/>
              </w:rPr>
            </w:pPr>
            <w:r w:rsidRPr="00335934">
              <w:rPr>
                <w:rFonts w:ascii="Verdana" w:hAnsi="Verdana" w:cs="Arial"/>
                <w:sz w:val="20"/>
                <w:szCs w:val="20"/>
                <w:lang w:val="es-MX"/>
              </w:rPr>
              <w:t>En fosa común con caja</w:t>
            </w:r>
          </w:p>
        </w:tc>
        <w:tc>
          <w:tcPr>
            <w:tcW w:w="1629" w:type="dxa"/>
            <w:vAlign w:val="center"/>
          </w:tcPr>
          <w:p w14:paraId="71A73A6D" w14:textId="77777777" w:rsidR="00902337" w:rsidRPr="00335934" w:rsidRDefault="00902337" w:rsidP="00335934">
            <w:pPr>
              <w:spacing w:line="240" w:lineRule="auto"/>
              <w:jc w:val="center"/>
              <w:rPr>
                <w:rFonts w:ascii="Verdana" w:hAnsi="Verdana" w:cs="Arial"/>
                <w:color w:val="000000"/>
                <w:sz w:val="20"/>
                <w:szCs w:val="20"/>
              </w:rPr>
            </w:pPr>
            <w:r w:rsidRPr="00335934">
              <w:rPr>
                <w:rFonts w:ascii="Verdana" w:eastAsia="Times New Roman" w:hAnsi="Verdana" w:cs="Arial"/>
                <w:sz w:val="20"/>
                <w:szCs w:val="20"/>
              </w:rPr>
              <w:t>$50.68</w:t>
            </w:r>
          </w:p>
        </w:tc>
      </w:tr>
      <w:tr w:rsidR="00902337" w:rsidRPr="00335934" w14:paraId="3965D2D6" w14:textId="77777777" w:rsidTr="006B6132">
        <w:trPr>
          <w:jc w:val="center"/>
        </w:trPr>
        <w:tc>
          <w:tcPr>
            <w:tcW w:w="7460" w:type="dxa"/>
          </w:tcPr>
          <w:p w14:paraId="45B2CAB0" w14:textId="77777777" w:rsidR="00902337" w:rsidRPr="00335934" w:rsidRDefault="00902337" w:rsidP="00335934">
            <w:pPr>
              <w:pStyle w:val="Prrafodelista"/>
              <w:numPr>
                <w:ilvl w:val="0"/>
                <w:numId w:val="10"/>
              </w:numPr>
              <w:rPr>
                <w:rFonts w:ascii="Verdana" w:hAnsi="Verdana" w:cs="Arial"/>
                <w:sz w:val="20"/>
                <w:szCs w:val="20"/>
                <w:lang w:val="es-MX"/>
              </w:rPr>
            </w:pPr>
            <w:r w:rsidRPr="00335934">
              <w:rPr>
                <w:rFonts w:ascii="Verdana" w:hAnsi="Verdana" w:cs="Arial"/>
                <w:sz w:val="20"/>
                <w:szCs w:val="20"/>
                <w:lang w:val="es-MX"/>
              </w:rPr>
              <w:t>Por un quinquenio</w:t>
            </w:r>
          </w:p>
        </w:tc>
        <w:tc>
          <w:tcPr>
            <w:tcW w:w="1629" w:type="dxa"/>
            <w:vAlign w:val="center"/>
          </w:tcPr>
          <w:p w14:paraId="77169BD9" w14:textId="77777777" w:rsidR="00902337" w:rsidRPr="00335934" w:rsidRDefault="00902337" w:rsidP="00335934">
            <w:pPr>
              <w:spacing w:line="240" w:lineRule="auto"/>
              <w:jc w:val="center"/>
              <w:rPr>
                <w:rFonts w:ascii="Verdana" w:hAnsi="Verdana" w:cs="Arial"/>
                <w:color w:val="000000"/>
                <w:sz w:val="20"/>
                <w:szCs w:val="20"/>
              </w:rPr>
            </w:pPr>
            <w:r w:rsidRPr="00335934">
              <w:rPr>
                <w:rFonts w:ascii="Verdana" w:eastAsia="Times New Roman" w:hAnsi="Verdana" w:cs="Arial"/>
                <w:sz w:val="20"/>
                <w:szCs w:val="20"/>
              </w:rPr>
              <w:t>$279.55</w:t>
            </w:r>
          </w:p>
        </w:tc>
      </w:tr>
      <w:tr w:rsidR="00902337" w:rsidRPr="00335934" w14:paraId="6BBDCE6C" w14:textId="77777777" w:rsidTr="006B6132">
        <w:trPr>
          <w:trHeight w:val="152"/>
          <w:jc w:val="center"/>
        </w:trPr>
        <w:tc>
          <w:tcPr>
            <w:tcW w:w="7460" w:type="dxa"/>
          </w:tcPr>
          <w:p w14:paraId="12563117" w14:textId="77777777" w:rsidR="00902337" w:rsidRPr="00335934" w:rsidRDefault="00902337" w:rsidP="00335934">
            <w:pPr>
              <w:spacing w:line="240" w:lineRule="auto"/>
              <w:rPr>
                <w:rFonts w:ascii="Verdana" w:hAnsi="Verdana" w:cs="Arial"/>
                <w:sz w:val="20"/>
                <w:szCs w:val="20"/>
              </w:rPr>
            </w:pPr>
            <w:r w:rsidRPr="00335934">
              <w:rPr>
                <w:rFonts w:ascii="Verdana" w:hAnsi="Verdana" w:cs="Arial"/>
                <w:b/>
                <w:snapToGrid w:val="0"/>
                <w:color w:val="000000"/>
                <w:sz w:val="20"/>
                <w:szCs w:val="20"/>
              </w:rPr>
              <w:t xml:space="preserve">II. </w:t>
            </w:r>
            <w:r w:rsidRPr="00335934">
              <w:rPr>
                <w:rFonts w:ascii="Verdana" w:hAnsi="Verdana" w:cs="Arial"/>
                <w:snapToGrid w:val="0"/>
                <w:color w:val="000000"/>
                <w:sz w:val="20"/>
                <w:szCs w:val="20"/>
              </w:rPr>
              <w:t>Por permiso para colocación de lápida en fosa o gaveta.</w:t>
            </w:r>
          </w:p>
        </w:tc>
        <w:tc>
          <w:tcPr>
            <w:tcW w:w="1629" w:type="dxa"/>
            <w:vAlign w:val="center"/>
          </w:tcPr>
          <w:p w14:paraId="0FA5EE90" w14:textId="77777777" w:rsidR="00902337" w:rsidRPr="00335934" w:rsidRDefault="00902337" w:rsidP="00335934">
            <w:pPr>
              <w:spacing w:line="240" w:lineRule="auto"/>
              <w:jc w:val="center"/>
              <w:rPr>
                <w:rFonts w:ascii="Verdana" w:hAnsi="Verdana" w:cs="Arial"/>
                <w:color w:val="000000"/>
                <w:sz w:val="20"/>
                <w:szCs w:val="20"/>
              </w:rPr>
            </w:pPr>
            <w:r w:rsidRPr="00335934">
              <w:rPr>
                <w:rFonts w:ascii="Verdana" w:eastAsia="Times New Roman" w:hAnsi="Verdana" w:cs="Arial"/>
                <w:sz w:val="20"/>
                <w:szCs w:val="20"/>
              </w:rPr>
              <w:t>$235.85</w:t>
            </w:r>
          </w:p>
        </w:tc>
      </w:tr>
      <w:tr w:rsidR="00902337" w:rsidRPr="00335934" w14:paraId="6ED34DA2" w14:textId="77777777" w:rsidTr="006B6132">
        <w:trPr>
          <w:jc w:val="center"/>
        </w:trPr>
        <w:tc>
          <w:tcPr>
            <w:tcW w:w="7460" w:type="dxa"/>
          </w:tcPr>
          <w:p w14:paraId="6BA4E358" w14:textId="77777777" w:rsidR="00902337" w:rsidRPr="00335934" w:rsidRDefault="00902337" w:rsidP="00335934">
            <w:pPr>
              <w:spacing w:line="240" w:lineRule="auto"/>
              <w:ind w:left="341" w:hanging="341"/>
              <w:jc w:val="both"/>
              <w:rPr>
                <w:rFonts w:ascii="Verdana" w:hAnsi="Verdana" w:cs="Arial"/>
                <w:snapToGrid w:val="0"/>
                <w:color w:val="000000"/>
                <w:sz w:val="20"/>
                <w:szCs w:val="20"/>
              </w:rPr>
            </w:pPr>
            <w:r w:rsidRPr="00335934">
              <w:rPr>
                <w:rFonts w:ascii="Verdana" w:hAnsi="Verdana" w:cs="Arial"/>
                <w:b/>
                <w:snapToGrid w:val="0"/>
                <w:color w:val="000000"/>
                <w:sz w:val="20"/>
                <w:szCs w:val="20"/>
              </w:rPr>
              <w:t>III.</w:t>
            </w:r>
            <w:r w:rsidRPr="00335934">
              <w:rPr>
                <w:rFonts w:ascii="Verdana" w:hAnsi="Verdana" w:cs="Arial"/>
                <w:snapToGrid w:val="0"/>
                <w:color w:val="000000"/>
                <w:sz w:val="20"/>
                <w:szCs w:val="20"/>
              </w:rPr>
              <w:t xml:space="preserve"> Por permiso para construcción de monumentos en panteones municipales.</w:t>
            </w:r>
          </w:p>
        </w:tc>
        <w:tc>
          <w:tcPr>
            <w:tcW w:w="1629" w:type="dxa"/>
            <w:vAlign w:val="center"/>
          </w:tcPr>
          <w:p w14:paraId="2FB28634" w14:textId="77777777" w:rsidR="00902337" w:rsidRPr="00335934" w:rsidRDefault="00902337" w:rsidP="00335934">
            <w:pPr>
              <w:spacing w:line="240" w:lineRule="auto"/>
              <w:jc w:val="center"/>
              <w:rPr>
                <w:rFonts w:ascii="Verdana" w:hAnsi="Verdana" w:cs="Arial"/>
                <w:sz w:val="20"/>
                <w:szCs w:val="20"/>
              </w:rPr>
            </w:pPr>
            <w:r w:rsidRPr="00335934">
              <w:rPr>
                <w:rFonts w:ascii="Verdana" w:eastAsia="Times New Roman" w:hAnsi="Verdana" w:cs="Arial"/>
                <w:sz w:val="20"/>
                <w:szCs w:val="20"/>
              </w:rPr>
              <w:t>$235.85</w:t>
            </w:r>
          </w:p>
        </w:tc>
      </w:tr>
      <w:tr w:rsidR="00902337" w:rsidRPr="00335934" w14:paraId="2CD16335" w14:textId="77777777" w:rsidTr="006B6132">
        <w:trPr>
          <w:jc w:val="center"/>
        </w:trPr>
        <w:tc>
          <w:tcPr>
            <w:tcW w:w="7460" w:type="dxa"/>
          </w:tcPr>
          <w:p w14:paraId="3B562A66" w14:textId="77777777" w:rsidR="00902337" w:rsidRPr="00335934" w:rsidRDefault="00902337" w:rsidP="00335934">
            <w:pPr>
              <w:spacing w:line="240" w:lineRule="auto"/>
              <w:jc w:val="both"/>
              <w:rPr>
                <w:rFonts w:ascii="Verdana" w:hAnsi="Verdana" w:cs="Arial"/>
                <w:snapToGrid w:val="0"/>
                <w:color w:val="000000"/>
                <w:sz w:val="20"/>
                <w:szCs w:val="20"/>
              </w:rPr>
            </w:pPr>
            <w:r w:rsidRPr="00335934">
              <w:rPr>
                <w:rFonts w:ascii="Verdana" w:hAnsi="Verdana" w:cs="Arial"/>
                <w:b/>
                <w:snapToGrid w:val="0"/>
                <w:color w:val="000000"/>
                <w:sz w:val="20"/>
                <w:szCs w:val="20"/>
              </w:rPr>
              <w:t xml:space="preserve">IV. </w:t>
            </w:r>
            <w:r w:rsidRPr="00335934">
              <w:rPr>
                <w:rFonts w:ascii="Verdana" w:hAnsi="Verdana" w:cs="Arial"/>
                <w:snapToGrid w:val="0"/>
                <w:color w:val="000000"/>
                <w:sz w:val="20"/>
                <w:szCs w:val="20"/>
              </w:rPr>
              <w:t>Por traslado de cadáveres para inhumación fuera del municipio.</w:t>
            </w:r>
          </w:p>
        </w:tc>
        <w:tc>
          <w:tcPr>
            <w:tcW w:w="1629" w:type="dxa"/>
            <w:vAlign w:val="center"/>
          </w:tcPr>
          <w:p w14:paraId="73A57048" w14:textId="77777777" w:rsidR="00902337" w:rsidRPr="00335934" w:rsidRDefault="00902337" w:rsidP="00335934">
            <w:pPr>
              <w:spacing w:line="240" w:lineRule="auto"/>
              <w:jc w:val="center"/>
              <w:rPr>
                <w:rFonts w:ascii="Verdana" w:hAnsi="Verdana" w:cs="Arial"/>
                <w:color w:val="000000"/>
                <w:sz w:val="20"/>
                <w:szCs w:val="20"/>
              </w:rPr>
            </w:pPr>
            <w:r w:rsidRPr="00335934">
              <w:rPr>
                <w:rFonts w:ascii="Verdana" w:eastAsia="Times New Roman" w:hAnsi="Verdana" w:cs="Arial"/>
                <w:sz w:val="20"/>
                <w:szCs w:val="20"/>
              </w:rPr>
              <w:t>$221.89</w:t>
            </w:r>
          </w:p>
        </w:tc>
      </w:tr>
      <w:tr w:rsidR="00902337" w:rsidRPr="00335934" w14:paraId="692084AC" w14:textId="77777777" w:rsidTr="006B6132">
        <w:trPr>
          <w:jc w:val="center"/>
        </w:trPr>
        <w:tc>
          <w:tcPr>
            <w:tcW w:w="7460" w:type="dxa"/>
          </w:tcPr>
          <w:p w14:paraId="77D7B534" w14:textId="77777777" w:rsidR="00902337" w:rsidRPr="00335934" w:rsidRDefault="00902337" w:rsidP="00335934">
            <w:pPr>
              <w:spacing w:line="240" w:lineRule="auto"/>
              <w:jc w:val="both"/>
              <w:rPr>
                <w:rFonts w:ascii="Verdana" w:hAnsi="Verdana" w:cs="Arial"/>
                <w:b/>
                <w:snapToGrid w:val="0"/>
                <w:color w:val="000000"/>
                <w:sz w:val="20"/>
                <w:szCs w:val="20"/>
              </w:rPr>
            </w:pPr>
            <w:r w:rsidRPr="00335934">
              <w:rPr>
                <w:rFonts w:ascii="Verdana" w:hAnsi="Verdana" w:cs="Arial"/>
                <w:b/>
                <w:snapToGrid w:val="0"/>
                <w:color w:val="000000"/>
                <w:sz w:val="20"/>
                <w:szCs w:val="20"/>
              </w:rPr>
              <w:t xml:space="preserve">V. </w:t>
            </w:r>
            <w:r w:rsidRPr="00335934">
              <w:rPr>
                <w:rFonts w:ascii="Verdana" w:hAnsi="Verdana" w:cs="Arial"/>
                <w:snapToGrid w:val="0"/>
                <w:color w:val="000000"/>
                <w:sz w:val="20"/>
                <w:szCs w:val="20"/>
              </w:rPr>
              <w:t>Por exhumación de restos.</w:t>
            </w:r>
          </w:p>
        </w:tc>
        <w:tc>
          <w:tcPr>
            <w:tcW w:w="1629" w:type="dxa"/>
            <w:vAlign w:val="center"/>
          </w:tcPr>
          <w:p w14:paraId="294F7AA3" w14:textId="77777777" w:rsidR="00902337" w:rsidRPr="00335934" w:rsidRDefault="00902337" w:rsidP="00335934">
            <w:pPr>
              <w:spacing w:line="240" w:lineRule="auto"/>
              <w:jc w:val="center"/>
              <w:rPr>
                <w:rFonts w:ascii="Verdana" w:hAnsi="Verdana" w:cs="Arial"/>
                <w:color w:val="000000"/>
                <w:sz w:val="20"/>
                <w:szCs w:val="20"/>
              </w:rPr>
            </w:pPr>
            <w:r w:rsidRPr="00335934">
              <w:rPr>
                <w:rFonts w:ascii="Verdana" w:eastAsia="Times New Roman" w:hAnsi="Verdana" w:cs="Arial"/>
                <w:sz w:val="20"/>
                <w:szCs w:val="20"/>
              </w:rPr>
              <w:t>$312.76</w:t>
            </w:r>
          </w:p>
        </w:tc>
      </w:tr>
    </w:tbl>
    <w:p w14:paraId="1826C64C" w14:textId="77777777" w:rsidR="00335934" w:rsidRDefault="00335934" w:rsidP="00335934">
      <w:pPr>
        <w:pStyle w:val="Sinespaciado"/>
      </w:pPr>
    </w:p>
    <w:p w14:paraId="3E0D8C9B" w14:textId="3CAEC776" w:rsidR="00902337" w:rsidRPr="00335934" w:rsidRDefault="00902337" w:rsidP="00335934">
      <w:pPr>
        <w:spacing w:line="240" w:lineRule="auto"/>
        <w:ind w:firstLine="851"/>
        <w:jc w:val="both"/>
        <w:rPr>
          <w:rFonts w:ascii="Verdana" w:hAnsi="Verdana" w:cs="Arial"/>
          <w:sz w:val="20"/>
          <w:szCs w:val="20"/>
        </w:rPr>
      </w:pPr>
      <w:r w:rsidRPr="00335934">
        <w:rPr>
          <w:rFonts w:ascii="Verdana" w:hAnsi="Verdana" w:cs="Arial"/>
          <w:sz w:val="20"/>
          <w:szCs w:val="20"/>
        </w:rPr>
        <w:t xml:space="preserve">En el pago de derechos relativos a los servicios de inhumaciones, el Ayuntamiento podrá autorizar descuentos en la tarifa señalada en el presente artículo, cuando estos tengan relación con la búsqueda y localización de una persona desaparecida. </w:t>
      </w:r>
    </w:p>
    <w:p w14:paraId="661A0E20" w14:textId="77777777" w:rsidR="00335934" w:rsidRDefault="00335934" w:rsidP="00335934">
      <w:pPr>
        <w:spacing w:line="240" w:lineRule="auto"/>
        <w:jc w:val="center"/>
        <w:rPr>
          <w:rStyle w:val="Textoennegrita"/>
          <w:rFonts w:ascii="Verdana" w:hAnsi="Verdana" w:cs="Arial"/>
          <w:sz w:val="20"/>
          <w:szCs w:val="20"/>
        </w:rPr>
      </w:pPr>
    </w:p>
    <w:p w14:paraId="6C70E09E" w14:textId="77777777" w:rsidR="00335934" w:rsidRDefault="00335934" w:rsidP="00335934">
      <w:pPr>
        <w:spacing w:line="240" w:lineRule="auto"/>
        <w:jc w:val="center"/>
        <w:rPr>
          <w:rStyle w:val="Textoennegrita"/>
          <w:rFonts w:ascii="Verdana" w:hAnsi="Verdana" w:cs="Arial"/>
          <w:sz w:val="20"/>
          <w:szCs w:val="20"/>
        </w:rPr>
      </w:pPr>
    </w:p>
    <w:p w14:paraId="0197F08B" w14:textId="77777777" w:rsidR="00335934" w:rsidRDefault="00335934" w:rsidP="00335934">
      <w:pPr>
        <w:spacing w:line="240" w:lineRule="auto"/>
        <w:jc w:val="center"/>
        <w:rPr>
          <w:rStyle w:val="Textoennegrita"/>
          <w:rFonts w:ascii="Verdana" w:hAnsi="Verdana" w:cs="Arial"/>
          <w:sz w:val="20"/>
          <w:szCs w:val="20"/>
        </w:rPr>
      </w:pPr>
    </w:p>
    <w:p w14:paraId="28D7F1B9" w14:textId="41660343" w:rsidR="00902337" w:rsidRPr="00335934" w:rsidRDefault="00902337" w:rsidP="00335934">
      <w:pPr>
        <w:spacing w:line="240" w:lineRule="auto"/>
        <w:jc w:val="center"/>
        <w:rPr>
          <w:rFonts w:ascii="Verdana" w:eastAsia="Times New Roman" w:hAnsi="Verdana" w:cs="Arial"/>
          <w:sz w:val="20"/>
          <w:szCs w:val="20"/>
        </w:rPr>
      </w:pPr>
      <w:r w:rsidRPr="00335934">
        <w:rPr>
          <w:rStyle w:val="Textoennegrita"/>
          <w:rFonts w:ascii="Verdana" w:hAnsi="Verdana" w:cs="Arial"/>
          <w:sz w:val="20"/>
          <w:szCs w:val="20"/>
        </w:rPr>
        <w:lastRenderedPageBreak/>
        <w:t>SECCIÓN CUARTA</w:t>
      </w:r>
      <w:r w:rsidRPr="00335934">
        <w:rPr>
          <w:rFonts w:ascii="Verdana" w:eastAsia="Times New Roman" w:hAnsi="Verdana" w:cs="Arial"/>
          <w:b/>
          <w:bCs/>
          <w:sz w:val="20"/>
          <w:szCs w:val="20"/>
        </w:rPr>
        <w:br/>
      </w:r>
      <w:r w:rsidRPr="00335934">
        <w:rPr>
          <w:rStyle w:val="Textoennegrita"/>
          <w:rFonts w:ascii="Verdana" w:hAnsi="Verdana" w:cs="Arial"/>
          <w:sz w:val="20"/>
          <w:szCs w:val="20"/>
        </w:rPr>
        <w:t>SERVICIOS DE SEGURIDAD PÚBLICA</w:t>
      </w:r>
    </w:p>
    <w:p w14:paraId="7F6110C2" w14:textId="77777777" w:rsidR="00902337" w:rsidRPr="00335934" w:rsidRDefault="00902337" w:rsidP="00335934">
      <w:pPr>
        <w:pStyle w:val="NormalWeb"/>
        <w:jc w:val="both"/>
        <w:rPr>
          <w:rFonts w:ascii="Verdana" w:hAnsi="Verdana"/>
          <w:sz w:val="20"/>
          <w:szCs w:val="20"/>
        </w:rPr>
      </w:pPr>
      <w:r w:rsidRPr="00335934">
        <w:rPr>
          <w:rStyle w:val="Textoennegrita"/>
          <w:rFonts w:ascii="Verdana" w:hAnsi="Verdana"/>
          <w:sz w:val="20"/>
          <w:szCs w:val="20"/>
        </w:rPr>
        <w:tab/>
        <w:t>Artículo 15</w:t>
      </w:r>
      <w:r w:rsidRPr="00335934">
        <w:rPr>
          <w:rFonts w:ascii="Verdana" w:hAnsi="Verdana"/>
          <w:sz w:val="20"/>
          <w:szCs w:val="20"/>
        </w:rPr>
        <w:t>. Los derechos por la prestación de los servicios de seguridad pública, cuando mediante solicitud, se causarán y liquidarán derechos por elemento policial, conforme a la siguiente: </w:t>
      </w:r>
    </w:p>
    <w:p w14:paraId="49CCD86A" w14:textId="77777777" w:rsidR="00902337" w:rsidRPr="00335934" w:rsidRDefault="00902337" w:rsidP="00335934">
      <w:pPr>
        <w:pStyle w:val="NormalWeb"/>
        <w:jc w:val="center"/>
        <w:rPr>
          <w:rFonts w:ascii="Verdana" w:hAnsi="Verdana"/>
          <w:sz w:val="20"/>
          <w:szCs w:val="20"/>
        </w:rPr>
      </w:pPr>
      <w:r w:rsidRPr="00335934">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773"/>
        <w:gridCol w:w="2891"/>
        <w:gridCol w:w="1076"/>
      </w:tblGrid>
      <w:tr w:rsidR="00902337" w:rsidRPr="00335934" w14:paraId="4712BF9B"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9730C0" w14:textId="77777777" w:rsidR="00902337" w:rsidRPr="00335934" w:rsidRDefault="00902337" w:rsidP="00335934">
            <w:pPr>
              <w:spacing w:line="240" w:lineRule="auto"/>
              <w:rPr>
                <w:rFonts w:ascii="Verdana" w:eastAsia="Times New Roman" w:hAnsi="Verdana" w:cs="Arial"/>
                <w:sz w:val="20"/>
                <w:szCs w:val="20"/>
              </w:rPr>
            </w:pPr>
            <w:r w:rsidRPr="00335934">
              <w:rPr>
                <w:rFonts w:ascii="Verdana" w:eastAsia="Times New Roman" w:hAnsi="Verdana" w:cs="Arial"/>
                <w:b/>
                <w:bCs/>
                <w:sz w:val="20"/>
                <w:szCs w:val="20"/>
              </w:rPr>
              <w:t>I.</w:t>
            </w:r>
            <w:r w:rsidRPr="00335934">
              <w:rPr>
                <w:rFonts w:ascii="Verdana" w:eastAsia="Times New Roman" w:hAnsi="Verdana" w:cs="Arial"/>
                <w:sz w:val="20"/>
                <w:szCs w:val="20"/>
              </w:rPr>
              <w:t xml:space="preserve"> En dependencias o instituciones,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61237" w14:textId="77777777" w:rsidR="00902337" w:rsidRPr="00335934" w:rsidRDefault="00902337" w:rsidP="00335934">
            <w:pPr>
              <w:spacing w:line="240" w:lineRule="auto"/>
              <w:rPr>
                <w:rFonts w:ascii="Verdana" w:eastAsia="Times New Roman" w:hAnsi="Verdana" w:cs="Arial"/>
                <w:sz w:val="20"/>
                <w:szCs w:val="20"/>
              </w:rPr>
            </w:pPr>
            <w:r w:rsidRPr="00335934">
              <w:rPr>
                <w:rFonts w:ascii="Verdana" w:eastAsia="Times New Roman" w:hAnsi="Verdana" w:cs="Arial"/>
                <w:sz w:val="20"/>
                <w:szCs w:val="20"/>
              </w:rPr>
              <w:t>Por jornada de ocho horas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58100"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hAnsi="Verdana" w:cs="Arial"/>
                <w:sz w:val="20"/>
                <w:szCs w:val="20"/>
              </w:rPr>
              <w:t>$417.57</w:t>
            </w:r>
          </w:p>
        </w:tc>
      </w:tr>
      <w:tr w:rsidR="00902337" w:rsidRPr="00335934" w14:paraId="240E837A"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4D78A6" w14:textId="77777777" w:rsidR="00902337" w:rsidRPr="00335934" w:rsidRDefault="00902337" w:rsidP="00335934">
            <w:pPr>
              <w:spacing w:line="240" w:lineRule="auto"/>
              <w:rPr>
                <w:rFonts w:ascii="Verdana" w:eastAsia="Times New Roman" w:hAnsi="Verdana" w:cs="Arial"/>
                <w:sz w:val="20"/>
                <w:szCs w:val="20"/>
              </w:rPr>
            </w:pPr>
            <w:r w:rsidRPr="00335934">
              <w:rPr>
                <w:rFonts w:ascii="Verdana" w:eastAsia="Times New Roman" w:hAnsi="Verdana" w:cs="Arial"/>
                <w:b/>
                <w:bCs/>
                <w:sz w:val="20"/>
                <w:szCs w:val="20"/>
              </w:rPr>
              <w:t>II.</w:t>
            </w:r>
            <w:r w:rsidRPr="00335934">
              <w:rPr>
                <w:rFonts w:ascii="Verdana" w:eastAsia="Times New Roman" w:hAnsi="Verdana" w:cs="Arial"/>
                <w:sz w:val="20"/>
                <w:szCs w:val="20"/>
              </w:rPr>
              <w:t xml:space="preserve"> En eventos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A3BE3" w14:textId="77777777" w:rsidR="00902337" w:rsidRPr="00335934" w:rsidRDefault="00902337" w:rsidP="00335934">
            <w:pPr>
              <w:spacing w:line="240" w:lineRule="auto"/>
              <w:rPr>
                <w:rFonts w:ascii="Verdana" w:eastAsia="Times New Roman" w:hAnsi="Verdana" w:cs="Arial"/>
                <w:sz w:val="20"/>
                <w:szCs w:val="20"/>
              </w:rPr>
            </w:pPr>
            <w:r w:rsidRPr="00335934">
              <w:rPr>
                <w:rFonts w:ascii="Verdana" w:eastAsia="Times New Roman" w:hAnsi="Verdana" w:cs="Arial"/>
                <w:sz w:val="20"/>
                <w:szCs w:val="20"/>
              </w:rPr>
              <w:t>Por evento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86D86"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hAnsi="Verdana" w:cs="Arial"/>
                <w:sz w:val="20"/>
                <w:szCs w:val="20"/>
              </w:rPr>
              <w:t>$324.97</w:t>
            </w:r>
          </w:p>
        </w:tc>
      </w:tr>
    </w:tbl>
    <w:p w14:paraId="5BD691F8" w14:textId="77777777" w:rsidR="00902337" w:rsidRPr="00335934" w:rsidRDefault="00902337" w:rsidP="00335934">
      <w:pPr>
        <w:spacing w:line="240" w:lineRule="auto"/>
        <w:jc w:val="center"/>
        <w:rPr>
          <w:rStyle w:val="Textoennegrita"/>
          <w:rFonts w:ascii="Verdana" w:hAnsi="Verdana" w:cs="Arial"/>
          <w:sz w:val="20"/>
          <w:szCs w:val="20"/>
          <w:highlight w:val="yellow"/>
        </w:rPr>
      </w:pPr>
    </w:p>
    <w:p w14:paraId="20DBDE40" w14:textId="2DA7C5A9" w:rsidR="00902337" w:rsidRPr="00335934" w:rsidRDefault="00902337" w:rsidP="00335934">
      <w:pPr>
        <w:pStyle w:val="Sinespaciado"/>
        <w:jc w:val="center"/>
      </w:pPr>
      <w:r w:rsidRPr="00335934">
        <w:rPr>
          <w:rStyle w:val="Textoennegrita"/>
          <w:rFonts w:ascii="Verdana" w:hAnsi="Verdana" w:cs="Arial"/>
          <w:sz w:val="20"/>
          <w:szCs w:val="20"/>
        </w:rPr>
        <w:t>SECCIÓN QUINTA</w:t>
      </w:r>
      <w:r w:rsidRPr="00335934">
        <w:br/>
      </w:r>
      <w:r w:rsidRPr="00335934">
        <w:rPr>
          <w:rStyle w:val="Textoennegrita"/>
          <w:rFonts w:ascii="Verdana" w:hAnsi="Verdana" w:cs="Arial"/>
          <w:sz w:val="20"/>
          <w:szCs w:val="20"/>
        </w:rPr>
        <w:t>SERVICIOS DE TRANSPORTE PÚBLICO URBANO Y</w:t>
      </w:r>
      <w:r w:rsidR="00335934">
        <w:rPr>
          <w:rStyle w:val="Textoennegrita"/>
          <w:rFonts w:ascii="Verdana" w:hAnsi="Verdana" w:cs="Arial"/>
          <w:sz w:val="20"/>
          <w:szCs w:val="20"/>
        </w:rPr>
        <w:t xml:space="preserve"> </w:t>
      </w:r>
      <w:r w:rsidRPr="00335934">
        <w:rPr>
          <w:rStyle w:val="Textoennegrita"/>
          <w:rFonts w:ascii="Verdana" w:hAnsi="Verdana" w:cs="Arial"/>
          <w:sz w:val="20"/>
          <w:szCs w:val="20"/>
        </w:rPr>
        <w:t>SUBURBANO EN RUTA FIJA</w:t>
      </w:r>
    </w:p>
    <w:p w14:paraId="2DEA075B" w14:textId="77777777" w:rsidR="00902337" w:rsidRPr="00335934" w:rsidRDefault="00902337" w:rsidP="00335934">
      <w:pPr>
        <w:pStyle w:val="Sinespaciado"/>
        <w:jc w:val="center"/>
        <w:rPr>
          <w:rStyle w:val="Textoennegrita"/>
          <w:rFonts w:ascii="Verdana" w:hAnsi="Verdana" w:cs="Arial"/>
          <w:sz w:val="20"/>
          <w:szCs w:val="20"/>
        </w:rPr>
      </w:pPr>
    </w:p>
    <w:p w14:paraId="0628FA31" w14:textId="77777777" w:rsidR="00902337" w:rsidRPr="00335934" w:rsidRDefault="00902337" w:rsidP="00335934">
      <w:pPr>
        <w:spacing w:line="240" w:lineRule="auto"/>
        <w:jc w:val="both"/>
        <w:rPr>
          <w:rFonts w:ascii="Verdana" w:eastAsia="Times New Roman" w:hAnsi="Verdana" w:cs="Arial"/>
          <w:sz w:val="20"/>
          <w:szCs w:val="20"/>
        </w:rPr>
      </w:pPr>
      <w:r w:rsidRPr="00335934">
        <w:rPr>
          <w:rStyle w:val="Textoennegrita"/>
          <w:rFonts w:ascii="Verdana" w:hAnsi="Verdana" w:cs="Arial"/>
          <w:sz w:val="20"/>
          <w:szCs w:val="20"/>
        </w:rPr>
        <w:tab/>
        <w:t>Artículo 16</w:t>
      </w:r>
      <w:r w:rsidRPr="00335934">
        <w:rPr>
          <w:rFonts w:ascii="Verdana" w:eastAsia="Times New Roman" w:hAnsi="Verdana" w:cs="Arial"/>
          <w:sz w:val="20"/>
          <w:szCs w:val="20"/>
        </w:rPr>
        <w:t>. Los derechos por la prestación del servicio público de transporte urbano y suburbano en ruta fija se causarán y liquidarán los derechos conforme a la siguiente:</w:t>
      </w:r>
    </w:p>
    <w:p w14:paraId="6D12CBE4" w14:textId="77777777" w:rsidR="00902337" w:rsidRPr="00335934" w:rsidRDefault="00902337" w:rsidP="00335934">
      <w:pPr>
        <w:pStyle w:val="NormalWeb"/>
        <w:jc w:val="center"/>
        <w:rPr>
          <w:rFonts w:ascii="Verdana" w:hAnsi="Verdana"/>
          <w:b/>
          <w:bCs/>
          <w:sz w:val="20"/>
          <w:szCs w:val="20"/>
        </w:rPr>
      </w:pPr>
      <w:r w:rsidRPr="00335934">
        <w:rPr>
          <w:rFonts w:ascii="Verdana" w:hAnsi="Verdana"/>
          <w:b/>
          <w:bCs/>
          <w:sz w:val="20"/>
          <w:szCs w:val="20"/>
        </w:rPr>
        <w:t>TARIFA</w:t>
      </w:r>
    </w:p>
    <w:tbl>
      <w:tblPr>
        <w:tblW w:w="9630"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54"/>
        <w:gridCol w:w="1276"/>
      </w:tblGrid>
      <w:tr w:rsidR="00902337" w:rsidRPr="00335934" w14:paraId="6CCD16AF" w14:textId="77777777" w:rsidTr="006B6132">
        <w:trPr>
          <w:trHeight w:val="58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24DC79" w14:textId="77777777" w:rsidR="00902337" w:rsidRPr="00335934" w:rsidRDefault="00902337" w:rsidP="00335934">
            <w:pPr>
              <w:pStyle w:val="Prrafodelista"/>
              <w:numPr>
                <w:ilvl w:val="0"/>
                <w:numId w:val="25"/>
              </w:numPr>
              <w:rPr>
                <w:rFonts w:ascii="Verdana" w:hAnsi="Verdana" w:cs="Arial"/>
                <w:sz w:val="20"/>
                <w:szCs w:val="20"/>
              </w:rPr>
            </w:pPr>
            <w:r w:rsidRPr="00335934">
              <w:rPr>
                <w:rFonts w:ascii="Verdana" w:hAnsi="Verdana" w:cs="Arial"/>
                <w:sz w:val="20"/>
                <w:szCs w:val="20"/>
              </w:rPr>
              <w:t>Por otorgamiento de concesión para la explotación del servicio público de transporte en las vías de jurisdicción municipal, se pagarán por vehículo urbano y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ABE22"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$7,092.17</w:t>
            </w:r>
          </w:p>
        </w:tc>
      </w:tr>
      <w:tr w:rsidR="00902337" w:rsidRPr="00335934" w14:paraId="0F5A92BD" w14:textId="77777777" w:rsidTr="006B6132">
        <w:trPr>
          <w:trHeight w:val="61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EC2CFD" w14:textId="77777777" w:rsidR="00902337" w:rsidRPr="00335934" w:rsidRDefault="00902337" w:rsidP="00335934">
            <w:pPr>
              <w:pStyle w:val="Prrafodelista"/>
              <w:numPr>
                <w:ilvl w:val="0"/>
                <w:numId w:val="25"/>
              </w:numPr>
              <w:rPr>
                <w:rFonts w:ascii="Verdana" w:hAnsi="Verdana" w:cs="Arial"/>
                <w:sz w:val="20"/>
                <w:szCs w:val="20"/>
              </w:rPr>
            </w:pPr>
            <w:r w:rsidRPr="00335934">
              <w:rPr>
                <w:rFonts w:ascii="Verdana" w:hAnsi="Verdana" w:cs="Arial"/>
                <w:sz w:val="20"/>
                <w:szCs w:val="20"/>
              </w:rPr>
              <w:t>Por la transmisión de derechos de concesión sobre la explotación del servicio público de transporte se causará</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6B1AB"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$7,092.17</w:t>
            </w:r>
          </w:p>
        </w:tc>
      </w:tr>
      <w:tr w:rsidR="00902337" w:rsidRPr="00335934" w14:paraId="185EF114" w14:textId="77777777" w:rsidTr="006B6132">
        <w:trPr>
          <w:trHeight w:val="37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BC172E" w14:textId="77777777" w:rsidR="00902337" w:rsidRPr="00335934" w:rsidRDefault="00902337" w:rsidP="00335934">
            <w:pPr>
              <w:pStyle w:val="Prrafodelista"/>
              <w:numPr>
                <w:ilvl w:val="0"/>
                <w:numId w:val="25"/>
              </w:numPr>
              <w:rPr>
                <w:rFonts w:ascii="Verdana" w:hAnsi="Verdana" w:cs="Arial"/>
                <w:sz w:val="20"/>
                <w:szCs w:val="20"/>
              </w:rPr>
            </w:pPr>
            <w:r w:rsidRPr="00335934">
              <w:rPr>
                <w:rFonts w:ascii="Verdana" w:hAnsi="Verdana" w:cs="Arial"/>
                <w:sz w:val="20"/>
                <w:szCs w:val="20"/>
              </w:rPr>
              <w:t>Por refrendo anual de concesión para el servicio urbano y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2143A"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$737.04</w:t>
            </w:r>
          </w:p>
        </w:tc>
      </w:tr>
      <w:tr w:rsidR="00902337" w:rsidRPr="00335934" w14:paraId="25ED9481" w14:textId="77777777" w:rsidTr="006B6132">
        <w:trPr>
          <w:trHeight w:val="35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53576C" w14:textId="77777777" w:rsidR="00902337" w:rsidRPr="00335934" w:rsidRDefault="00902337" w:rsidP="00335934">
            <w:pPr>
              <w:pStyle w:val="Prrafodelista"/>
              <w:numPr>
                <w:ilvl w:val="0"/>
                <w:numId w:val="25"/>
              </w:numPr>
              <w:rPr>
                <w:rFonts w:ascii="Verdana" w:hAnsi="Verdana" w:cs="Arial"/>
                <w:sz w:val="20"/>
                <w:szCs w:val="20"/>
              </w:rPr>
            </w:pPr>
            <w:r w:rsidRPr="00335934">
              <w:rPr>
                <w:rFonts w:ascii="Verdana" w:hAnsi="Verdana" w:cs="Arial"/>
                <w:sz w:val="20"/>
                <w:szCs w:val="20"/>
              </w:rPr>
              <w:t>Por revista mecánica semestral obligatoria o a petición del propietario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D84D4"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$156.87</w:t>
            </w:r>
          </w:p>
        </w:tc>
      </w:tr>
      <w:tr w:rsidR="00902337" w:rsidRPr="00335934" w14:paraId="459C1657" w14:textId="77777777" w:rsidTr="006B6132">
        <w:trPr>
          <w:trHeight w:val="3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66EA63" w14:textId="77777777" w:rsidR="00902337" w:rsidRPr="00335934" w:rsidRDefault="00902337" w:rsidP="00335934">
            <w:pPr>
              <w:pStyle w:val="Prrafodelista"/>
              <w:numPr>
                <w:ilvl w:val="0"/>
                <w:numId w:val="25"/>
              </w:numPr>
              <w:rPr>
                <w:rFonts w:ascii="Verdana" w:hAnsi="Verdana" w:cs="Arial"/>
                <w:sz w:val="20"/>
                <w:szCs w:val="20"/>
              </w:rPr>
            </w:pPr>
            <w:r w:rsidRPr="00335934">
              <w:rPr>
                <w:rFonts w:ascii="Verdana" w:hAnsi="Verdana" w:cs="Arial"/>
                <w:sz w:val="20"/>
                <w:szCs w:val="20"/>
              </w:rPr>
              <w:t>Por permiso eventual de transporte público, por mes o 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AA36B"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$122.84</w:t>
            </w:r>
          </w:p>
        </w:tc>
      </w:tr>
      <w:tr w:rsidR="00902337" w:rsidRPr="00335934" w14:paraId="4AE7D308" w14:textId="77777777" w:rsidTr="006B6132">
        <w:trPr>
          <w:trHeight w:val="3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11D29D" w14:textId="77777777" w:rsidR="00902337" w:rsidRPr="00335934" w:rsidRDefault="00902337" w:rsidP="00335934">
            <w:pPr>
              <w:pStyle w:val="Prrafodelista"/>
              <w:numPr>
                <w:ilvl w:val="0"/>
                <w:numId w:val="25"/>
              </w:numPr>
              <w:rPr>
                <w:rFonts w:ascii="Verdana" w:hAnsi="Verdana" w:cs="Arial"/>
                <w:sz w:val="20"/>
                <w:szCs w:val="20"/>
              </w:rPr>
            </w:pPr>
            <w:r w:rsidRPr="00335934">
              <w:rPr>
                <w:rFonts w:ascii="Verdana" w:hAnsi="Verdana" w:cs="Arial"/>
                <w:sz w:val="20"/>
                <w:szCs w:val="20"/>
              </w:rPr>
              <w:t>Por permiso para servicio extraordinario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97DB2"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$248.65</w:t>
            </w:r>
          </w:p>
        </w:tc>
      </w:tr>
      <w:tr w:rsidR="00902337" w:rsidRPr="00335934" w14:paraId="0DDDA412" w14:textId="77777777" w:rsidTr="006B6132">
        <w:trPr>
          <w:trHeight w:val="29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97AAAE" w14:textId="77777777" w:rsidR="00902337" w:rsidRPr="00335934" w:rsidRDefault="00902337" w:rsidP="00335934">
            <w:pPr>
              <w:pStyle w:val="Prrafodelista"/>
              <w:numPr>
                <w:ilvl w:val="0"/>
                <w:numId w:val="25"/>
              </w:numPr>
              <w:rPr>
                <w:rFonts w:ascii="Verdana" w:hAnsi="Verdana" w:cs="Arial"/>
                <w:sz w:val="20"/>
                <w:szCs w:val="20"/>
              </w:rPr>
            </w:pPr>
            <w:r w:rsidRPr="00335934">
              <w:rPr>
                <w:rFonts w:ascii="Verdana" w:hAnsi="Verdana" w:cs="Arial"/>
                <w:sz w:val="20"/>
                <w:szCs w:val="20"/>
              </w:rPr>
              <w:t>Por constancia de despintado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BA7B4"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$53.27</w:t>
            </w:r>
          </w:p>
        </w:tc>
      </w:tr>
      <w:tr w:rsidR="00902337" w:rsidRPr="00335934" w14:paraId="764A0126" w14:textId="77777777" w:rsidTr="006B6132">
        <w:trPr>
          <w:trHeight w:val="36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EC0DCD" w14:textId="77777777" w:rsidR="00902337" w:rsidRPr="00335934" w:rsidRDefault="00902337" w:rsidP="00335934">
            <w:pPr>
              <w:pStyle w:val="Prrafodelista"/>
              <w:numPr>
                <w:ilvl w:val="0"/>
                <w:numId w:val="25"/>
              </w:numPr>
              <w:rPr>
                <w:rFonts w:ascii="Verdana" w:hAnsi="Verdana" w:cs="Arial"/>
                <w:sz w:val="20"/>
                <w:szCs w:val="20"/>
              </w:rPr>
            </w:pPr>
            <w:r w:rsidRPr="00335934">
              <w:rPr>
                <w:rFonts w:ascii="Verdana" w:hAnsi="Verdana" w:cs="Arial"/>
                <w:sz w:val="20"/>
                <w:szCs w:val="20"/>
              </w:rPr>
              <w:t>Por autorización por prórroga para uso de unidades en buen estado, por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A1AFC"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eastAsia="Times New Roman" w:hAnsi="Verdana" w:cs="Arial"/>
                <w:sz w:val="20"/>
                <w:szCs w:val="20"/>
              </w:rPr>
              <w:t>$884.75</w:t>
            </w:r>
          </w:p>
        </w:tc>
      </w:tr>
    </w:tbl>
    <w:p w14:paraId="74F12160" w14:textId="77777777" w:rsidR="00902337" w:rsidRPr="00335934" w:rsidRDefault="00902337" w:rsidP="00335934">
      <w:pPr>
        <w:spacing w:line="240" w:lineRule="auto"/>
        <w:jc w:val="center"/>
        <w:rPr>
          <w:rFonts w:ascii="Verdana" w:eastAsia="Times New Roman" w:hAnsi="Verdana" w:cs="Arial"/>
          <w:sz w:val="20"/>
          <w:szCs w:val="20"/>
        </w:rPr>
      </w:pPr>
      <w:r w:rsidRPr="00335934">
        <w:rPr>
          <w:rStyle w:val="Textoennegrita"/>
          <w:rFonts w:ascii="Verdana" w:hAnsi="Verdana" w:cs="Arial"/>
          <w:sz w:val="20"/>
          <w:szCs w:val="20"/>
        </w:rPr>
        <w:lastRenderedPageBreak/>
        <w:t>SECCIÓN SEXTA</w:t>
      </w:r>
      <w:r w:rsidRPr="00335934">
        <w:rPr>
          <w:rFonts w:ascii="Verdana" w:eastAsia="Times New Roman" w:hAnsi="Verdana" w:cs="Arial"/>
          <w:b/>
          <w:bCs/>
          <w:sz w:val="20"/>
          <w:szCs w:val="20"/>
        </w:rPr>
        <w:br/>
      </w:r>
      <w:r w:rsidRPr="00335934">
        <w:rPr>
          <w:rStyle w:val="Textoennegrita"/>
          <w:rFonts w:ascii="Verdana" w:hAnsi="Verdana" w:cs="Arial"/>
          <w:sz w:val="20"/>
          <w:szCs w:val="20"/>
        </w:rPr>
        <w:t>SERVICIOS DE TRÁNSITO Y VIALIDAD</w:t>
      </w:r>
    </w:p>
    <w:p w14:paraId="619A5A02" w14:textId="77777777" w:rsidR="00902337" w:rsidRPr="00335934" w:rsidRDefault="00902337" w:rsidP="00335934">
      <w:pPr>
        <w:pStyle w:val="NormalWeb"/>
        <w:jc w:val="both"/>
        <w:rPr>
          <w:rFonts w:ascii="Verdana" w:hAnsi="Verdana"/>
          <w:sz w:val="20"/>
          <w:szCs w:val="20"/>
        </w:rPr>
      </w:pPr>
      <w:r w:rsidRPr="00335934">
        <w:rPr>
          <w:rStyle w:val="Textoennegrita"/>
          <w:rFonts w:ascii="Verdana" w:hAnsi="Verdana"/>
          <w:sz w:val="20"/>
          <w:szCs w:val="20"/>
        </w:rPr>
        <w:tab/>
        <w:t>Artículo 17</w:t>
      </w:r>
      <w:r w:rsidRPr="00335934">
        <w:rPr>
          <w:rFonts w:ascii="Verdana" w:hAnsi="Verdana"/>
          <w:sz w:val="20"/>
          <w:szCs w:val="20"/>
        </w:rPr>
        <w:t xml:space="preserve">. Los derechos por la prestación de los servicios de tránsito y vialidad, cuando medie solicitud, se causarán y liquidarán por elemento la cuota de $417.55 por cada evento particular. </w:t>
      </w:r>
    </w:p>
    <w:p w14:paraId="797BDB8F"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hAnsi="Verdana" w:cs="Arial"/>
          <w:sz w:val="20"/>
          <w:szCs w:val="20"/>
        </w:rPr>
        <w:tab/>
      </w:r>
      <w:r w:rsidRPr="00335934">
        <w:rPr>
          <w:rStyle w:val="Textoennegrita"/>
          <w:rFonts w:ascii="Verdana" w:hAnsi="Verdana" w:cs="Arial"/>
          <w:sz w:val="20"/>
          <w:szCs w:val="20"/>
        </w:rPr>
        <w:t>Artículo 18</w:t>
      </w:r>
      <w:r w:rsidRPr="00335934">
        <w:rPr>
          <w:rFonts w:ascii="Verdana" w:eastAsia="Times New Roman" w:hAnsi="Verdana" w:cs="Arial"/>
          <w:sz w:val="20"/>
          <w:szCs w:val="20"/>
        </w:rPr>
        <w:t>. Los derechos por la expedición de constancias de no infracción se causarán y liquidarán, por constancia a una cuota de $71.61.</w:t>
      </w:r>
    </w:p>
    <w:p w14:paraId="1FA2FF2D" w14:textId="77777777" w:rsidR="00902337" w:rsidRPr="00335934" w:rsidRDefault="00902337" w:rsidP="00335934">
      <w:pPr>
        <w:pStyle w:val="NormalWeb"/>
        <w:jc w:val="center"/>
        <w:rPr>
          <w:rFonts w:ascii="Verdana" w:hAnsi="Verdana"/>
          <w:sz w:val="20"/>
          <w:szCs w:val="20"/>
        </w:rPr>
      </w:pPr>
      <w:r w:rsidRPr="00335934">
        <w:rPr>
          <w:rStyle w:val="Textoennegrita"/>
          <w:rFonts w:ascii="Verdana" w:hAnsi="Verdana"/>
          <w:sz w:val="20"/>
          <w:szCs w:val="20"/>
        </w:rPr>
        <w:t>SECCIÓN SEPTIMA</w:t>
      </w:r>
      <w:r w:rsidRPr="00335934">
        <w:rPr>
          <w:rFonts w:ascii="Verdana" w:hAnsi="Verdana"/>
          <w:b/>
          <w:bCs/>
          <w:sz w:val="20"/>
          <w:szCs w:val="20"/>
        </w:rPr>
        <w:br/>
      </w:r>
      <w:r w:rsidRPr="00335934">
        <w:rPr>
          <w:rStyle w:val="Textoennegrita"/>
          <w:rFonts w:ascii="Verdana" w:hAnsi="Verdana"/>
          <w:sz w:val="20"/>
          <w:szCs w:val="20"/>
        </w:rPr>
        <w:t>SERVICIOS DE BIBLIOTECAS PÚBLICAS, CASAS DE LA CULTURA Y CENTROS COMUNITARIOS DE APRENDIZAJE</w:t>
      </w:r>
    </w:p>
    <w:p w14:paraId="4B242F7F" w14:textId="77777777" w:rsidR="00902337" w:rsidRPr="00335934" w:rsidRDefault="00902337" w:rsidP="00335934">
      <w:pPr>
        <w:pStyle w:val="NormalWeb"/>
        <w:jc w:val="both"/>
        <w:rPr>
          <w:rFonts w:ascii="Verdana" w:hAnsi="Verdana"/>
          <w:sz w:val="20"/>
          <w:szCs w:val="20"/>
        </w:rPr>
      </w:pPr>
      <w:r w:rsidRPr="00335934">
        <w:rPr>
          <w:rStyle w:val="Textoennegrita"/>
          <w:rFonts w:ascii="Verdana" w:hAnsi="Verdana"/>
          <w:sz w:val="20"/>
          <w:szCs w:val="20"/>
        </w:rPr>
        <w:tab/>
        <w:t>Artículo 19</w:t>
      </w:r>
      <w:r w:rsidRPr="00335934">
        <w:rPr>
          <w:rFonts w:ascii="Verdana" w:hAnsi="Verdana"/>
          <w:sz w:val="20"/>
          <w:szCs w:val="20"/>
        </w:rPr>
        <w:t>. Los derechos por la prestación de los servicios de bibliotecas públicas, casas de la cultura y centros comunitarios de aprendizaje se causarán y liquidarán los derechos de conformidad a la siguiente:</w:t>
      </w:r>
    </w:p>
    <w:p w14:paraId="463F0649" w14:textId="77777777" w:rsidR="00902337" w:rsidRPr="00335934" w:rsidRDefault="00902337" w:rsidP="00335934">
      <w:pPr>
        <w:pStyle w:val="NormalWeb"/>
        <w:jc w:val="center"/>
        <w:rPr>
          <w:rFonts w:ascii="Verdana" w:hAnsi="Verdana"/>
          <w:sz w:val="20"/>
          <w:szCs w:val="20"/>
        </w:rPr>
      </w:pPr>
      <w:r w:rsidRPr="00335934">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60"/>
        <w:gridCol w:w="949"/>
      </w:tblGrid>
      <w:tr w:rsidR="00902337" w:rsidRPr="00335934" w14:paraId="00B5B354"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E0EE9D" w14:textId="77777777" w:rsidR="00902337" w:rsidRPr="00335934" w:rsidRDefault="00902337" w:rsidP="00335934">
            <w:pPr>
              <w:spacing w:line="240" w:lineRule="auto"/>
              <w:rPr>
                <w:rFonts w:ascii="Verdana" w:eastAsia="Times New Roman" w:hAnsi="Verdana" w:cs="Arial"/>
                <w:sz w:val="20"/>
                <w:szCs w:val="20"/>
              </w:rPr>
            </w:pPr>
            <w:r w:rsidRPr="00335934">
              <w:rPr>
                <w:rFonts w:ascii="Verdana" w:eastAsia="Times New Roman" w:hAnsi="Verdana" w:cs="Arial"/>
                <w:b/>
                <w:bCs/>
                <w:sz w:val="20"/>
                <w:szCs w:val="20"/>
              </w:rPr>
              <w:t>I.</w:t>
            </w:r>
            <w:r w:rsidRPr="00335934">
              <w:rPr>
                <w:rFonts w:ascii="Verdana" w:eastAsia="Times New Roman" w:hAnsi="Verdana" w:cs="Arial"/>
                <w:sz w:val="20"/>
                <w:szCs w:val="20"/>
              </w:rPr>
              <w:t xml:space="preserve"> Curso de capacitación artística</w:t>
            </w:r>
          </w:p>
        </w:tc>
        <w:tc>
          <w:tcPr>
            <w:tcW w:w="0" w:type="auto"/>
            <w:tcBorders>
              <w:top w:val="single" w:sz="6" w:space="0" w:color="000000"/>
              <w:left w:val="single" w:sz="6" w:space="0" w:color="000000"/>
              <w:bottom w:val="single" w:sz="6" w:space="0" w:color="000000"/>
              <w:right w:val="single" w:sz="6" w:space="0" w:color="000000"/>
            </w:tcBorders>
            <w:hideMark/>
          </w:tcPr>
          <w:p w14:paraId="222F03E9"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hAnsi="Verdana" w:cs="Arial"/>
                <w:sz w:val="20"/>
                <w:szCs w:val="20"/>
              </w:rPr>
              <w:t>$26.87</w:t>
            </w:r>
          </w:p>
        </w:tc>
      </w:tr>
      <w:tr w:rsidR="00902337" w:rsidRPr="00335934" w14:paraId="3C9F83CE"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AD3B09" w14:textId="77777777" w:rsidR="00902337" w:rsidRPr="00335934" w:rsidRDefault="00902337" w:rsidP="00335934">
            <w:pPr>
              <w:spacing w:line="240" w:lineRule="auto"/>
              <w:rPr>
                <w:rFonts w:ascii="Verdana" w:eastAsia="Times New Roman" w:hAnsi="Verdana" w:cs="Arial"/>
                <w:sz w:val="20"/>
                <w:szCs w:val="20"/>
              </w:rPr>
            </w:pPr>
            <w:r w:rsidRPr="00335934">
              <w:rPr>
                <w:rFonts w:ascii="Verdana" w:eastAsia="Times New Roman" w:hAnsi="Verdana" w:cs="Arial"/>
                <w:b/>
                <w:bCs/>
                <w:sz w:val="20"/>
                <w:szCs w:val="20"/>
              </w:rPr>
              <w:t>II.</w:t>
            </w:r>
            <w:r w:rsidRPr="00335934">
              <w:rPr>
                <w:rFonts w:ascii="Verdana" w:eastAsia="Times New Roman" w:hAnsi="Verdana" w:cs="Arial"/>
                <w:sz w:val="20"/>
                <w:szCs w:val="20"/>
              </w:rPr>
              <w:t xml:space="preserve"> Curso de computación</w:t>
            </w:r>
          </w:p>
        </w:tc>
        <w:tc>
          <w:tcPr>
            <w:tcW w:w="0" w:type="auto"/>
            <w:tcBorders>
              <w:top w:val="single" w:sz="6" w:space="0" w:color="000000"/>
              <w:left w:val="single" w:sz="6" w:space="0" w:color="000000"/>
              <w:bottom w:val="single" w:sz="6" w:space="0" w:color="000000"/>
              <w:right w:val="single" w:sz="6" w:space="0" w:color="000000"/>
            </w:tcBorders>
            <w:hideMark/>
          </w:tcPr>
          <w:p w14:paraId="71BEB7D6"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hAnsi="Verdana" w:cs="Arial"/>
                <w:sz w:val="20"/>
                <w:szCs w:val="20"/>
              </w:rPr>
              <w:t>$26.87</w:t>
            </w:r>
          </w:p>
        </w:tc>
      </w:tr>
    </w:tbl>
    <w:p w14:paraId="72316B73" w14:textId="77777777" w:rsidR="00902337" w:rsidRPr="00335934" w:rsidRDefault="00902337" w:rsidP="00335934">
      <w:pPr>
        <w:spacing w:line="240" w:lineRule="auto"/>
        <w:jc w:val="center"/>
        <w:rPr>
          <w:rStyle w:val="Textoennegrita"/>
          <w:rFonts w:ascii="Verdana" w:hAnsi="Verdana" w:cs="Arial"/>
          <w:sz w:val="20"/>
          <w:szCs w:val="20"/>
          <w:highlight w:val="yellow"/>
        </w:rPr>
      </w:pPr>
    </w:p>
    <w:p w14:paraId="6CF41DD3" w14:textId="77777777" w:rsidR="00902337" w:rsidRPr="00335934" w:rsidRDefault="00902337" w:rsidP="00335934">
      <w:pPr>
        <w:spacing w:line="240" w:lineRule="auto"/>
        <w:jc w:val="center"/>
        <w:rPr>
          <w:rFonts w:ascii="Verdana" w:eastAsia="Times New Roman" w:hAnsi="Verdana" w:cs="Arial"/>
          <w:sz w:val="20"/>
          <w:szCs w:val="20"/>
        </w:rPr>
      </w:pPr>
      <w:r w:rsidRPr="00335934">
        <w:rPr>
          <w:rStyle w:val="Textoennegrita"/>
          <w:rFonts w:ascii="Verdana" w:hAnsi="Verdana" w:cs="Arial"/>
          <w:sz w:val="20"/>
          <w:szCs w:val="20"/>
        </w:rPr>
        <w:t>SECCIÓN OCTAVA</w:t>
      </w:r>
      <w:r w:rsidRPr="00335934">
        <w:rPr>
          <w:rFonts w:ascii="Verdana" w:eastAsia="Times New Roman" w:hAnsi="Verdana" w:cs="Arial"/>
          <w:b/>
          <w:bCs/>
          <w:sz w:val="20"/>
          <w:szCs w:val="20"/>
        </w:rPr>
        <w:br/>
      </w:r>
      <w:r w:rsidRPr="00335934">
        <w:rPr>
          <w:rStyle w:val="Textoennegrita"/>
          <w:rFonts w:ascii="Verdana" w:hAnsi="Verdana" w:cs="Arial"/>
          <w:sz w:val="20"/>
          <w:szCs w:val="20"/>
        </w:rPr>
        <w:t>SERVICIOS DE OBRAS PÚBLICAS Y DESARROLLO URBANO</w:t>
      </w:r>
    </w:p>
    <w:p w14:paraId="6C291C03" w14:textId="77777777" w:rsidR="00902337" w:rsidRPr="00335934" w:rsidRDefault="00902337" w:rsidP="00335934">
      <w:pPr>
        <w:pStyle w:val="NormalWeb"/>
        <w:jc w:val="both"/>
        <w:rPr>
          <w:rFonts w:ascii="Verdana" w:hAnsi="Verdana"/>
          <w:sz w:val="20"/>
          <w:szCs w:val="20"/>
        </w:rPr>
      </w:pPr>
      <w:r w:rsidRPr="00335934">
        <w:rPr>
          <w:rStyle w:val="Textoennegrita"/>
          <w:rFonts w:ascii="Verdana" w:hAnsi="Verdana"/>
          <w:sz w:val="20"/>
          <w:szCs w:val="20"/>
        </w:rPr>
        <w:tab/>
        <w:t>Artículo 20</w:t>
      </w:r>
      <w:r w:rsidRPr="00335934">
        <w:rPr>
          <w:rFonts w:ascii="Verdana" w:hAnsi="Verdana"/>
          <w:sz w:val="20"/>
          <w:szCs w:val="20"/>
        </w:rPr>
        <w:t>. Los derechos por la prestación de los servicios de obras públicas y desarrollo urbano se causarán y liquidarán conforme a la siguiente:</w:t>
      </w:r>
    </w:p>
    <w:p w14:paraId="0024A2BE" w14:textId="77777777" w:rsidR="00902337" w:rsidRPr="00335934" w:rsidRDefault="00902337" w:rsidP="00335934">
      <w:pPr>
        <w:pStyle w:val="NormalWeb"/>
        <w:jc w:val="center"/>
        <w:rPr>
          <w:rFonts w:ascii="Verdana" w:hAnsi="Verdana"/>
          <w:sz w:val="20"/>
          <w:szCs w:val="20"/>
        </w:rPr>
      </w:pPr>
      <w:r w:rsidRPr="00335934">
        <w:rPr>
          <w:rFonts w:ascii="Verdana" w:hAnsi="Verdana"/>
          <w:b/>
          <w:bCs/>
          <w:sz w:val="20"/>
          <w:szCs w:val="20"/>
        </w:rPr>
        <w:t>TARIFA</w:t>
      </w:r>
    </w:p>
    <w:p w14:paraId="18840C0C" w14:textId="77777777" w:rsidR="00902337" w:rsidRPr="00335934" w:rsidRDefault="00902337" w:rsidP="00335934">
      <w:pPr>
        <w:pStyle w:val="Prrafodelista"/>
        <w:numPr>
          <w:ilvl w:val="0"/>
          <w:numId w:val="13"/>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Verdana" w:hAnsi="Verdana" w:cs="Arial"/>
          <w:sz w:val="20"/>
          <w:szCs w:val="20"/>
          <w:lang w:val="es-MX"/>
        </w:rPr>
      </w:pPr>
      <w:r w:rsidRPr="00335934">
        <w:rPr>
          <w:rFonts w:ascii="Verdana" w:hAnsi="Verdana" w:cs="Arial"/>
          <w:sz w:val="20"/>
          <w:szCs w:val="20"/>
          <w:lang w:val="es-MX"/>
        </w:rPr>
        <w:t>Por permiso de construcción.</w:t>
      </w:r>
      <w:r w:rsidRPr="00335934">
        <w:rPr>
          <w:rFonts w:ascii="Verdana" w:hAnsi="Verdana" w:cs="Arial"/>
          <w:sz w:val="20"/>
          <w:szCs w:val="20"/>
          <w:lang w:val="es-MX"/>
        </w:rPr>
        <w:tab/>
      </w:r>
      <w:r w:rsidRPr="00335934">
        <w:rPr>
          <w:rFonts w:ascii="Verdana" w:hAnsi="Verdana" w:cs="Arial"/>
          <w:sz w:val="20"/>
          <w:szCs w:val="20"/>
          <w:lang w:val="es-MX"/>
        </w:rPr>
        <w:tab/>
      </w:r>
      <w:r w:rsidRPr="00335934">
        <w:rPr>
          <w:rFonts w:ascii="Verdana" w:hAnsi="Verdana" w:cs="Arial"/>
          <w:sz w:val="20"/>
          <w:szCs w:val="20"/>
          <w:lang w:val="es-MX"/>
        </w:rPr>
        <w:tab/>
      </w:r>
      <w:r w:rsidRPr="00335934">
        <w:rPr>
          <w:rFonts w:ascii="Verdana" w:hAnsi="Verdana" w:cs="Arial"/>
          <w:sz w:val="20"/>
          <w:szCs w:val="20"/>
          <w:lang w:val="es-MX"/>
        </w:rPr>
        <w:tab/>
      </w:r>
      <w:r w:rsidRPr="00335934">
        <w:rPr>
          <w:rFonts w:ascii="Verdana" w:hAnsi="Verdana" w:cs="Arial"/>
          <w:sz w:val="20"/>
          <w:szCs w:val="20"/>
          <w:lang w:val="es-MX"/>
        </w:rPr>
        <w:tab/>
      </w:r>
      <w:r w:rsidRPr="00335934">
        <w:rPr>
          <w:rFonts w:ascii="Verdana" w:hAnsi="Verdana" w:cs="Arial"/>
          <w:sz w:val="20"/>
          <w:szCs w:val="20"/>
          <w:lang w:val="es-MX"/>
        </w:rPr>
        <w:tab/>
      </w:r>
      <w:r w:rsidRPr="00335934">
        <w:rPr>
          <w:rFonts w:ascii="Verdana" w:hAnsi="Verdana" w:cs="Arial"/>
          <w:color w:val="000000"/>
          <w:sz w:val="20"/>
          <w:szCs w:val="20"/>
          <w:lang w:val="es-MX" w:eastAsia="es-MX"/>
        </w:rPr>
        <w:t>$324.96</w:t>
      </w:r>
    </w:p>
    <w:p w14:paraId="1CCEE49B" w14:textId="77777777" w:rsidR="00902337" w:rsidRPr="00335934" w:rsidRDefault="00902337" w:rsidP="00335934">
      <w:pPr>
        <w:pStyle w:val="Prrafodelista"/>
        <w:numPr>
          <w:ilvl w:val="0"/>
          <w:numId w:val="13"/>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Verdana" w:hAnsi="Verdana" w:cs="Arial"/>
          <w:sz w:val="20"/>
          <w:szCs w:val="20"/>
          <w:lang w:val="es-MX"/>
        </w:rPr>
      </w:pPr>
      <w:r w:rsidRPr="00335934">
        <w:rPr>
          <w:rFonts w:ascii="Verdana" w:hAnsi="Verdana" w:cs="Arial"/>
          <w:sz w:val="20"/>
          <w:szCs w:val="20"/>
          <w:lang w:val="es-MX"/>
        </w:rPr>
        <w:t>Para la regularización de construcción se cobrará el 50% adicional a lo que se establece en la fracción I de este artículo.</w:t>
      </w:r>
    </w:p>
    <w:p w14:paraId="4824D1A6" w14:textId="77777777" w:rsidR="00902337" w:rsidRPr="00335934" w:rsidRDefault="00902337" w:rsidP="00335934">
      <w:pPr>
        <w:pStyle w:val="Prrafodelista"/>
        <w:numPr>
          <w:ilvl w:val="0"/>
          <w:numId w:val="13"/>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Verdana" w:hAnsi="Verdana" w:cs="Arial"/>
          <w:sz w:val="20"/>
          <w:szCs w:val="20"/>
          <w:lang w:val="es-MX"/>
        </w:rPr>
      </w:pPr>
      <w:r w:rsidRPr="00335934">
        <w:rPr>
          <w:rFonts w:ascii="Verdana" w:hAnsi="Verdana" w:cs="Arial"/>
          <w:sz w:val="20"/>
          <w:szCs w:val="20"/>
          <w:lang w:val="es-MX"/>
        </w:rPr>
        <w:t>Por prórroga de permiso de construcción, se cobrará el 50% de los derechos que establece la fracción I de este artículo.</w:t>
      </w:r>
    </w:p>
    <w:p w14:paraId="478BBA53" w14:textId="77777777" w:rsidR="00902337" w:rsidRPr="00335934" w:rsidRDefault="00902337" w:rsidP="00335934">
      <w:pPr>
        <w:pStyle w:val="Prrafodelista"/>
        <w:numPr>
          <w:ilvl w:val="0"/>
          <w:numId w:val="13"/>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Verdana" w:hAnsi="Verdana" w:cs="Arial"/>
          <w:color w:val="000000"/>
          <w:sz w:val="20"/>
          <w:szCs w:val="20"/>
          <w:lang w:val="es-MX" w:eastAsia="es-MX"/>
        </w:rPr>
      </w:pPr>
      <w:r w:rsidRPr="00335934">
        <w:rPr>
          <w:rFonts w:ascii="Verdana" w:hAnsi="Verdana" w:cs="Arial"/>
          <w:sz w:val="20"/>
          <w:szCs w:val="20"/>
          <w:lang w:val="es-MX"/>
        </w:rPr>
        <w:t>Por permiso de uso de suelo por metro cuadrado.</w:t>
      </w:r>
      <w:r w:rsidRPr="00335934">
        <w:rPr>
          <w:rFonts w:ascii="Verdana" w:hAnsi="Verdana" w:cs="Arial"/>
          <w:sz w:val="20"/>
          <w:szCs w:val="20"/>
          <w:lang w:val="es-MX"/>
        </w:rPr>
        <w:tab/>
      </w:r>
      <w:r w:rsidRPr="00335934">
        <w:rPr>
          <w:rFonts w:ascii="Verdana" w:hAnsi="Verdana" w:cs="Arial"/>
          <w:sz w:val="20"/>
          <w:szCs w:val="20"/>
          <w:lang w:val="es-MX"/>
        </w:rPr>
        <w:tab/>
      </w:r>
      <w:r w:rsidRPr="00335934">
        <w:rPr>
          <w:rFonts w:ascii="Verdana" w:hAnsi="Verdana" w:cs="Arial"/>
          <w:sz w:val="20"/>
          <w:szCs w:val="20"/>
          <w:lang w:val="es-MX"/>
        </w:rPr>
        <w:tab/>
        <w:t xml:space="preserve"> </w:t>
      </w:r>
      <w:r w:rsidRPr="00335934">
        <w:rPr>
          <w:rFonts w:ascii="Verdana" w:hAnsi="Verdana" w:cs="Arial"/>
          <w:color w:val="000000"/>
          <w:sz w:val="20"/>
          <w:szCs w:val="20"/>
        </w:rPr>
        <w:t xml:space="preserve">  </w:t>
      </w:r>
      <w:r w:rsidRPr="00335934">
        <w:rPr>
          <w:rFonts w:ascii="Verdana" w:hAnsi="Verdana" w:cs="Arial"/>
          <w:color w:val="000000"/>
          <w:sz w:val="20"/>
          <w:szCs w:val="20"/>
          <w:lang w:val="es-MX" w:eastAsia="es-MX"/>
        </w:rPr>
        <w:t>$3.47</w:t>
      </w:r>
    </w:p>
    <w:p w14:paraId="5677E701" w14:textId="77777777" w:rsidR="00902337" w:rsidRPr="00335934" w:rsidRDefault="00902337" w:rsidP="00335934">
      <w:pPr>
        <w:pStyle w:val="Prrafodelista"/>
        <w:numPr>
          <w:ilvl w:val="0"/>
          <w:numId w:val="13"/>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Verdana" w:hAnsi="Verdana" w:cs="Arial"/>
          <w:color w:val="000000"/>
          <w:sz w:val="20"/>
          <w:szCs w:val="20"/>
          <w:lang w:val="es-MX" w:eastAsia="es-MX"/>
        </w:rPr>
      </w:pPr>
      <w:r w:rsidRPr="00335934">
        <w:rPr>
          <w:rFonts w:ascii="Verdana" w:hAnsi="Verdana" w:cs="Arial"/>
          <w:sz w:val="20"/>
          <w:szCs w:val="20"/>
          <w:lang w:val="es-MX"/>
        </w:rPr>
        <w:t>Tratándose de zona rural los derechos contemplados en las fracciones anteriores estarán exentos.</w:t>
      </w:r>
    </w:p>
    <w:p w14:paraId="50E5FDEF" w14:textId="77777777" w:rsidR="00902337" w:rsidRPr="00335934" w:rsidRDefault="00902337" w:rsidP="00335934">
      <w:pPr>
        <w:pStyle w:val="Prrafodelista"/>
        <w:numPr>
          <w:ilvl w:val="0"/>
          <w:numId w:val="13"/>
        </w:numPr>
        <w:pBdr>
          <w:top w:val="single" w:sz="4" w:space="1" w:color="auto"/>
          <w:left w:val="single" w:sz="4" w:space="4" w:color="auto"/>
          <w:bottom w:val="single" w:sz="4" w:space="1" w:color="auto"/>
          <w:right w:val="single" w:sz="4" w:space="0" w:color="auto"/>
          <w:between w:val="single" w:sz="4" w:space="1" w:color="auto"/>
          <w:bar w:val="single" w:sz="4" w:color="auto"/>
        </w:pBdr>
        <w:jc w:val="both"/>
        <w:rPr>
          <w:rFonts w:ascii="Verdana" w:hAnsi="Verdana" w:cs="Arial"/>
          <w:color w:val="000000"/>
          <w:sz w:val="20"/>
          <w:szCs w:val="20"/>
          <w:lang w:val="es-MX" w:eastAsia="es-MX"/>
        </w:rPr>
      </w:pPr>
      <w:r w:rsidRPr="00335934">
        <w:rPr>
          <w:rFonts w:ascii="Verdana" w:hAnsi="Verdana" w:cs="Arial"/>
          <w:sz w:val="20"/>
          <w:szCs w:val="20"/>
          <w:lang w:val="es-MX"/>
        </w:rPr>
        <w:t>Por certificación de terminación de obra.</w:t>
      </w:r>
      <w:r w:rsidRPr="00335934">
        <w:rPr>
          <w:rFonts w:ascii="Verdana" w:hAnsi="Verdana" w:cs="Arial"/>
          <w:sz w:val="20"/>
          <w:szCs w:val="20"/>
          <w:lang w:val="es-MX"/>
        </w:rPr>
        <w:tab/>
      </w:r>
      <w:r w:rsidRPr="00335934">
        <w:rPr>
          <w:rFonts w:ascii="Verdana" w:hAnsi="Verdana" w:cs="Arial"/>
          <w:sz w:val="20"/>
          <w:szCs w:val="20"/>
          <w:lang w:val="es-MX"/>
        </w:rPr>
        <w:tab/>
        <w:t xml:space="preserve">              </w:t>
      </w:r>
      <w:r w:rsidRPr="00335934">
        <w:rPr>
          <w:rFonts w:ascii="Verdana" w:hAnsi="Verdana" w:cs="Arial"/>
          <w:sz w:val="20"/>
          <w:szCs w:val="20"/>
          <w:lang w:val="es-MX"/>
        </w:rPr>
        <w:tab/>
      </w:r>
      <w:r w:rsidRPr="00335934">
        <w:rPr>
          <w:rFonts w:ascii="Verdana" w:hAnsi="Verdana" w:cs="Arial"/>
          <w:sz w:val="20"/>
          <w:szCs w:val="20"/>
          <w:lang w:val="es-MX"/>
        </w:rPr>
        <w:tab/>
        <w:t xml:space="preserve">   </w:t>
      </w:r>
      <w:r w:rsidRPr="00335934">
        <w:rPr>
          <w:rFonts w:ascii="Verdana" w:hAnsi="Verdana" w:cs="Arial"/>
          <w:color w:val="000000"/>
          <w:sz w:val="20"/>
          <w:szCs w:val="20"/>
          <w:lang w:val="es-MX" w:eastAsia="es-MX"/>
        </w:rPr>
        <w:t>$108.28</w:t>
      </w:r>
    </w:p>
    <w:p w14:paraId="224B9B3C" w14:textId="77777777" w:rsidR="00902337" w:rsidRPr="00335934" w:rsidRDefault="00902337" w:rsidP="00335934">
      <w:pPr>
        <w:spacing w:after="240" w:line="240" w:lineRule="auto"/>
        <w:jc w:val="both"/>
        <w:rPr>
          <w:rFonts w:ascii="Verdana" w:eastAsia="Times New Roman" w:hAnsi="Verdana" w:cs="Arial"/>
          <w:sz w:val="20"/>
          <w:szCs w:val="20"/>
        </w:rPr>
      </w:pPr>
    </w:p>
    <w:p w14:paraId="498F055E" w14:textId="77777777" w:rsidR="00902337" w:rsidRPr="00335934" w:rsidRDefault="00902337" w:rsidP="00335934">
      <w:pPr>
        <w:spacing w:line="240" w:lineRule="auto"/>
        <w:jc w:val="center"/>
        <w:rPr>
          <w:rFonts w:ascii="Verdana" w:eastAsia="Times New Roman" w:hAnsi="Verdana" w:cs="Arial"/>
          <w:sz w:val="20"/>
          <w:szCs w:val="20"/>
        </w:rPr>
      </w:pPr>
      <w:r w:rsidRPr="00335934">
        <w:rPr>
          <w:rStyle w:val="Textoennegrita"/>
          <w:rFonts w:ascii="Verdana" w:hAnsi="Verdana" w:cs="Arial"/>
          <w:sz w:val="20"/>
          <w:szCs w:val="20"/>
        </w:rPr>
        <w:lastRenderedPageBreak/>
        <w:t>SECCIÓN NOVENA</w:t>
      </w:r>
      <w:r w:rsidRPr="00335934">
        <w:rPr>
          <w:rFonts w:ascii="Verdana" w:eastAsia="Times New Roman" w:hAnsi="Verdana" w:cs="Arial"/>
          <w:b/>
          <w:bCs/>
          <w:sz w:val="20"/>
          <w:szCs w:val="20"/>
        </w:rPr>
        <w:br/>
      </w:r>
      <w:r w:rsidRPr="00335934">
        <w:rPr>
          <w:rStyle w:val="Textoennegrita"/>
          <w:rFonts w:ascii="Verdana" w:hAnsi="Verdana" w:cs="Arial"/>
          <w:sz w:val="20"/>
          <w:szCs w:val="20"/>
        </w:rPr>
        <w:t>SERVICIOS CATASTRALES, PRÁCTICA Y AUTORIZACIÓN DE AVALÚOS</w:t>
      </w:r>
    </w:p>
    <w:p w14:paraId="0ECDC650" w14:textId="77777777" w:rsidR="00902337" w:rsidRPr="00335934" w:rsidRDefault="00902337" w:rsidP="00335934">
      <w:pPr>
        <w:pStyle w:val="NormalWeb"/>
        <w:jc w:val="both"/>
        <w:rPr>
          <w:rFonts w:ascii="Verdana" w:hAnsi="Verdana"/>
          <w:sz w:val="20"/>
          <w:szCs w:val="20"/>
        </w:rPr>
      </w:pPr>
      <w:r w:rsidRPr="00335934">
        <w:rPr>
          <w:rStyle w:val="Textoennegrita"/>
          <w:rFonts w:ascii="Verdana" w:hAnsi="Verdana"/>
          <w:sz w:val="20"/>
          <w:szCs w:val="20"/>
        </w:rPr>
        <w:tab/>
        <w:t>Artículo 21</w:t>
      </w:r>
      <w:r w:rsidRPr="00335934">
        <w:rPr>
          <w:rFonts w:ascii="Verdana" w:hAnsi="Verdana"/>
          <w:sz w:val="20"/>
          <w:szCs w:val="20"/>
        </w:rPr>
        <w:t>. </w:t>
      </w:r>
      <w:r w:rsidRPr="00335934">
        <w:rPr>
          <w:rFonts w:ascii="Verdana" w:hAnsi="Verdana"/>
          <w:b/>
          <w:bCs/>
          <w:sz w:val="20"/>
          <w:szCs w:val="20"/>
        </w:rPr>
        <w:t> </w:t>
      </w:r>
      <w:r w:rsidRPr="00335934">
        <w:rPr>
          <w:rFonts w:ascii="Verdana" w:hAnsi="Verdana"/>
          <w:sz w:val="20"/>
          <w:szCs w:val="20"/>
        </w:rPr>
        <w:t>Los derechos por servicios catastrales, práctica y autorización de avalúos se causarán y liquidarán conforme a la siguiente:</w:t>
      </w:r>
    </w:p>
    <w:p w14:paraId="073D9267" w14:textId="77777777" w:rsidR="00902337" w:rsidRPr="00335934" w:rsidRDefault="00902337" w:rsidP="00335934">
      <w:pPr>
        <w:pStyle w:val="NormalWeb"/>
        <w:jc w:val="center"/>
        <w:rPr>
          <w:rFonts w:ascii="Verdana" w:hAnsi="Verdana"/>
          <w:b/>
          <w:bCs/>
          <w:sz w:val="20"/>
          <w:szCs w:val="20"/>
        </w:rPr>
      </w:pPr>
      <w:r w:rsidRPr="00335934">
        <w:rPr>
          <w:rFonts w:ascii="Verdana" w:hAnsi="Verdana"/>
          <w:b/>
          <w:bCs/>
          <w:sz w:val="20"/>
          <w:szCs w:val="20"/>
        </w:rPr>
        <w:t>TARIFA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60"/>
        <w:gridCol w:w="1920"/>
      </w:tblGrid>
      <w:tr w:rsidR="00902337" w:rsidRPr="00335934" w14:paraId="4CEABBEB" w14:textId="77777777" w:rsidTr="006B6132">
        <w:tc>
          <w:tcPr>
            <w:tcW w:w="7060" w:type="dxa"/>
          </w:tcPr>
          <w:p w14:paraId="60263AC1" w14:textId="77777777" w:rsidR="00902337" w:rsidRPr="00335934" w:rsidRDefault="00902337" w:rsidP="00335934">
            <w:pPr>
              <w:pStyle w:val="Prrafodelista"/>
              <w:numPr>
                <w:ilvl w:val="0"/>
                <w:numId w:val="14"/>
              </w:numPr>
              <w:ind w:left="426"/>
              <w:jc w:val="both"/>
              <w:rPr>
                <w:rFonts w:ascii="Verdana" w:hAnsi="Verdana" w:cs="Arial"/>
                <w:sz w:val="20"/>
                <w:szCs w:val="20"/>
                <w:lang w:val="es-MX"/>
              </w:rPr>
            </w:pPr>
            <w:r w:rsidRPr="00335934">
              <w:rPr>
                <w:rFonts w:ascii="Verdana" w:hAnsi="Verdana" w:cs="Arial"/>
                <w:snapToGrid w:val="0"/>
                <w:color w:val="000000"/>
                <w:sz w:val="20"/>
                <w:szCs w:val="20"/>
                <w:lang w:val="es-MX"/>
              </w:rPr>
              <w:t>Por avalúos de inmuebles urbanos y suburbanos, se cobrará una cuota fija de $66.03</w:t>
            </w:r>
            <w:r w:rsidRPr="00335934">
              <w:rPr>
                <w:rFonts w:ascii="Verdana" w:hAnsi="Verdana" w:cs="Arial"/>
                <w:color w:val="000000"/>
                <w:sz w:val="20"/>
                <w:szCs w:val="20"/>
              </w:rPr>
              <w:t xml:space="preserve"> </w:t>
            </w:r>
            <w:r w:rsidRPr="00335934">
              <w:rPr>
                <w:rFonts w:ascii="Verdana" w:hAnsi="Verdana" w:cs="Arial"/>
                <w:snapToGrid w:val="0"/>
                <w:color w:val="000000"/>
                <w:sz w:val="20"/>
                <w:szCs w:val="20"/>
                <w:lang w:val="es-MX"/>
              </w:rPr>
              <w:t>más 0.6 al millar sobre el valor que arroje el peritaje.</w:t>
            </w:r>
          </w:p>
          <w:p w14:paraId="35A8E6F0" w14:textId="77777777" w:rsidR="00902337" w:rsidRPr="00335934" w:rsidRDefault="00902337" w:rsidP="00335934">
            <w:pPr>
              <w:pStyle w:val="Prrafodelista"/>
              <w:ind w:left="426"/>
              <w:jc w:val="both"/>
              <w:rPr>
                <w:rFonts w:ascii="Verdana" w:hAnsi="Verdana" w:cs="Arial"/>
                <w:sz w:val="20"/>
                <w:szCs w:val="20"/>
                <w:lang w:val="es-MX"/>
              </w:rPr>
            </w:pPr>
          </w:p>
        </w:tc>
        <w:tc>
          <w:tcPr>
            <w:tcW w:w="1920" w:type="dxa"/>
          </w:tcPr>
          <w:p w14:paraId="2BB06373" w14:textId="77777777" w:rsidR="00902337" w:rsidRPr="00335934" w:rsidRDefault="00902337" w:rsidP="00335934">
            <w:pPr>
              <w:spacing w:line="240" w:lineRule="auto"/>
              <w:jc w:val="both"/>
              <w:rPr>
                <w:rFonts w:ascii="Verdana" w:hAnsi="Verdana" w:cs="Arial"/>
                <w:b/>
                <w:color w:val="000000"/>
                <w:sz w:val="20"/>
                <w:szCs w:val="20"/>
              </w:rPr>
            </w:pPr>
          </w:p>
          <w:p w14:paraId="28E3F996" w14:textId="77777777" w:rsidR="00902337" w:rsidRPr="00335934" w:rsidRDefault="00902337" w:rsidP="00335934">
            <w:pPr>
              <w:spacing w:line="240" w:lineRule="auto"/>
              <w:jc w:val="right"/>
              <w:rPr>
                <w:rFonts w:ascii="Verdana" w:hAnsi="Verdana" w:cs="Arial"/>
                <w:bCs/>
                <w:color w:val="000000"/>
                <w:sz w:val="20"/>
                <w:szCs w:val="20"/>
              </w:rPr>
            </w:pPr>
          </w:p>
        </w:tc>
      </w:tr>
      <w:tr w:rsidR="00902337" w:rsidRPr="00335934" w14:paraId="45004BEC" w14:textId="77777777" w:rsidTr="006B6132">
        <w:tc>
          <w:tcPr>
            <w:tcW w:w="7060" w:type="dxa"/>
          </w:tcPr>
          <w:p w14:paraId="64380AB3" w14:textId="77777777" w:rsidR="00902337" w:rsidRPr="00335934" w:rsidRDefault="00902337" w:rsidP="00335934">
            <w:pPr>
              <w:pStyle w:val="Prrafodelista"/>
              <w:numPr>
                <w:ilvl w:val="0"/>
                <w:numId w:val="14"/>
              </w:numPr>
              <w:ind w:left="426"/>
              <w:jc w:val="both"/>
              <w:rPr>
                <w:rFonts w:ascii="Verdana" w:hAnsi="Verdana" w:cs="Arial"/>
                <w:b/>
                <w:snapToGrid w:val="0"/>
                <w:color w:val="000000"/>
                <w:sz w:val="20"/>
                <w:szCs w:val="20"/>
                <w:lang w:val="es-MX"/>
              </w:rPr>
            </w:pPr>
            <w:r w:rsidRPr="00335934">
              <w:rPr>
                <w:rFonts w:ascii="Verdana" w:hAnsi="Verdana" w:cs="Arial"/>
                <w:snapToGrid w:val="0"/>
                <w:color w:val="000000"/>
                <w:sz w:val="20"/>
                <w:szCs w:val="20"/>
                <w:lang w:val="es-MX"/>
              </w:rPr>
              <w:t>Por el avalúo de inmuebles rústicos que no requieran levantamiento topográfico del terreno:</w:t>
            </w:r>
            <w:r w:rsidRPr="00335934">
              <w:rPr>
                <w:rFonts w:ascii="Verdana" w:hAnsi="Verdana" w:cs="Arial"/>
                <w:b/>
                <w:snapToGrid w:val="0"/>
                <w:color w:val="000000"/>
                <w:sz w:val="20"/>
                <w:szCs w:val="20"/>
                <w:lang w:val="es-MX"/>
              </w:rPr>
              <w:t xml:space="preserve"> </w:t>
            </w:r>
          </w:p>
          <w:p w14:paraId="54FF572F" w14:textId="77777777" w:rsidR="00902337" w:rsidRPr="00335934" w:rsidRDefault="00902337" w:rsidP="00335934">
            <w:pPr>
              <w:spacing w:line="240" w:lineRule="auto"/>
              <w:jc w:val="both"/>
              <w:rPr>
                <w:rFonts w:ascii="Verdana" w:hAnsi="Verdana" w:cs="Arial"/>
                <w:b/>
                <w:snapToGrid w:val="0"/>
                <w:color w:val="000000"/>
                <w:sz w:val="20"/>
                <w:szCs w:val="20"/>
              </w:rPr>
            </w:pPr>
          </w:p>
          <w:p w14:paraId="62C07DF7" w14:textId="77777777" w:rsidR="00902337" w:rsidRPr="00335934" w:rsidRDefault="00902337" w:rsidP="00335934">
            <w:pPr>
              <w:pStyle w:val="Prrafodelista"/>
              <w:numPr>
                <w:ilvl w:val="0"/>
                <w:numId w:val="15"/>
              </w:numPr>
              <w:jc w:val="both"/>
              <w:rPr>
                <w:rFonts w:ascii="Verdana" w:hAnsi="Verdana" w:cs="Arial"/>
                <w:snapToGrid w:val="0"/>
                <w:color w:val="000000"/>
                <w:sz w:val="20"/>
                <w:szCs w:val="20"/>
                <w:lang w:val="es-MX"/>
              </w:rPr>
            </w:pPr>
            <w:r w:rsidRPr="00335934">
              <w:rPr>
                <w:rFonts w:ascii="Verdana" w:hAnsi="Verdana" w:cs="Arial"/>
                <w:snapToGrid w:val="0"/>
                <w:color w:val="000000"/>
                <w:sz w:val="20"/>
                <w:szCs w:val="20"/>
                <w:lang w:val="es-MX"/>
              </w:rPr>
              <w:t>Hasta una hectárea; y</w:t>
            </w:r>
            <w:r w:rsidRPr="00335934">
              <w:rPr>
                <w:rFonts w:ascii="Verdana" w:hAnsi="Verdana" w:cs="Arial"/>
                <w:snapToGrid w:val="0"/>
                <w:color w:val="000000"/>
                <w:sz w:val="20"/>
                <w:szCs w:val="20"/>
                <w:lang w:val="es-MX"/>
              </w:rPr>
              <w:tab/>
            </w:r>
          </w:p>
          <w:p w14:paraId="0DAD490C" w14:textId="77777777" w:rsidR="00902337" w:rsidRPr="00335934" w:rsidRDefault="00902337" w:rsidP="00335934">
            <w:pPr>
              <w:spacing w:line="240" w:lineRule="auto"/>
              <w:jc w:val="both"/>
              <w:rPr>
                <w:rFonts w:ascii="Verdana" w:hAnsi="Verdana" w:cs="Arial"/>
                <w:b/>
                <w:snapToGrid w:val="0"/>
                <w:color w:val="000000"/>
                <w:sz w:val="20"/>
                <w:szCs w:val="20"/>
              </w:rPr>
            </w:pPr>
          </w:p>
          <w:p w14:paraId="4BD7FC71" w14:textId="77777777" w:rsidR="00902337" w:rsidRPr="00335934" w:rsidRDefault="00902337" w:rsidP="00335934">
            <w:pPr>
              <w:pStyle w:val="Prrafodelista"/>
              <w:numPr>
                <w:ilvl w:val="0"/>
                <w:numId w:val="15"/>
              </w:numPr>
              <w:jc w:val="both"/>
              <w:rPr>
                <w:rFonts w:ascii="Verdana" w:hAnsi="Verdana" w:cs="Arial"/>
                <w:snapToGrid w:val="0"/>
                <w:color w:val="000000"/>
                <w:sz w:val="20"/>
                <w:szCs w:val="20"/>
                <w:lang w:val="es-MX"/>
              </w:rPr>
            </w:pPr>
            <w:r w:rsidRPr="00335934">
              <w:rPr>
                <w:rFonts w:ascii="Verdana" w:hAnsi="Verdana" w:cs="Arial"/>
                <w:snapToGrid w:val="0"/>
                <w:color w:val="000000"/>
                <w:sz w:val="20"/>
                <w:szCs w:val="20"/>
                <w:lang w:val="es-MX"/>
              </w:rPr>
              <w:t>Por cada una de las hectáreas excedentes.</w:t>
            </w:r>
          </w:p>
          <w:p w14:paraId="37FC65E6" w14:textId="77777777" w:rsidR="00902337" w:rsidRPr="00335934" w:rsidRDefault="00902337" w:rsidP="00335934">
            <w:pPr>
              <w:spacing w:line="240" w:lineRule="auto"/>
              <w:jc w:val="both"/>
              <w:rPr>
                <w:rFonts w:ascii="Verdana" w:hAnsi="Verdana" w:cs="Arial"/>
                <w:snapToGrid w:val="0"/>
                <w:color w:val="000000"/>
                <w:sz w:val="20"/>
                <w:szCs w:val="20"/>
              </w:rPr>
            </w:pPr>
          </w:p>
          <w:p w14:paraId="68DE0324" w14:textId="77777777" w:rsidR="00902337" w:rsidRPr="00335934" w:rsidRDefault="00902337" w:rsidP="00335934">
            <w:pPr>
              <w:spacing w:line="240" w:lineRule="auto"/>
              <w:jc w:val="both"/>
              <w:rPr>
                <w:rFonts w:ascii="Verdana" w:hAnsi="Verdana" w:cs="Arial"/>
                <w:snapToGrid w:val="0"/>
                <w:color w:val="000000"/>
                <w:sz w:val="20"/>
                <w:szCs w:val="20"/>
              </w:rPr>
            </w:pPr>
            <w:r w:rsidRPr="00335934">
              <w:rPr>
                <w:rFonts w:ascii="Verdana" w:hAnsi="Verdana" w:cs="Arial"/>
                <w:snapToGrid w:val="0"/>
                <w:color w:val="000000"/>
                <w:sz w:val="20"/>
                <w:szCs w:val="20"/>
              </w:rPr>
              <w:t>Cuando un predio rústico contenga construcciones, además de la cuota anterior se aplicará lo que dispone la fracción I de este artículo sobre el valor de la construcción sin la cuota fija.</w:t>
            </w:r>
          </w:p>
          <w:p w14:paraId="282B6D12" w14:textId="77777777" w:rsidR="00902337" w:rsidRPr="00335934" w:rsidRDefault="00902337" w:rsidP="00335934">
            <w:pPr>
              <w:spacing w:line="240" w:lineRule="auto"/>
              <w:jc w:val="both"/>
              <w:rPr>
                <w:rFonts w:ascii="Verdana" w:hAnsi="Verdana" w:cs="Arial"/>
                <w:sz w:val="20"/>
                <w:szCs w:val="20"/>
              </w:rPr>
            </w:pPr>
          </w:p>
        </w:tc>
        <w:tc>
          <w:tcPr>
            <w:tcW w:w="1920" w:type="dxa"/>
          </w:tcPr>
          <w:p w14:paraId="25042215" w14:textId="77777777" w:rsidR="00902337" w:rsidRPr="00335934" w:rsidRDefault="00902337" w:rsidP="00335934">
            <w:pPr>
              <w:spacing w:line="240" w:lineRule="auto"/>
              <w:rPr>
                <w:rFonts w:ascii="Verdana" w:hAnsi="Verdana"/>
                <w:sz w:val="20"/>
                <w:szCs w:val="20"/>
              </w:rPr>
            </w:pPr>
          </w:p>
          <w:p w14:paraId="2A9C519A" w14:textId="77777777" w:rsidR="00902337" w:rsidRPr="00335934" w:rsidRDefault="00902337" w:rsidP="00335934">
            <w:pPr>
              <w:spacing w:line="240" w:lineRule="auto"/>
              <w:rPr>
                <w:rFonts w:ascii="Verdana" w:hAnsi="Verdana"/>
                <w:sz w:val="20"/>
                <w:szCs w:val="20"/>
              </w:rPr>
            </w:pPr>
          </w:p>
          <w:p w14:paraId="49F34FD8" w14:textId="77777777" w:rsidR="00902337" w:rsidRPr="00335934" w:rsidRDefault="00902337" w:rsidP="00335934">
            <w:pPr>
              <w:spacing w:line="240" w:lineRule="auto"/>
              <w:jc w:val="right"/>
              <w:rPr>
                <w:rFonts w:ascii="Verdana" w:hAnsi="Verdana" w:cs="Arial"/>
                <w:bCs/>
                <w:color w:val="000000"/>
                <w:sz w:val="20"/>
                <w:szCs w:val="20"/>
              </w:rPr>
            </w:pPr>
            <w:r w:rsidRPr="00335934">
              <w:rPr>
                <w:rFonts w:ascii="Verdana" w:hAnsi="Verdana" w:cs="Arial"/>
                <w:bCs/>
                <w:color w:val="000000"/>
                <w:sz w:val="20"/>
                <w:szCs w:val="20"/>
              </w:rPr>
              <w:t>$186.91</w:t>
            </w:r>
          </w:p>
          <w:p w14:paraId="164AF593" w14:textId="77777777" w:rsidR="00902337" w:rsidRPr="00335934" w:rsidRDefault="00902337" w:rsidP="00335934">
            <w:pPr>
              <w:spacing w:line="240" w:lineRule="auto"/>
              <w:jc w:val="right"/>
              <w:rPr>
                <w:rFonts w:ascii="Verdana" w:hAnsi="Verdana" w:cs="Arial"/>
                <w:bCs/>
                <w:color w:val="000000"/>
                <w:sz w:val="20"/>
                <w:szCs w:val="20"/>
              </w:rPr>
            </w:pPr>
          </w:p>
          <w:p w14:paraId="54BBD5A7" w14:textId="77777777" w:rsidR="00902337" w:rsidRPr="00335934" w:rsidRDefault="00902337" w:rsidP="00335934">
            <w:pPr>
              <w:spacing w:line="240" w:lineRule="auto"/>
              <w:jc w:val="right"/>
              <w:rPr>
                <w:rFonts w:ascii="Verdana" w:hAnsi="Verdana" w:cs="Arial"/>
                <w:bCs/>
                <w:color w:val="000000"/>
                <w:sz w:val="20"/>
                <w:szCs w:val="20"/>
              </w:rPr>
            </w:pPr>
            <w:r w:rsidRPr="00335934">
              <w:rPr>
                <w:rFonts w:ascii="Verdana" w:hAnsi="Verdana" w:cs="Arial"/>
                <w:bCs/>
                <w:color w:val="000000"/>
                <w:sz w:val="20"/>
                <w:szCs w:val="20"/>
              </w:rPr>
              <w:t>$6.55</w:t>
            </w:r>
          </w:p>
        </w:tc>
      </w:tr>
      <w:tr w:rsidR="00902337" w:rsidRPr="00335934" w14:paraId="15B50DCC" w14:textId="77777777" w:rsidTr="006B6132">
        <w:tc>
          <w:tcPr>
            <w:tcW w:w="7060" w:type="dxa"/>
          </w:tcPr>
          <w:p w14:paraId="376D77EC" w14:textId="77777777" w:rsidR="00902337" w:rsidRPr="00335934" w:rsidRDefault="00902337" w:rsidP="00335934">
            <w:pPr>
              <w:spacing w:line="240" w:lineRule="auto"/>
              <w:ind w:left="360" w:hanging="360"/>
              <w:jc w:val="both"/>
              <w:rPr>
                <w:rFonts w:ascii="Verdana" w:hAnsi="Verdana" w:cs="Arial"/>
                <w:bCs/>
                <w:snapToGrid w:val="0"/>
                <w:color w:val="000000"/>
                <w:sz w:val="20"/>
                <w:szCs w:val="20"/>
              </w:rPr>
            </w:pPr>
            <w:r w:rsidRPr="00335934">
              <w:rPr>
                <w:rFonts w:ascii="Verdana" w:hAnsi="Verdana" w:cs="Arial"/>
                <w:b/>
                <w:snapToGrid w:val="0"/>
                <w:color w:val="000000"/>
                <w:sz w:val="20"/>
                <w:szCs w:val="20"/>
              </w:rPr>
              <w:t xml:space="preserve">III. </w:t>
            </w:r>
            <w:r w:rsidRPr="00335934">
              <w:rPr>
                <w:rFonts w:ascii="Verdana" w:hAnsi="Verdana" w:cs="Arial"/>
                <w:bCs/>
                <w:snapToGrid w:val="0"/>
                <w:color w:val="000000"/>
                <w:sz w:val="20"/>
                <w:szCs w:val="20"/>
              </w:rPr>
              <w:t>Por el avalúo de inmuebles rústicos que requieran el levantamiento del plano del terreno:</w:t>
            </w:r>
          </w:p>
          <w:p w14:paraId="7D9E74BE" w14:textId="77777777" w:rsidR="00902337" w:rsidRPr="00335934" w:rsidRDefault="00902337" w:rsidP="00335934">
            <w:pPr>
              <w:spacing w:line="240" w:lineRule="auto"/>
              <w:jc w:val="both"/>
              <w:rPr>
                <w:rFonts w:ascii="Verdana" w:hAnsi="Verdana" w:cs="Arial"/>
                <w:bCs/>
                <w:snapToGrid w:val="0"/>
                <w:color w:val="000000"/>
                <w:sz w:val="20"/>
                <w:szCs w:val="20"/>
              </w:rPr>
            </w:pPr>
          </w:p>
          <w:p w14:paraId="42F19F53" w14:textId="77777777" w:rsidR="00902337" w:rsidRPr="00335934" w:rsidRDefault="00902337" w:rsidP="00335934">
            <w:pPr>
              <w:pStyle w:val="Prrafodelista"/>
              <w:numPr>
                <w:ilvl w:val="0"/>
                <w:numId w:val="16"/>
              </w:numPr>
              <w:jc w:val="both"/>
              <w:rPr>
                <w:rFonts w:ascii="Verdana" w:hAnsi="Verdana" w:cs="Arial"/>
                <w:bCs/>
                <w:snapToGrid w:val="0"/>
                <w:color w:val="000000"/>
                <w:sz w:val="20"/>
                <w:szCs w:val="20"/>
                <w:lang w:val="es-MX"/>
              </w:rPr>
            </w:pPr>
            <w:r w:rsidRPr="00335934">
              <w:rPr>
                <w:rFonts w:ascii="Verdana" w:hAnsi="Verdana" w:cs="Arial"/>
                <w:bCs/>
                <w:snapToGrid w:val="0"/>
                <w:color w:val="000000"/>
                <w:sz w:val="20"/>
                <w:szCs w:val="20"/>
                <w:lang w:val="es-MX"/>
              </w:rPr>
              <w:t>Hasta una hectárea;</w:t>
            </w:r>
          </w:p>
          <w:p w14:paraId="4A7A0832" w14:textId="77777777" w:rsidR="00902337" w:rsidRPr="00335934" w:rsidRDefault="00902337" w:rsidP="00335934">
            <w:pPr>
              <w:pStyle w:val="Prrafodelista"/>
              <w:jc w:val="both"/>
              <w:rPr>
                <w:rFonts w:ascii="Verdana" w:hAnsi="Verdana" w:cs="Arial"/>
                <w:bCs/>
                <w:snapToGrid w:val="0"/>
                <w:color w:val="000000"/>
                <w:sz w:val="20"/>
                <w:szCs w:val="20"/>
                <w:lang w:val="es-MX"/>
              </w:rPr>
            </w:pPr>
          </w:p>
          <w:p w14:paraId="46994639" w14:textId="77777777" w:rsidR="00902337" w:rsidRPr="00335934" w:rsidRDefault="00902337" w:rsidP="00335934">
            <w:pPr>
              <w:pStyle w:val="Prrafodelista"/>
              <w:numPr>
                <w:ilvl w:val="0"/>
                <w:numId w:val="16"/>
              </w:numPr>
              <w:jc w:val="both"/>
              <w:rPr>
                <w:rFonts w:ascii="Verdana" w:hAnsi="Verdana" w:cs="Arial"/>
                <w:bCs/>
                <w:snapToGrid w:val="0"/>
                <w:color w:val="000000"/>
                <w:sz w:val="20"/>
                <w:szCs w:val="20"/>
                <w:lang w:val="es-MX"/>
              </w:rPr>
            </w:pPr>
            <w:r w:rsidRPr="00335934">
              <w:rPr>
                <w:rFonts w:ascii="Verdana" w:hAnsi="Verdana" w:cs="Arial"/>
                <w:bCs/>
                <w:snapToGrid w:val="0"/>
                <w:color w:val="000000"/>
                <w:sz w:val="20"/>
                <w:szCs w:val="20"/>
                <w:lang w:val="es-MX"/>
              </w:rPr>
              <w:t>Por cada una de las hectáreas excedentes hasta 20 hectáreas; y</w:t>
            </w:r>
          </w:p>
          <w:p w14:paraId="0127CD4E" w14:textId="77777777" w:rsidR="00902337" w:rsidRPr="00335934" w:rsidRDefault="00902337" w:rsidP="00335934">
            <w:pPr>
              <w:pStyle w:val="Prrafodelista"/>
              <w:jc w:val="both"/>
              <w:rPr>
                <w:rFonts w:ascii="Verdana" w:hAnsi="Verdana" w:cs="Arial"/>
                <w:bCs/>
                <w:snapToGrid w:val="0"/>
                <w:color w:val="000000"/>
                <w:sz w:val="20"/>
                <w:szCs w:val="20"/>
                <w:lang w:val="es-MX"/>
              </w:rPr>
            </w:pPr>
          </w:p>
          <w:p w14:paraId="6EFBDF95" w14:textId="77777777" w:rsidR="00902337" w:rsidRPr="00335934" w:rsidRDefault="00902337" w:rsidP="00335934">
            <w:pPr>
              <w:pStyle w:val="Prrafodelista"/>
              <w:numPr>
                <w:ilvl w:val="0"/>
                <w:numId w:val="16"/>
              </w:numPr>
              <w:jc w:val="both"/>
              <w:rPr>
                <w:rFonts w:ascii="Verdana" w:hAnsi="Verdana" w:cs="Arial"/>
                <w:bCs/>
                <w:snapToGrid w:val="0"/>
                <w:color w:val="000000"/>
                <w:sz w:val="20"/>
                <w:szCs w:val="20"/>
                <w:lang w:val="es-MX"/>
              </w:rPr>
            </w:pPr>
            <w:r w:rsidRPr="00335934">
              <w:rPr>
                <w:rFonts w:ascii="Verdana" w:hAnsi="Verdana" w:cs="Arial"/>
                <w:bCs/>
                <w:snapToGrid w:val="0"/>
                <w:color w:val="000000"/>
                <w:sz w:val="20"/>
                <w:szCs w:val="20"/>
                <w:lang w:val="es-MX"/>
              </w:rPr>
              <w:t>Por cada una de las hectáreas que excedan de 20 hectáreas.</w:t>
            </w:r>
          </w:p>
          <w:p w14:paraId="4FBD4473" w14:textId="77777777" w:rsidR="00902337" w:rsidRPr="00335934" w:rsidRDefault="00902337" w:rsidP="00335934">
            <w:pPr>
              <w:pStyle w:val="Prrafodelista"/>
              <w:jc w:val="both"/>
              <w:rPr>
                <w:rFonts w:ascii="Verdana" w:hAnsi="Verdana" w:cs="Arial"/>
                <w:bCs/>
                <w:snapToGrid w:val="0"/>
                <w:color w:val="000000"/>
                <w:sz w:val="20"/>
                <w:szCs w:val="20"/>
                <w:lang w:val="es-MX"/>
              </w:rPr>
            </w:pPr>
          </w:p>
        </w:tc>
        <w:tc>
          <w:tcPr>
            <w:tcW w:w="1920" w:type="dxa"/>
          </w:tcPr>
          <w:p w14:paraId="2AF7D5C2" w14:textId="77777777" w:rsidR="00902337" w:rsidRPr="00335934" w:rsidRDefault="00902337" w:rsidP="00335934">
            <w:pPr>
              <w:spacing w:line="240" w:lineRule="auto"/>
              <w:jc w:val="right"/>
              <w:rPr>
                <w:rFonts w:ascii="Verdana" w:hAnsi="Verdana" w:cs="Arial"/>
                <w:bCs/>
                <w:color w:val="000000"/>
                <w:sz w:val="20"/>
                <w:szCs w:val="20"/>
              </w:rPr>
            </w:pPr>
          </w:p>
          <w:p w14:paraId="00D02F20" w14:textId="77777777" w:rsidR="00902337" w:rsidRPr="00335934" w:rsidRDefault="00902337" w:rsidP="00335934">
            <w:pPr>
              <w:spacing w:line="240" w:lineRule="auto"/>
              <w:rPr>
                <w:rFonts w:ascii="Verdana" w:hAnsi="Verdana" w:cs="Arial"/>
                <w:bCs/>
                <w:color w:val="000000"/>
                <w:sz w:val="20"/>
                <w:szCs w:val="20"/>
              </w:rPr>
            </w:pPr>
          </w:p>
          <w:p w14:paraId="4DAC8237" w14:textId="77777777" w:rsidR="00902337" w:rsidRPr="00335934" w:rsidRDefault="00902337" w:rsidP="00335934">
            <w:pPr>
              <w:spacing w:line="240" w:lineRule="auto"/>
              <w:jc w:val="right"/>
              <w:rPr>
                <w:rFonts w:ascii="Verdana" w:hAnsi="Verdana" w:cs="Arial"/>
                <w:color w:val="000000"/>
                <w:sz w:val="20"/>
                <w:szCs w:val="20"/>
              </w:rPr>
            </w:pPr>
          </w:p>
          <w:p w14:paraId="6E0C5C88" w14:textId="77777777" w:rsidR="00902337" w:rsidRPr="00335934" w:rsidRDefault="00902337" w:rsidP="00335934">
            <w:pPr>
              <w:spacing w:line="240" w:lineRule="auto"/>
              <w:jc w:val="right"/>
              <w:rPr>
                <w:rFonts w:ascii="Verdana" w:hAnsi="Verdana" w:cs="Arial"/>
                <w:color w:val="000000"/>
                <w:sz w:val="20"/>
                <w:szCs w:val="20"/>
              </w:rPr>
            </w:pPr>
            <w:r w:rsidRPr="00335934">
              <w:rPr>
                <w:rFonts w:ascii="Verdana" w:hAnsi="Verdana" w:cs="Arial"/>
                <w:color w:val="000000"/>
                <w:sz w:val="20"/>
                <w:szCs w:val="20"/>
              </w:rPr>
              <w:t>$1,373.28</w:t>
            </w:r>
          </w:p>
          <w:p w14:paraId="6B46CFEE" w14:textId="77777777" w:rsidR="00902337" w:rsidRPr="00335934" w:rsidRDefault="00902337" w:rsidP="00335934">
            <w:pPr>
              <w:spacing w:line="240" w:lineRule="auto"/>
              <w:jc w:val="right"/>
              <w:rPr>
                <w:rFonts w:ascii="Verdana" w:hAnsi="Verdana" w:cs="Arial"/>
                <w:bCs/>
                <w:color w:val="000000"/>
                <w:sz w:val="20"/>
                <w:szCs w:val="20"/>
              </w:rPr>
            </w:pPr>
          </w:p>
          <w:p w14:paraId="16A3C77D" w14:textId="77777777" w:rsidR="00902337" w:rsidRPr="00335934" w:rsidRDefault="00902337" w:rsidP="00335934">
            <w:pPr>
              <w:spacing w:line="240" w:lineRule="auto"/>
              <w:jc w:val="right"/>
              <w:rPr>
                <w:rFonts w:ascii="Verdana" w:hAnsi="Verdana" w:cs="Arial"/>
                <w:color w:val="000000"/>
                <w:sz w:val="20"/>
                <w:szCs w:val="20"/>
              </w:rPr>
            </w:pPr>
            <w:r w:rsidRPr="00335934">
              <w:rPr>
                <w:rFonts w:ascii="Verdana" w:hAnsi="Verdana" w:cs="Arial"/>
                <w:color w:val="000000"/>
                <w:sz w:val="20"/>
                <w:szCs w:val="20"/>
              </w:rPr>
              <w:t>$186.91</w:t>
            </w:r>
          </w:p>
          <w:p w14:paraId="2428BAC9" w14:textId="77777777" w:rsidR="00902337" w:rsidRPr="00335934" w:rsidRDefault="00902337" w:rsidP="00335934">
            <w:pPr>
              <w:spacing w:line="240" w:lineRule="auto"/>
              <w:jc w:val="right"/>
              <w:rPr>
                <w:rFonts w:ascii="Verdana" w:hAnsi="Verdana" w:cs="Arial"/>
                <w:bCs/>
                <w:color w:val="000000"/>
                <w:sz w:val="20"/>
                <w:szCs w:val="20"/>
              </w:rPr>
            </w:pPr>
          </w:p>
          <w:p w14:paraId="49928996" w14:textId="77777777" w:rsidR="00902337" w:rsidRPr="00335934" w:rsidRDefault="00902337" w:rsidP="00335934">
            <w:pPr>
              <w:spacing w:line="240" w:lineRule="auto"/>
              <w:jc w:val="right"/>
              <w:rPr>
                <w:rFonts w:ascii="Verdana" w:hAnsi="Verdana" w:cs="Arial"/>
                <w:bCs/>
                <w:color w:val="000000"/>
                <w:sz w:val="20"/>
                <w:szCs w:val="20"/>
              </w:rPr>
            </w:pPr>
            <w:r w:rsidRPr="00335934">
              <w:rPr>
                <w:rFonts w:ascii="Verdana" w:hAnsi="Verdana" w:cs="Arial"/>
                <w:color w:val="000000"/>
                <w:sz w:val="20"/>
                <w:szCs w:val="20"/>
              </w:rPr>
              <w:t>$151.99</w:t>
            </w:r>
          </w:p>
        </w:tc>
      </w:tr>
      <w:tr w:rsidR="00902337" w:rsidRPr="00335934" w14:paraId="06BDA145" w14:textId="77777777" w:rsidTr="006B6132">
        <w:tc>
          <w:tcPr>
            <w:tcW w:w="7060" w:type="dxa"/>
          </w:tcPr>
          <w:p w14:paraId="5DDEF777" w14:textId="77777777" w:rsidR="00902337" w:rsidRPr="00335934" w:rsidRDefault="00902337" w:rsidP="00335934">
            <w:pPr>
              <w:spacing w:line="240" w:lineRule="auto"/>
              <w:ind w:left="360" w:hanging="360"/>
              <w:jc w:val="both"/>
              <w:rPr>
                <w:rFonts w:ascii="Verdana" w:hAnsi="Verdana" w:cs="Arial"/>
                <w:snapToGrid w:val="0"/>
                <w:color w:val="000000"/>
                <w:sz w:val="20"/>
                <w:szCs w:val="20"/>
              </w:rPr>
            </w:pPr>
            <w:r w:rsidRPr="00335934">
              <w:rPr>
                <w:rFonts w:ascii="Verdana" w:hAnsi="Verdana" w:cs="Arial"/>
                <w:b/>
                <w:snapToGrid w:val="0"/>
                <w:color w:val="000000"/>
                <w:sz w:val="20"/>
                <w:szCs w:val="20"/>
              </w:rPr>
              <w:t>IV.</w:t>
            </w:r>
            <w:r w:rsidRPr="00335934">
              <w:rPr>
                <w:rFonts w:ascii="Verdana" w:hAnsi="Verdana" w:cs="Arial"/>
                <w:snapToGrid w:val="0"/>
                <w:color w:val="000000"/>
                <w:sz w:val="20"/>
                <w:szCs w:val="20"/>
              </w:rPr>
              <w:t xml:space="preserve"> Por la revisión y registro de avalúos fiscales urbanos, suburbanos y rústicos para su validación se cobrará. </w:t>
            </w:r>
          </w:p>
          <w:p w14:paraId="4DC87E73" w14:textId="77777777" w:rsidR="00902337" w:rsidRPr="00335934" w:rsidRDefault="00902337" w:rsidP="00335934">
            <w:pPr>
              <w:spacing w:line="240" w:lineRule="auto"/>
              <w:ind w:left="360" w:hanging="360"/>
              <w:jc w:val="both"/>
              <w:rPr>
                <w:rFonts w:ascii="Verdana" w:hAnsi="Verdana" w:cs="Arial"/>
                <w:snapToGrid w:val="0"/>
                <w:color w:val="000000"/>
                <w:sz w:val="20"/>
                <w:szCs w:val="20"/>
              </w:rPr>
            </w:pPr>
          </w:p>
        </w:tc>
        <w:tc>
          <w:tcPr>
            <w:tcW w:w="1920" w:type="dxa"/>
            <w:vAlign w:val="center"/>
          </w:tcPr>
          <w:p w14:paraId="1FA7E309" w14:textId="77777777" w:rsidR="00902337" w:rsidRPr="00335934" w:rsidRDefault="00902337" w:rsidP="00335934">
            <w:pPr>
              <w:spacing w:line="240" w:lineRule="auto"/>
              <w:jc w:val="right"/>
              <w:rPr>
                <w:rFonts w:ascii="Verdana" w:hAnsi="Verdana" w:cs="Arial"/>
                <w:color w:val="000000"/>
                <w:sz w:val="20"/>
                <w:szCs w:val="20"/>
              </w:rPr>
            </w:pPr>
            <w:r w:rsidRPr="00335934">
              <w:rPr>
                <w:rFonts w:ascii="Verdana" w:hAnsi="Verdana" w:cs="Arial"/>
                <w:color w:val="000000"/>
                <w:sz w:val="20"/>
                <w:szCs w:val="20"/>
              </w:rPr>
              <w:t>$81.95</w:t>
            </w:r>
          </w:p>
        </w:tc>
      </w:tr>
    </w:tbl>
    <w:p w14:paraId="33E0951B" w14:textId="77777777" w:rsidR="00902337" w:rsidRPr="00335934" w:rsidRDefault="00902337" w:rsidP="00335934">
      <w:pPr>
        <w:pStyle w:val="NormalWeb"/>
        <w:jc w:val="both"/>
        <w:rPr>
          <w:rFonts w:ascii="Verdana" w:hAnsi="Verdana"/>
          <w:sz w:val="20"/>
          <w:szCs w:val="20"/>
        </w:rPr>
      </w:pPr>
      <w:r w:rsidRPr="00335934">
        <w:rPr>
          <w:rFonts w:ascii="Verdana" w:hAnsi="Verdana"/>
          <w:sz w:val="20"/>
          <w:szCs w:val="20"/>
        </w:rPr>
        <w:tab/>
        <w:t xml:space="preserve">Los avalúos que practique la Tesorería Municipal sólo se cobrarán cuando se hagan a petición del contribuyente o parte interesada o sean motivados por el incumplimiento del </w:t>
      </w:r>
      <w:r w:rsidRPr="00335934">
        <w:rPr>
          <w:rFonts w:ascii="Verdana" w:hAnsi="Verdana"/>
          <w:sz w:val="20"/>
          <w:szCs w:val="20"/>
        </w:rPr>
        <w:lastRenderedPageBreak/>
        <w:t>contribuyente a las obligaciones previstas por el artículo 166 de la Ley de Hacienda para los Municipios del Estado de Guanajuato.</w:t>
      </w:r>
    </w:p>
    <w:p w14:paraId="33E9EEA0" w14:textId="77777777" w:rsidR="00335934" w:rsidRDefault="00335934" w:rsidP="00335934">
      <w:pPr>
        <w:pStyle w:val="Sinespaciado"/>
        <w:rPr>
          <w:rStyle w:val="Textoennegrita"/>
          <w:rFonts w:ascii="Verdana" w:hAnsi="Verdana" w:cs="Arial"/>
          <w:sz w:val="20"/>
          <w:szCs w:val="20"/>
        </w:rPr>
      </w:pPr>
    </w:p>
    <w:p w14:paraId="49C4F9C2" w14:textId="29CCE13F" w:rsidR="00902337" w:rsidRPr="00335934" w:rsidRDefault="00902337" w:rsidP="00335934">
      <w:pPr>
        <w:pStyle w:val="Sinespaciado"/>
        <w:jc w:val="center"/>
        <w:rPr>
          <w:rStyle w:val="Textoennegrita"/>
          <w:rFonts w:ascii="Verdana" w:hAnsi="Verdana" w:cs="Arial"/>
          <w:sz w:val="20"/>
          <w:szCs w:val="20"/>
        </w:rPr>
      </w:pPr>
      <w:r w:rsidRPr="00335934">
        <w:rPr>
          <w:rStyle w:val="Textoennegrita"/>
          <w:rFonts w:ascii="Verdana" w:hAnsi="Verdana" w:cs="Arial"/>
          <w:sz w:val="20"/>
          <w:szCs w:val="20"/>
        </w:rPr>
        <w:t>SECCIÓN DÉCIMA</w:t>
      </w:r>
      <w:r w:rsidRPr="00335934">
        <w:br/>
      </w:r>
      <w:r w:rsidRPr="00335934">
        <w:rPr>
          <w:rStyle w:val="Textoennegrita"/>
          <w:rFonts w:ascii="Verdana" w:hAnsi="Verdana" w:cs="Arial"/>
          <w:sz w:val="20"/>
          <w:szCs w:val="20"/>
        </w:rPr>
        <w:t>EXPEDICIÓN DE LICENCIAS O PERMISOS</w:t>
      </w:r>
    </w:p>
    <w:p w14:paraId="24AE7639" w14:textId="77777777" w:rsidR="00902337" w:rsidRPr="00335934" w:rsidRDefault="00902337" w:rsidP="00335934">
      <w:pPr>
        <w:pStyle w:val="Sinespaciado"/>
        <w:jc w:val="center"/>
      </w:pPr>
      <w:r w:rsidRPr="00335934">
        <w:rPr>
          <w:rStyle w:val="Textoennegrita"/>
          <w:rFonts w:ascii="Verdana" w:hAnsi="Verdana" w:cs="Arial"/>
          <w:sz w:val="20"/>
          <w:szCs w:val="20"/>
        </w:rPr>
        <w:t>PARA EL ESTABLECIMIENTO DE ANUNCIOS</w:t>
      </w:r>
    </w:p>
    <w:p w14:paraId="53FA2E04" w14:textId="77777777" w:rsidR="00902337" w:rsidRPr="00335934" w:rsidRDefault="00902337" w:rsidP="00335934">
      <w:pPr>
        <w:pStyle w:val="NormalWeb"/>
        <w:jc w:val="both"/>
        <w:rPr>
          <w:rFonts w:ascii="Verdana" w:hAnsi="Verdana"/>
          <w:sz w:val="20"/>
          <w:szCs w:val="20"/>
        </w:rPr>
      </w:pPr>
      <w:r w:rsidRPr="00335934">
        <w:rPr>
          <w:rStyle w:val="Textoennegrita"/>
          <w:rFonts w:ascii="Verdana" w:hAnsi="Verdana"/>
          <w:sz w:val="20"/>
          <w:szCs w:val="20"/>
        </w:rPr>
        <w:tab/>
        <w:t>Artículo 22</w:t>
      </w:r>
      <w:r w:rsidRPr="00335934">
        <w:rPr>
          <w:rFonts w:ascii="Verdana" w:hAnsi="Verdana"/>
          <w:sz w:val="20"/>
          <w:szCs w:val="20"/>
        </w:rPr>
        <w:t>. Los derechos por expedición de licencias o permisos para el establecimiento de anuncios se causarán y liquidarán conforme a la siguiente:</w:t>
      </w:r>
    </w:p>
    <w:p w14:paraId="3FC429F8" w14:textId="77777777" w:rsidR="00902337" w:rsidRPr="00335934" w:rsidRDefault="00902337" w:rsidP="00335934">
      <w:pPr>
        <w:pStyle w:val="NormalWeb"/>
        <w:jc w:val="center"/>
        <w:rPr>
          <w:rFonts w:ascii="Verdana" w:hAnsi="Verdana"/>
          <w:sz w:val="20"/>
          <w:szCs w:val="20"/>
        </w:rPr>
      </w:pPr>
      <w:r w:rsidRPr="00335934">
        <w:rPr>
          <w:rFonts w:ascii="Verdana" w:hAnsi="Verdana"/>
          <w:b/>
          <w:bCs/>
          <w:sz w:val="20"/>
          <w:szCs w:val="20"/>
        </w:rPr>
        <w:t>TARIFA</w:t>
      </w:r>
    </w:p>
    <w:p w14:paraId="638AD2C1" w14:textId="77777777" w:rsidR="00902337" w:rsidRPr="00335934" w:rsidRDefault="00902337" w:rsidP="00335934">
      <w:pPr>
        <w:pStyle w:val="NormalWeb"/>
        <w:jc w:val="both"/>
        <w:rPr>
          <w:rFonts w:ascii="Verdana" w:hAnsi="Verdana"/>
          <w:sz w:val="20"/>
          <w:szCs w:val="20"/>
        </w:rPr>
      </w:pPr>
      <w:r w:rsidRPr="00335934">
        <w:rPr>
          <w:rFonts w:ascii="Verdana" w:hAnsi="Verdana"/>
          <w:b/>
          <w:bCs/>
          <w:sz w:val="20"/>
          <w:szCs w:val="20"/>
        </w:rPr>
        <w:t>I.</w:t>
      </w:r>
      <w:r w:rsidRPr="00335934">
        <w:rPr>
          <w:rFonts w:ascii="Verdana" w:hAnsi="Verdana"/>
          <w:sz w:val="20"/>
          <w:szCs w:val="20"/>
        </w:rPr>
        <w:t xml:space="preserve"> Permiso de pared y adosados al piso o muro anualmente,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754"/>
        <w:gridCol w:w="1076"/>
      </w:tblGrid>
      <w:tr w:rsidR="00902337" w:rsidRPr="00335934" w14:paraId="2E9EC440"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C410C6" w14:textId="77777777" w:rsidR="00902337" w:rsidRPr="00335934" w:rsidRDefault="00902337" w:rsidP="00335934">
            <w:pPr>
              <w:spacing w:line="240" w:lineRule="auto"/>
              <w:rPr>
                <w:rFonts w:ascii="Verdana" w:eastAsia="Times New Roman" w:hAnsi="Verdana" w:cs="Arial"/>
                <w:sz w:val="20"/>
                <w:szCs w:val="20"/>
              </w:rPr>
            </w:pPr>
            <w:r w:rsidRPr="00335934">
              <w:rPr>
                <w:rFonts w:ascii="Verdana" w:eastAsia="Times New Roman" w:hAnsi="Verdana" w:cs="Arial"/>
                <w:b/>
                <w:bCs/>
                <w:sz w:val="20"/>
                <w:szCs w:val="20"/>
              </w:rPr>
              <w:t>a)</w:t>
            </w:r>
            <w:r w:rsidRPr="00335934">
              <w:rPr>
                <w:rFonts w:ascii="Verdana" w:eastAsia="Times New Roman" w:hAnsi="Verdana" w:cs="Arial"/>
                <w:sz w:val="20"/>
                <w:szCs w:val="20"/>
              </w:rPr>
              <w:t xml:space="preserve"> Adosados</w:t>
            </w:r>
          </w:p>
        </w:tc>
        <w:tc>
          <w:tcPr>
            <w:tcW w:w="0" w:type="auto"/>
            <w:tcBorders>
              <w:top w:val="single" w:sz="6" w:space="0" w:color="000000"/>
              <w:left w:val="single" w:sz="6" w:space="0" w:color="000000"/>
              <w:bottom w:val="single" w:sz="6" w:space="0" w:color="000000"/>
              <w:right w:val="single" w:sz="6" w:space="0" w:color="000000"/>
            </w:tcBorders>
            <w:hideMark/>
          </w:tcPr>
          <w:p w14:paraId="7FC473E3" w14:textId="77777777" w:rsidR="00902337" w:rsidRPr="00335934" w:rsidRDefault="00902337" w:rsidP="00335934">
            <w:pPr>
              <w:spacing w:line="240" w:lineRule="auto"/>
              <w:rPr>
                <w:rFonts w:ascii="Verdana" w:eastAsia="Times New Roman" w:hAnsi="Verdana" w:cs="Arial"/>
                <w:sz w:val="20"/>
                <w:szCs w:val="20"/>
              </w:rPr>
            </w:pPr>
            <w:r w:rsidRPr="00335934">
              <w:rPr>
                <w:rFonts w:ascii="Verdana" w:eastAsia="Times New Roman" w:hAnsi="Verdana" w:cs="Arial"/>
                <w:sz w:val="20"/>
                <w:szCs w:val="20"/>
              </w:rPr>
              <w:t>$692.30</w:t>
            </w:r>
          </w:p>
        </w:tc>
      </w:tr>
      <w:tr w:rsidR="00902337" w:rsidRPr="00335934" w14:paraId="69D2C9DD"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DB9D99" w14:textId="77777777" w:rsidR="00902337" w:rsidRPr="00335934" w:rsidRDefault="00902337" w:rsidP="00335934">
            <w:pPr>
              <w:spacing w:line="240" w:lineRule="auto"/>
              <w:rPr>
                <w:rFonts w:ascii="Verdana" w:eastAsia="Times New Roman" w:hAnsi="Verdana" w:cs="Arial"/>
                <w:sz w:val="20"/>
                <w:szCs w:val="20"/>
              </w:rPr>
            </w:pPr>
            <w:r w:rsidRPr="00335934">
              <w:rPr>
                <w:rFonts w:ascii="Verdana" w:eastAsia="Times New Roman" w:hAnsi="Verdana" w:cs="Arial"/>
                <w:b/>
                <w:bCs/>
                <w:sz w:val="20"/>
                <w:szCs w:val="20"/>
              </w:rPr>
              <w:t>b)</w:t>
            </w:r>
            <w:r w:rsidRPr="00335934">
              <w:rPr>
                <w:rFonts w:ascii="Verdana" w:eastAsia="Times New Roman" w:hAnsi="Verdana" w:cs="Arial"/>
                <w:sz w:val="20"/>
                <w:szCs w:val="20"/>
              </w:rPr>
              <w:t xml:space="preserve"> Auto soportados espectaculares</w:t>
            </w:r>
          </w:p>
        </w:tc>
        <w:tc>
          <w:tcPr>
            <w:tcW w:w="0" w:type="auto"/>
            <w:tcBorders>
              <w:top w:val="single" w:sz="6" w:space="0" w:color="000000"/>
              <w:left w:val="single" w:sz="6" w:space="0" w:color="000000"/>
              <w:bottom w:val="single" w:sz="6" w:space="0" w:color="000000"/>
              <w:right w:val="single" w:sz="6" w:space="0" w:color="000000"/>
            </w:tcBorders>
            <w:hideMark/>
          </w:tcPr>
          <w:p w14:paraId="5339C1F6" w14:textId="77777777" w:rsidR="00902337" w:rsidRPr="00335934" w:rsidRDefault="00902337" w:rsidP="00335934">
            <w:pPr>
              <w:spacing w:line="240" w:lineRule="auto"/>
              <w:rPr>
                <w:rFonts w:ascii="Verdana" w:eastAsia="Times New Roman" w:hAnsi="Verdana" w:cs="Arial"/>
                <w:sz w:val="20"/>
                <w:szCs w:val="20"/>
              </w:rPr>
            </w:pPr>
            <w:r w:rsidRPr="00335934">
              <w:rPr>
                <w:rFonts w:ascii="Verdana" w:eastAsia="Times New Roman" w:hAnsi="Verdana" w:cs="Arial"/>
                <w:sz w:val="20"/>
                <w:szCs w:val="20"/>
              </w:rPr>
              <w:t>$99.99</w:t>
            </w:r>
          </w:p>
        </w:tc>
      </w:tr>
      <w:tr w:rsidR="00902337" w:rsidRPr="00335934" w14:paraId="39A08CA7"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9718C6" w14:textId="77777777" w:rsidR="00902337" w:rsidRPr="00335934" w:rsidRDefault="00902337" w:rsidP="00335934">
            <w:pPr>
              <w:spacing w:line="240" w:lineRule="auto"/>
              <w:rPr>
                <w:rFonts w:ascii="Verdana" w:eastAsia="Times New Roman" w:hAnsi="Verdana" w:cs="Arial"/>
                <w:sz w:val="20"/>
                <w:szCs w:val="20"/>
              </w:rPr>
            </w:pPr>
            <w:r w:rsidRPr="00335934">
              <w:rPr>
                <w:rFonts w:ascii="Verdana" w:eastAsia="Times New Roman" w:hAnsi="Verdana" w:cs="Arial"/>
                <w:b/>
                <w:bCs/>
                <w:sz w:val="20"/>
                <w:szCs w:val="20"/>
              </w:rPr>
              <w:t>c)</w:t>
            </w:r>
            <w:r w:rsidRPr="00335934">
              <w:rPr>
                <w:rFonts w:ascii="Verdana" w:eastAsia="Times New Roman" w:hAnsi="Verdana" w:cs="Arial"/>
                <w:sz w:val="20"/>
                <w:szCs w:val="20"/>
              </w:rPr>
              <w:t xml:space="preserve"> Pinta de bardas</w:t>
            </w:r>
          </w:p>
        </w:tc>
        <w:tc>
          <w:tcPr>
            <w:tcW w:w="0" w:type="auto"/>
            <w:tcBorders>
              <w:top w:val="single" w:sz="6" w:space="0" w:color="000000"/>
              <w:left w:val="single" w:sz="6" w:space="0" w:color="000000"/>
              <w:bottom w:val="single" w:sz="6" w:space="0" w:color="000000"/>
              <w:right w:val="single" w:sz="6" w:space="0" w:color="000000"/>
            </w:tcBorders>
            <w:hideMark/>
          </w:tcPr>
          <w:p w14:paraId="7D9E3692" w14:textId="77777777" w:rsidR="00902337" w:rsidRPr="00335934" w:rsidRDefault="00902337" w:rsidP="00335934">
            <w:pPr>
              <w:spacing w:line="240" w:lineRule="auto"/>
              <w:rPr>
                <w:rFonts w:ascii="Verdana" w:eastAsia="Times New Roman" w:hAnsi="Verdana" w:cs="Arial"/>
                <w:sz w:val="20"/>
                <w:szCs w:val="20"/>
              </w:rPr>
            </w:pPr>
            <w:r w:rsidRPr="00335934">
              <w:rPr>
                <w:rFonts w:ascii="Verdana" w:eastAsia="Times New Roman" w:hAnsi="Verdana" w:cs="Arial"/>
                <w:sz w:val="20"/>
                <w:szCs w:val="20"/>
              </w:rPr>
              <w:t>$92.30</w:t>
            </w:r>
          </w:p>
        </w:tc>
      </w:tr>
    </w:tbl>
    <w:p w14:paraId="4CBB0FE3" w14:textId="77777777" w:rsidR="00902337" w:rsidRPr="00335934" w:rsidRDefault="00902337" w:rsidP="00335934">
      <w:pPr>
        <w:pStyle w:val="NormalWeb"/>
        <w:jc w:val="both"/>
        <w:rPr>
          <w:rFonts w:ascii="Verdana" w:hAnsi="Verdana"/>
          <w:sz w:val="20"/>
          <w:szCs w:val="20"/>
        </w:rPr>
      </w:pPr>
      <w:r w:rsidRPr="00335934">
        <w:rPr>
          <w:rFonts w:ascii="Verdana" w:hAnsi="Verdana"/>
          <w:b/>
          <w:bCs/>
          <w:sz w:val="20"/>
          <w:szCs w:val="20"/>
        </w:rPr>
        <w:t>II.</w:t>
      </w:r>
      <w:r w:rsidRPr="00335934">
        <w:rPr>
          <w:rFonts w:ascii="Verdana" w:hAnsi="Verdana"/>
          <w:sz w:val="20"/>
          <w:szCs w:val="20"/>
        </w:rPr>
        <w:t xml:space="preserve"> Permiso de pared y adosados al piso o muro, anualmente, por pieza: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29"/>
        <w:gridCol w:w="1076"/>
      </w:tblGrid>
      <w:tr w:rsidR="00902337" w:rsidRPr="00335934" w14:paraId="5766B6C3"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5D59C5" w14:textId="77777777" w:rsidR="00902337" w:rsidRPr="00335934" w:rsidRDefault="00902337" w:rsidP="00335934">
            <w:pPr>
              <w:spacing w:line="240" w:lineRule="auto"/>
              <w:rPr>
                <w:rFonts w:ascii="Verdana" w:eastAsia="Times New Roman" w:hAnsi="Verdana" w:cs="Arial"/>
                <w:sz w:val="20"/>
                <w:szCs w:val="20"/>
              </w:rPr>
            </w:pPr>
            <w:r w:rsidRPr="00335934">
              <w:rPr>
                <w:rFonts w:ascii="Verdana" w:eastAsia="Times New Roman" w:hAnsi="Verdana" w:cs="Arial"/>
                <w:b/>
                <w:bCs/>
                <w:sz w:val="20"/>
                <w:szCs w:val="20"/>
              </w:rPr>
              <w:t>a)</w:t>
            </w:r>
            <w:r w:rsidRPr="00335934">
              <w:rPr>
                <w:rFonts w:ascii="Verdana" w:eastAsia="Times New Roman" w:hAnsi="Verdana" w:cs="Arial"/>
                <w:sz w:val="20"/>
                <w:szCs w:val="20"/>
              </w:rPr>
              <w:t xml:space="preserve"> Toldos y carpas</w:t>
            </w:r>
          </w:p>
        </w:tc>
        <w:tc>
          <w:tcPr>
            <w:tcW w:w="0" w:type="auto"/>
            <w:tcBorders>
              <w:top w:val="single" w:sz="6" w:space="0" w:color="000000"/>
              <w:left w:val="single" w:sz="6" w:space="0" w:color="000000"/>
              <w:bottom w:val="single" w:sz="6" w:space="0" w:color="000000"/>
              <w:right w:val="single" w:sz="6" w:space="0" w:color="000000"/>
            </w:tcBorders>
            <w:hideMark/>
          </w:tcPr>
          <w:p w14:paraId="7B49C064"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hAnsi="Verdana" w:cs="Arial"/>
                <w:sz w:val="20"/>
                <w:szCs w:val="20"/>
              </w:rPr>
              <w:t>$978.80</w:t>
            </w:r>
          </w:p>
        </w:tc>
      </w:tr>
      <w:tr w:rsidR="00902337" w:rsidRPr="00335934" w14:paraId="7129DE6C"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7E2930" w14:textId="77777777" w:rsidR="00902337" w:rsidRPr="00335934" w:rsidRDefault="00902337" w:rsidP="00335934">
            <w:pPr>
              <w:spacing w:line="240" w:lineRule="auto"/>
              <w:rPr>
                <w:rFonts w:ascii="Verdana" w:eastAsia="Times New Roman" w:hAnsi="Verdana" w:cs="Arial"/>
                <w:sz w:val="20"/>
                <w:szCs w:val="20"/>
              </w:rPr>
            </w:pPr>
            <w:r w:rsidRPr="00335934">
              <w:rPr>
                <w:rFonts w:ascii="Verdana" w:eastAsia="Times New Roman" w:hAnsi="Verdana" w:cs="Arial"/>
                <w:b/>
                <w:bCs/>
                <w:sz w:val="20"/>
                <w:szCs w:val="20"/>
              </w:rPr>
              <w:t>b)</w:t>
            </w:r>
            <w:r w:rsidRPr="00335934">
              <w:rPr>
                <w:rFonts w:ascii="Verdana" w:eastAsia="Times New Roman" w:hAnsi="Verdana" w:cs="Arial"/>
                <w:sz w:val="20"/>
                <w:szCs w:val="20"/>
              </w:rPr>
              <w:t xml:space="preserve"> Bancas y cobertizos publicitarios</w:t>
            </w:r>
          </w:p>
        </w:tc>
        <w:tc>
          <w:tcPr>
            <w:tcW w:w="0" w:type="auto"/>
            <w:tcBorders>
              <w:top w:val="single" w:sz="6" w:space="0" w:color="000000"/>
              <w:left w:val="single" w:sz="6" w:space="0" w:color="000000"/>
              <w:bottom w:val="single" w:sz="6" w:space="0" w:color="000000"/>
              <w:right w:val="single" w:sz="6" w:space="0" w:color="000000"/>
            </w:tcBorders>
            <w:hideMark/>
          </w:tcPr>
          <w:p w14:paraId="74FEE1D0"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hAnsi="Verdana" w:cs="Arial"/>
                <w:sz w:val="20"/>
                <w:szCs w:val="20"/>
              </w:rPr>
              <w:t>$141.50</w:t>
            </w:r>
          </w:p>
        </w:tc>
      </w:tr>
    </w:tbl>
    <w:p w14:paraId="6E46CACB" w14:textId="77777777" w:rsidR="00902337" w:rsidRPr="00335934" w:rsidRDefault="00902337" w:rsidP="00335934">
      <w:pPr>
        <w:pStyle w:val="NormalWeb"/>
        <w:jc w:val="both"/>
        <w:rPr>
          <w:rFonts w:ascii="Verdana" w:hAnsi="Verdana"/>
          <w:sz w:val="20"/>
          <w:szCs w:val="20"/>
        </w:rPr>
      </w:pPr>
      <w:r w:rsidRPr="00335934">
        <w:rPr>
          <w:rFonts w:ascii="Verdana" w:hAnsi="Verdana"/>
          <w:b/>
          <w:bCs/>
          <w:sz w:val="20"/>
          <w:szCs w:val="20"/>
        </w:rPr>
        <w:t>III.</w:t>
      </w:r>
      <w:r w:rsidRPr="00335934">
        <w:rPr>
          <w:rFonts w:ascii="Verdana" w:hAnsi="Verdana"/>
          <w:sz w:val="20"/>
          <w:szCs w:val="20"/>
        </w:rPr>
        <w:t xml:space="preserve"> Permiso semestral por la colocación de cada anuncio o cartel en vehículos de servicio público urbano y suburbano  $131.03</w:t>
      </w:r>
    </w:p>
    <w:p w14:paraId="2CDECDCD" w14:textId="77777777" w:rsidR="00902337" w:rsidRPr="00335934" w:rsidRDefault="00902337" w:rsidP="00335934">
      <w:pPr>
        <w:pStyle w:val="NormalWeb"/>
        <w:jc w:val="both"/>
        <w:rPr>
          <w:rFonts w:ascii="Verdana" w:hAnsi="Verdana"/>
          <w:sz w:val="20"/>
          <w:szCs w:val="20"/>
        </w:rPr>
      </w:pPr>
      <w:r w:rsidRPr="00335934">
        <w:rPr>
          <w:rFonts w:ascii="Verdana" w:hAnsi="Verdana"/>
          <w:b/>
          <w:bCs/>
          <w:sz w:val="20"/>
          <w:szCs w:val="20"/>
        </w:rPr>
        <w:t xml:space="preserve">IV. </w:t>
      </w:r>
      <w:r w:rsidRPr="00335934">
        <w:rPr>
          <w:rFonts w:ascii="Verdana" w:hAnsi="Verdana"/>
          <w:sz w:val="20"/>
          <w:szCs w:val="20"/>
        </w:rPr>
        <w:t>Permiso por día para la difusión fonética de publicidad a través de medios electrónicos en vía pública:</w:t>
      </w:r>
    </w:p>
    <w:tbl>
      <w:tblPr>
        <w:tblW w:w="7773" w:type="dxa"/>
        <w:tblInd w:w="70" w:type="dxa"/>
        <w:tblCellMar>
          <w:left w:w="70" w:type="dxa"/>
          <w:right w:w="70" w:type="dxa"/>
        </w:tblCellMar>
        <w:tblLook w:val="04A0" w:firstRow="1" w:lastRow="0" w:firstColumn="1" w:lastColumn="0" w:noHBand="0" w:noVBand="1"/>
      </w:tblPr>
      <w:tblGrid>
        <w:gridCol w:w="6086"/>
        <w:gridCol w:w="1687"/>
      </w:tblGrid>
      <w:tr w:rsidR="00902337" w:rsidRPr="00335934" w14:paraId="5263E2D5" w14:textId="77777777" w:rsidTr="006B6132">
        <w:trPr>
          <w:trHeight w:val="120"/>
        </w:trPr>
        <w:tc>
          <w:tcPr>
            <w:tcW w:w="6086" w:type="dxa"/>
            <w:shd w:val="clear" w:color="auto" w:fill="auto"/>
            <w:vAlign w:val="center"/>
            <w:hideMark/>
          </w:tcPr>
          <w:p w14:paraId="7A89F548" w14:textId="77777777" w:rsidR="00902337" w:rsidRPr="00335934" w:rsidRDefault="00902337" w:rsidP="00335934">
            <w:pPr>
              <w:spacing w:line="240" w:lineRule="auto"/>
              <w:jc w:val="center"/>
              <w:rPr>
                <w:rFonts w:ascii="Verdana" w:hAnsi="Verdana" w:cs="Arial"/>
                <w:b/>
                <w:bCs/>
                <w:color w:val="000000"/>
                <w:sz w:val="20"/>
                <w:szCs w:val="20"/>
              </w:rPr>
            </w:pPr>
            <w:r w:rsidRPr="00335934">
              <w:rPr>
                <w:rFonts w:ascii="Verdana" w:hAnsi="Verdana" w:cs="Arial"/>
                <w:b/>
                <w:bCs/>
                <w:color w:val="000000"/>
                <w:sz w:val="20"/>
                <w:szCs w:val="20"/>
              </w:rPr>
              <w:t>Características</w:t>
            </w:r>
          </w:p>
        </w:tc>
        <w:tc>
          <w:tcPr>
            <w:tcW w:w="1687" w:type="dxa"/>
            <w:shd w:val="clear" w:color="auto" w:fill="auto"/>
            <w:vAlign w:val="center"/>
            <w:hideMark/>
          </w:tcPr>
          <w:p w14:paraId="1993B3C2" w14:textId="77777777" w:rsidR="00902337" w:rsidRPr="00335934" w:rsidRDefault="00902337" w:rsidP="00335934">
            <w:pPr>
              <w:spacing w:line="240" w:lineRule="auto"/>
              <w:rPr>
                <w:rFonts w:ascii="Verdana" w:hAnsi="Verdana" w:cs="Arial"/>
                <w:b/>
                <w:bCs/>
                <w:color w:val="000000"/>
                <w:sz w:val="20"/>
                <w:szCs w:val="20"/>
              </w:rPr>
            </w:pPr>
            <w:r w:rsidRPr="00335934">
              <w:rPr>
                <w:rFonts w:ascii="Verdana" w:hAnsi="Verdana" w:cs="Arial"/>
                <w:b/>
                <w:bCs/>
                <w:color w:val="000000"/>
                <w:sz w:val="20"/>
                <w:szCs w:val="20"/>
              </w:rPr>
              <w:t xml:space="preserve">            Cuota</w:t>
            </w:r>
          </w:p>
        </w:tc>
      </w:tr>
      <w:tr w:rsidR="00902337" w:rsidRPr="00335934" w14:paraId="0A665794" w14:textId="77777777" w:rsidTr="006B6132">
        <w:trPr>
          <w:trHeight w:val="137"/>
        </w:trPr>
        <w:tc>
          <w:tcPr>
            <w:tcW w:w="6086" w:type="dxa"/>
            <w:shd w:val="clear" w:color="auto" w:fill="auto"/>
            <w:vAlign w:val="center"/>
            <w:hideMark/>
          </w:tcPr>
          <w:p w14:paraId="5D01D88C" w14:textId="77777777" w:rsidR="00902337" w:rsidRPr="00335934" w:rsidRDefault="00902337" w:rsidP="00335934">
            <w:pPr>
              <w:spacing w:line="240" w:lineRule="auto"/>
              <w:jc w:val="center"/>
              <w:rPr>
                <w:rFonts w:ascii="Verdana" w:hAnsi="Verdana" w:cs="Arial"/>
                <w:color w:val="000000"/>
                <w:sz w:val="20"/>
                <w:szCs w:val="20"/>
              </w:rPr>
            </w:pPr>
          </w:p>
        </w:tc>
        <w:tc>
          <w:tcPr>
            <w:tcW w:w="1687" w:type="dxa"/>
            <w:shd w:val="clear" w:color="auto" w:fill="auto"/>
            <w:vAlign w:val="center"/>
            <w:hideMark/>
          </w:tcPr>
          <w:p w14:paraId="2ADD6487" w14:textId="77777777" w:rsidR="00902337" w:rsidRPr="00335934" w:rsidRDefault="00902337" w:rsidP="00335934">
            <w:pPr>
              <w:spacing w:line="240" w:lineRule="auto"/>
              <w:jc w:val="right"/>
              <w:rPr>
                <w:rFonts w:ascii="Verdana" w:hAnsi="Verdana" w:cs="Arial"/>
                <w:color w:val="000000"/>
                <w:sz w:val="20"/>
                <w:szCs w:val="20"/>
              </w:rPr>
            </w:pPr>
          </w:p>
        </w:tc>
      </w:tr>
      <w:tr w:rsidR="00902337" w:rsidRPr="00335934" w14:paraId="1C87792D" w14:textId="77777777" w:rsidTr="006B6132">
        <w:trPr>
          <w:trHeight w:val="137"/>
        </w:trPr>
        <w:tc>
          <w:tcPr>
            <w:tcW w:w="6086" w:type="dxa"/>
            <w:shd w:val="clear" w:color="auto" w:fill="auto"/>
            <w:vAlign w:val="center"/>
            <w:hideMark/>
          </w:tcPr>
          <w:p w14:paraId="133A75A7" w14:textId="77777777" w:rsidR="00902337" w:rsidRPr="00335934" w:rsidRDefault="00902337" w:rsidP="00335934">
            <w:pPr>
              <w:pStyle w:val="Prrafodelista"/>
              <w:numPr>
                <w:ilvl w:val="0"/>
                <w:numId w:val="19"/>
              </w:numPr>
              <w:rPr>
                <w:rFonts w:ascii="Verdana" w:hAnsi="Verdana" w:cs="Arial"/>
                <w:b/>
                <w:bCs/>
                <w:color w:val="000000"/>
                <w:sz w:val="20"/>
                <w:szCs w:val="20"/>
              </w:rPr>
            </w:pPr>
            <w:r w:rsidRPr="00335934">
              <w:rPr>
                <w:rFonts w:ascii="Verdana" w:hAnsi="Verdana" w:cs="Arial"/>
                <w:color w:val="000000"/>
                <w:sz w:val="20"/>
                <w:szCs w:val="20"/>
              </w:rPr>
              <w:t>Fija</w:t>
            </w:r>
          </w:p>
        </w:tc>
        <w:tc>
          <w:tcPr>
            <w:tcW w:w="1687" w:type="dxa"/>
            <w:shd w:val="clear" w:color="auto" w:fill="auto"/>
            <w:vAlign w:val="center"/>
            <w:hideMark/>
          </w:tcPr>
          <w:p w14:paraId="44C03393" w14:textId="77777777" w:rsidR="00902337" w:rsidRPr="00335934" w:rsidRDefault="00902337" w:rsidP="00335934">
            <w:pPr>
              <w:spacing w:line="240" w:lineRule="auto"/>
              <w:jc w:val="right"/>
              <w:rPr>
                <w:rFonts w:ascii="Verdana" w:hAnsi="Verdana" w:cs="Arial"/>
                <w:color w:val="000000"/>
                <w:sz w:val="20"/>
                <w:szCs w:val="20"/>
              </w:rPr>
            </w:pPr>
            <w:r w:rsidRPr="00335934">
              <w:rPr>
                <w:rFonts w:ascii="Verdana" w:hAnsi="Verdana" w:cs="Arial"/>
                <w:color w:val="000000"/>
                <w:sz w:val="20"/>
                <w:szCs w:val="20"/>
              </w:rPr>
              <w:t>$41.92</w:t>
            </w:r>
          </w:p>
        </w:tc>
      </w:tr>
      <w:tr w:rsidR="00902337" w:rsidRPr="00335934" w14:paraId="39B00F42" w14:textId="77777777" w:rsidTr="006B6132">
        <w:trPr>
          <w:trHeight w:val="137"/>
        </w:trPr>
        <w:tc>
          <w:tcPr>
            <w:tcW w:w="6086" w:type="dxa"/>
            <w:shd w:val="clear" w:color="auto" w:fill="auto"/>
            <w:vAlign w:val="center"/>
            <w:hideMark/>
          </w:tcPr>
          <w:p w14:paraId="144086F8" w14:textId="77777777" w:rsidR="00902337" w:rsidRPr="00335934" w:rsidRDefault="00902337" w:rsidP="00335934">
            <w:pPr>
              <w:pStyle w:val="Prrafodelista"/>
              <w:numPr>
                <w:ilvl w:val="0"/>
                <w:numId w:val="19"/>
              </w:numPr>
              <w:rPr>
                <w:rFonts w:ascii="Verdana" w:hAnsi="Verdana" w:cs="Arial"/>
                <w:color w:val="000000"/>
                <w:sz w:val="20"/>
                <w:szCs w:val="20"/>
              </w:rPr>
            </w:pPr>
            <w:r w:rsidRPr="00335934">
              <w:rPr>
                <w:rFonts w:ascii="Verdana" w:hAnsi="Verdana" w:cs="Arial"/>
                <w:color w:val="000000"/>
                <w:sz w:val="20"/>
                <w:szCs w:val="20"/>
              </w:rPr>
              <w:t>Móvil:</w:t>
            </w:r>
          </w:p>
          <w:p w14:paraId="0A86A6D9" w14:textId="77777777" w:rsidR="00902337" w:rsidRPr="00335934" w:rsidRDefault="00902337" w:rsidP="00335934">
            <w:pPr>
              <w:pStyle w:val="Prrafodelista"/>
              <w:rPr>
                <w:rFonts w:ascii="Verdana" w:hAnsi="Verdana" w:cs="Arial"/>
                <w:color w:val="000000"/>
                <w:sz w:val="20"/>
                <w:szCs w:val="20"/>
              </w:rPr>
            </w:pPr>
          </w:p>
          <w:p w14:paraId="6ABB82A2" w14:textId="77777777" w:rsidR="00902337" w:rsidRPr="00335934" w:rsidRDefault="00902337" w:rsidP="00335934">
            <w:pPr>
              <w:spacing w:line="240" w:lineRule="auto"/>
              <w:rPr>
                <w:rFonts w:ascii="Verdana" w:hAnsi="Verdana"/>
                <w:b/>
                <w:bCs/>
                <w:sz w:val="20"/>
                <w:szCs w:val="20"/>
              </w:rPr>
            </w:pPr>
          </w:p>
        </w:tc>
        <w:tc>
          <w:tcPr>
            <w:tcW w:w="1687" w:type="dxa"/>
            <w:shd w:val="clear" w:color="auto" w:fill="auto"/>
            <w:vAlign w:val="center"/>
            <w:hideMark/>
          </w:tcPr>
          <w:p w14:paraId="368F7CB5" w14:textId="77777777" w:rsidR="00902337" w:rsidRPr="00335934" w:rsidRDefault="00902337" w:rsidP="00335934">
            <w:pPr>
              <w:spacing w:line="240" w:lineRule="auto"/>
              <w:jc w:val="right"/>
              <w:rPr>
                <w:rFonts w:ascii="Verdana" w:hAnsi="Verdana" w:cs="Arial"/>
                <w:color w:val="000000"/>
                <w:sz w:val="20"/>
                <w:szCs w:val="20"/>
              </w:rPr>
            </w:pPr>
          </w:p>
        </w:tc>
      </w:tr>
      <w:tr w:rsidR="00902337" w:rsidRPr="00335934" w14:paraId="60B881B9" w14:textId="77777777" w:rsidTr="006B6132">
        <w:trPr>
          <w:trHeight w:val="137"/>
        </w:trPr>
        <w:tc>
          <w:tcPr>
            <w:tcW w:w="6086" w:type="dxa"/>
            <w:shd w:val="clear" w:color="auto" w:fill="auto"/>
            <w:vAlign w:val="center"/>
            <w:hideMark/>
          </w:tcPr>
          <w:p w14:paraId="32463935" w14:textId="77777777" w:rsidR="00902337" w:rsidRPr="00335934" w:rsidRDefault="00902337" w:rsidP="00335934">
            <w:pPr>
              <w:pStyle w:val="Prrafodelista"/>
              <w:rPr>
                <w:rFonts w:ascii="Verdana" w:hAnsi="Verdana" w:cs="Arial"/>
                <w:b/>
                <w:bCs/>
                <w:color w:val="000000"/>
                <w:sz w:val="20"/>
                <w:szCs w:val="20"/>
              </w:rPr>
            </w:pPr>
            <w:r w:rsidRPr="00335934">
              <w:rPr>
                <w:rFonts w:ascii="Verdana" w:hAnsi="Verdana" w:cs="Arial"/>
                <w:b/>
                <w:bCs/>
                <w:color w:val="000000"/>
                <w:sz w:val="20"/>
                <w:szCs w:val="20"/>
              </w:rPr>
              <w:t xml:space="preserve">1. </w:t>
            </w:r>
            <w:r w:rsidRPr="00335934">
              <w:rPr>
                <w:rFonts w:ascii="Verdana" w:hAnsi="Verdana" w:cs="Arial"/>
                <w:color w:val="000000"/>
                <w:sz w:val="20"/>
                <w:szCs w:val="20"/>
              </w:rPr>
              <w:t>En vehículos de motor</w:t>
            </w:r>
          </w:p>
        </w:tc>
        <w:tc>
          <w:tcPr>
            <w:tcW w:w="1687" w:type="dxa"/>
            <w:shd w:val="clear" w:color="auto" w:fill="auto"/>
            <w:vAlign w:val="center"/>
            <w:hideMark/>
          </w:tcPr>
          <w:p w14:paraId="4B0D851D" w14:textId="77777777" w:rsidR="00902337" w:rsidRPr="00335934" w:rsidRDefault="00902337" w:rsidP="00335934">
            <w:pPr>
              <w:spacing w:line="240" w:lineRule="auto"/>
              <w:jc w:val="right"/>
              <w:rPr>
                <w:rFonts w:ascii="Verdana" w:hAnsi="Verdana" w:cs="Arial"/>
                <w:color w:val="000000"/>
                <w:sz w:val="20"/>
                <w:szCs w:val="20"/>
              </w:rPr>
            </w:pPr>
            <w:r w:rsidRPr="00335934">
              <w:rPr>
                <w:rFonts w:ascii="Verdana" w:hAnsi="Verdana" w:cs="Arial"/>
                <w:color w:val="000000"/>
                <w:sz w:val="20"/>
                <w:szCs w:val="20"/>
              </w:rPr>
              <w:t>$104.81</w:t>
            </w:r>
          </w:p>
        </w:tc>
      </w:tr>
      <w:tr w:rsidR="00902337" w:rsidRPr="00335934" w14:paraId="5FFBE803" w14:textId="77777777" w:rsidTr="006B6132">
        <w:trPr>
          <w:trHeight w:val="235"/>
        </w:trPr>
        <w:tc>
          <w:tcPr>
            <w:tcW w:w="6086" w:type="dxa"/>
            <w:shd w:val="clear" w:color="auto" w:fill="auto"/>
            <w:vAlign w:val="center"/>
            <w:hideMark/>
          </w:tcPr>
          <w:p w14:paraId="21558E65" w14:textId="77777777" w:rsidR="00902337" w:rsidRPr="00335934" w:rsidRDefault="00902337" w:rsidP="00335934">
            <w:pPr>
              <w:pStyle w:val="Prrafodelista"/>
              <w:rPr>
                <w:rFonts w:ascii="Verdana" w:hAnsi="Verdana" w:cs="Arial"/>
                <w:b/>
                <w:bCs/>
                <w:color w:val="000000"/>
                <w:sz w:val="20"/>
                <w:szCs w:val="20"/>
              </w:rPr>
            </w:pPr>
            <w:r w:rsidRPr="00335934">
              <w:rPr>
                <w:rFonts w:ascii="Verdana" w:hAnsi="Verdana" w:cs="Arial"/>
                <w:b/>
                <w:bCs/>
                <w:color w:val="000000"/>
                <w:sz w:val="20"/>
                <w:szCs w:val="20"/>
              </w:rPr>
              <w:t xml:space="preserve">2. </w:t>
            </w:r>
            <w:r w:rsidRPr="00335934">
              <w:rPr>
                <w:rFonts w:ascii="Verdana" w:hAnsi="Verdana" w:cs="Arial"/>
                <w:color w:val="000000"/>
                <w:sz w:val="20"/>
                <w:szCs w:val="20"/>
              </w:rPr>
              <w:t>En cualquier otro medio móvil</w:t>
            </w:r>
          </w:p>
        </w:tc>
        <w:tc>
          <w:tcPr>
            <w:tcW w:w="1687" w:type="dxa"/>
            <w:shd w:val="clear" w:color="auto" w:fill="auto"/>
            <w:vAlign w:val="center"/>
          </w:tcPr>
          <w:p w14:paraId="6A4479A7" w14:textId="77777777" w:rsidR="00902337" w:rsidRPr="00335934" w:rsidRDefault="00902337" w:rsidP="00335934">
            <w:pPr>
              <w:spacing w:line="240" w:lineRule="auto"/>
              <w:jc w:val="center"/>
              <w:rPr>
                <w:rFonts w:ascii="Verdana" w:hAnsi="Verdana" w:cs="Arial"/>
                <w:color w:val="000000"/>
                <w:sz w:val="20"/>
                <w:szCs w:val="20"/>
              </w:rPr>
            </w:pPr>
            <w:r w:rsidRPr="00335934">
              <w:rPr>
                <w:rFonts w:ascii="Verdana" w:hAnsi="Verdana" w:cs="Arial"/>
                <w:color w:val="000000"/>
                <w:sz w:val="20"/>
                <w:szCs w:val="20"/>
              </w:rPr>
              <w:t xml:space="preserve">            $ 9.96</w:t>
            </w:r>
          </w:p>
        </w:tc>
      </w:tr>
      <w:tr w:rsidR="00902337" w:rsidRPr="00335934" w14:paraId="35AD5939" w14:textId="77777777" w:rsidTr="006B6132">
        <w:trPr>
          <w:trHeight w:val="235"/>
        </w:trPr>
        <w:tc>
          <w:tcPr>
            <w:tcW w:w="6086" w:type="dxa"/>
            <w:shd w:val="clear" w:color="auto" w:fill="auto"/>
            <w:vAlign w:val="center"/>
          </w:tcPr>
          <w:p w14:paraId="5E00ADF4" w14:textId="77777777" w:rsidR="00902337" w:rsidRPr="00335934" w:rsidRDefault="00902337" w:rsidP="00335934">
            <w:pPr>
              <w:spacing w:line="240" w:lineRule="auto"/>
              <w:rPr>
                <w:rFonts w:ascii="Verdana" w:hAnsi="Verdana" w:cs="Arial"/>
                <w:b/>
                <w:bCs/>
                <w:color w:val="000000"/>
                <w:sz w:val="20"/>
                <w:szCs w:val="20"/>
              </w:rPr>
            </w:pPr>
          </w:p>
        </w:tc>
        <w:tc>
          <w:tcPr>
            <w:tcW w:w="1687" w:type="dxa"/>
            <w:shd w:val="clear" w:color="auto" w:fill="auto"/>
            <w:vAlign w:val="center"/>
          </w:tcPr>
          <w:p w14:paraId="5B1E54F0" w14:textId="77777777" w:rsidR="00902337" w:rsidRPr="00335934" w:rsidRDefault="00902337" w:rsidP="00335934">
            <w:pPr>
              <w:spacing w:line="240" w:lineRule="auto"/>
              <w:jc w:val="center"/>
              <w:rPr>
                <w:rFonts w:ascii="Verdana" w:hAnsi="Verdana" w:cs="Arial"/>
                <w:color w:val="000000"/>
                <w:sz w:val="20"/>
                <w:szCs w:val="20"/>
              </w:rPr>
            </w:pPr>
          </w:p>
        </w:tc>
      </w:tr>
    </w:tbl>
    <w:p w14:paraId="5644B7F9" w14:textId="77777777" w:rsidR="00902337" w:rsidRPr="00335934" w:rsidRDefault="00902337" w:rsidP="00335934">
      <w:pPr>
        <w:pStyle w:val="NormalWeb"/>
        <w:jc w:val="both"/>
        <w:rPr>
          <w:rFonts w:ascii="Verdana" w:hAnsi="Verdana"/>
          <w:sz w:val="20"/>
          <w:szCs w:val="20"/>
        </w:rPr>
      </w:pPr>
      <w:r w:rsidRPr="00335934">
        <w:rPr>
          <w:rFonts w:ascii="Verdana" w:hAnsi="Verdana"/>
          <w:b/>
          <w:bCs/>
          <w:sz w:val="20"/>
          <w:szCs w:val="20"/>
        </w:rPr>
        <w:t>V.</w:t>
      </w:r>
      <w:r w:rsidRPr="00335934">
        <w:rPr>
          <w:rFonts w:ascii="Verdana" w:hAnsi="Verdana"/>
          <w:sz w:val="20"/>
          <w:szCs w:val="20"/>
        </w:rPr>
        <w:t xml:space="preserve"> Permiso por la colocación de cada anuncio móvil, temporal o inflables:</w:t>
      </w:r>
    </w:p>
    <w:p w14:paraId="2552A440" w14:textId="77777777" w:rsidR="00902337" w:rsidRPr="00335934" w:rsidRDefault="00902337" w:rsidP="00335934">
      <w:pPr>
        <w:pStyle w:val="NormalWeb"/>
        <w:jc w:val="center"/>
        <w:rPr>
          <w:rFonts w:ascii="Verdana" w:hAnsi="Verdana"/>
          <w:b/>
          <w:bCs/>
          <w:sz w:val="20"/>
          <w:szCs w:val="20"/>
        </w:rPr>
      </w:pPr>
      <w:r w:rsidRPr="00335934">
        <w:rPr>
          <w:rFonts w:ascii="Verdana" w:hAnsi="Verdana"/>
          <w:b/>
          <w:bCs/>
          <w:sz w:val="20"/>
          <w:szCs w:val="20"/>
        </w:rPr>
        <w:t>Tipo</w:t>
      </w:r>
    </w:p>
    <w:tbl>
      <w:tblPr>
        <w:tblW w:w="6279"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990"/>
        <w:gridCol w:w="1289"/>
      </w:tblGrid>
      <w:tr w:rsidR="00902337" w:rsidRPr="00335934" w14:paraId="41657352" w14:textId="77777777" w:rsidTr="006B6132">
        <w:trPr>
          <w:trHeight w:val="3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73E817" w14:textId="77777777" w:rsidR="00902337" w:rsidRPr="00335934" w:rsidRDefault="00902337" w:rsidP="00335934">
            <w:pPr>
              <w:pStyle w:val="Prrafodelista"/>
              <w:numPr>
                <w:ilvl w:val="0"/>
                <w:numId w:val="26"/>
              </w:numPr>
              <w:ind w:left="441"/>
              <w:rPr>
                <w:rFonts w:ascii="Verdana" w:hAnsi="Verdana" w:cs="Arial"/>
                <w:sz w:val="20"/>
                <w:szCs w:val="20"/>
              </w:rPr>
            </w:pPr>
            <w:r w:rsidRPr="00335934">
              <w:rPr>
                <w:rFonts w:ascii="Verdana" w:hAnsi="Verdana" w:cs="Arial"/>
                <w:sz w:val="20"/>
                <w:szCs w:val="20"/>
              </w:rPr>
              <w:t>Mampara en la vía pública, por día</w:t>
            </w:r>
          </w:p>
        </w:tc>
        <w:tc>
          <w:tcPr>
            <w:tcW w:w="0" w:type="auto"/>
            <w:tcBorders>
              <w:top w:val="single" w:sz="6" w:space="0" w:color="000000"/>
              <w:left w:val="single" w:sz="6" w:space="0" w:color="000000"/>
              <w:bottom w:val="single" w:sz="6" w:space="0" w:color="000000"/>
              <w:right w:val="single" w:sz="6" w:space="0" w:color="000000"/>
            </w:tcBorders>
            <w:hideMark/>
          </w:tcPr>
          <w:p w14:paraId="6F9BA713"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hAnsi="Verdana" w:cs="Arial"/>
                <w:sz w:val="20"/>
                <w:szCs w:val="20"/>
              </w:rPr>
              <w:t>$18.48</w:t>
            </w:r>
          </w:p>
        </w:tc>
      </w:tr>
      <w:tr w:rsidR="00902337" w:rsidRPr="00335934" w14:paraId="1E1F24C0" w14:textId="77777777" w:rsidTr="006B6132">
        <w:trPr>
          <w:trHeight w:val="29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05EE86" w14:textId="77777777" w:rsidR="00902337" w:rsidRPr="00335934" w:rsidRDefault="00902337" w:rsidP="00335934">
            <w:pPr>
              <w:pStyle w:val="Prrafodelista"/>
              <w:numPr>
                <w:ilvl w:val="0"/>
                <w:numId w:val="26"/>
              </w:numPr>
              <w:ind w:left="441"/>
              <w:rPr>
                <w:rFonts w:ascii="Verdana" w:hAnsi="Verdana" w:cs="Arial"/>
                <w:sz w:val="20"/>
                <w:szCs w:val="20"/>
              </w:rPr>
            </w:pPr>
            <w:r w:rsidRPr="00335934">
              <w:rPr>
                <w:rFonts w:ascii="Verdana" w:hAnsi="Verdana" w:cs="Arial"/>
                <w:sz w:val="20"/>
                <w:szCs w:val="20"/>
              </w:rPr>
              <w:t>Tijera, por mes</w:t>
            </w:r>
          </w:p>
        </w:tc>
        <w:tc>
          <w:tcPr>
            <w:tcW w:w="0" w:type="auto"/>
            <w:tcBorders>
              <w:top w:val="single" w:sz="6" w:space="0" w:color="000000"/>
              <w:left w:val="single" w:sz="6" w:space="0" w:color="000000"/>
              <w:bottom w:val="single" w:sz="6" w:space="0" w:color="000000"/>
              <w:right w:val="single" w:sz="6" w:space="0" w:color="000000"/>
            </w:tcBorders>
            <w:hideMark/>
          </w:tcPr>
          <w:p w14:paraId="3A9C6D70"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hAnsi="Verdana" w:cs="Arial"/>
                <w:sz w:val="20"/>
                <w:szCs w:val="20"/>
              </w:rPr>
              <w:t>$62.17</w:t>
            </w:r>
          </w:p>
        </w:tc>
      </w:tr>
      <w:tr w:rsidR="00902337" w:rsidRPr="00335934" w14:paraId="4CF09F98" w14:textId="77777777" w:rsidTr="006B6132">
        <w:trPr>
          <w:trHeight w:val="3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D1A308" w14:textId="77777777" w:rsidR="00902337" w:rsidRPr="00335934" w:rsidRDefault="00902337" w:rsidP="00335934">
            <w:pPr>
              <w:pStyle w:val="Prrafodelista"/>
              <w:numPr>
                <w:ilvl w:val="0"/>
                <w:numId w:val="26"/>
              </w:numPr>
              <w:ind w:left="441"/>
              <w:rPr>
                <w:rFonts w:ascii="Verdana" w:hAnsi="Verdana" w:cs="Arial"/>
                <w:sz w:val="20"/>
                <w:szCs w:val="20"/>
              </w:rPr>
            </w:pPr>
            <w:r w:rsidRPr="00335934">
              <w:rPr>
                <w:rFonts w:ascii="Verdana" w:hAnsi="Verdana" w:cs="Arial"/>
                <w:sz w:val="20"/>
                <w:szCs w:val="20"/>
              </w:rPr>
              <w:t>Comercios ambulantes, por mes</w:t>
            </w:r>
          </w:p>
        </w:tc>
        <w:tc>
          <w:tcPr>
            <w:tcW w:w="0" w:type="auto"/>
            <w:tcBorders>
              <w:top w:val="single" w:sz="6" w:space="0" w:color="000000"/>
              <w:left w:val="single" w:sz="6" w:space="0" w:color="000000"/>
              <w:bottom w:val="single" w:sz="6" w:space="0" w:color="000000"/>
              <w:right w:val="single" w:sz="6" w:space="0" w:color="000000"/>
            </w:tcBorders>
            <w:hideMark/>
          </w:tcPr>
          <w:p w14:paraId="2468361C"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hAnsi="Verdana" w:cs="Arial"/>
                <w:sz w:val="20"/>
                <w:szCs w:val="20"/>
              </w:rPr>
              <w:t>$100.83</w:t>
            </w:r>
          </w:p>
        </w:tc>
      </w:tr>
      <w:tr w:rsidR="00902337" w:rsidRPr="00335934" w14:paraId="55BC5979" w14:textId="77777777" w:rsidTr="006B6132">
        <w:trPr>
          <w:trHeight w:val="3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2778BD" w14:textId="77777777" w:rsidR="00902337" w:rsidRPr="00335934" w:rsidRDefault="00902337" w:rsidP="00335934">
            <w:pPr>
              <w:pStyle w:val="Prrafodelista"/>
              <w:numPr>
                <w:ilvl w:val="0"/>
                <w:numId w:val="26"/>
              </w:numPr>
              <w:ind w:left="441"/>
              <w:rPr>
                <w:rFonts w:ascii="Verdana" w:hAnsi="Verdana" w:cs="Arial"/>
                <w:sz w:val="20"/>
                <w:szCs w:val="20"/>
              </w:rPr>
            </w:pPr>
            <w:r w:rsidRPr="00335934">
              <w:rPr>
                <w:rFonts w:ascii="Verdana" w:hAnsi="Verdana" w:cs="Arial"/>
                <w:sz w:val="20"/>
                <w:szCs w:val="20"/>
              </w:rPr>
              <w:t>Mantas, por mes</w:t>
            </w:r>
          </w:p>
        </w:tc>
        <w:tc>
          <w:tcPr>
            <w:tcW w:w="0" w:type="auto"/>
            <w:tcBorders>
              <w:top w:val="single" w:sz="6" w:space="0" w:color="000000"/>
              <w:left w:val="single" w:sz="6" w:space="0" w:color="000000"/>
              <w:bottom w:val="single" w:sz="6" w:space="0" w:color="000000"/>
              <w:right w:val="single" w:sz="6" w:space="0" w:color="000000"/>
            </w:tcBorders>
            <w:hideMark/>
          </w:tcPr>
          <w:p w14:paraId="734FC16D"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hAnsi="Verdana" w:cs="Arial"/>
                <w:sz w:val="20"/>
                <w:szCs w:val="20"/>
              </w:rPr>
              <w:t>$20.16</w:t>
            </w:r>
          </w:p>
        </w:tc>
      </w:tr>
      <w:tr w:rsidR="00902337" w:rsidRPr="00335934" w14:paraId="0B0726F7" w14:textId="77777777" w:rsidTr="006B6132">
        <w:trPr>
          <w:trHeight w:val="3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C15FEF" w14:textId="77777777" w:rsidR="00902337" w:rsidRPr="00335934" w:rsidRDefault="00902337" w:rsidP="00335934">
            <w:pPr>
              <w:pStyle w:val="Prrafodelista"/>
              <w:numPr>
                <w:ilvl w:val="0"/>
                <w:numId w:val="26"/>
              </w:numPr>
              <w:ind w:left="441"/>
              <w:rPr>
                <w:rFonts w:ascii="Verdana" w:hAnsi="Verdana" w:cs="Arial"/>
                <w:sz w:val="20"/>
                <w:szCs w:val="20"/>
              </w:rPr>
            </w:pPr>
            <w:r w:rsidRPr="00335934">
              <w:rPr>
                <w:rFonts w:ascii="Verdana" w:hAnsi="Verdana" w:cs="Arial"/>
                <w:sz w:val="20"/>
                <w:szCs w:val="20"/>
              </w:rPr>
              <w:t>Inflables, por día</w:t>
            </w:r>
          </w:p>
        </w:tc>
        <w:tc>
          <w:tcPr>
            <w:tcW w:w="0" w:type="auto"/>
            <w:tcBorders>
              <w:top w:val="single" w:sz="6" w:space="0" w:color="000000"/>
              <w:left w:val="single" w:sz="6" w:space="0" w:color="000000"/>
              <w:bottom w:val="single" w:sz="6" w:space="0" w:color="000000"/>
              <w:right w:val="single" w:sz="6" w:space="0" w:color="000000"/>
            </w:tcBorders>
            <w:hideMark/>
          </w:tcPr>
          <w:p w14:paraId="568A19A8" w14:textId="77777777" w:rsidR="00902337" w:rsidRPr="00335934" w:rsidRDefault="00902337" w:rsidP="00335934">
            <w:pPr>
              <w:spacing w:line="240" w:lineRule="auto"/>
              <w:jc w:val="right"/>
              <w:rPr>
                <w:rFonts w:ascii="Verdana" w:eastAsia="Times New Roman" w:hAnsi="Verdana" w:cs="Arial"/>
                <w:sz w:val="20"/>
                <w:szCs w:val="20"/>
              </w:rPr>
            </w:pPr>
            <w:r w:rsidRPr="00335934">
              <w:rPr>
                <w:rFonts w:ascii="Verdana" w:hAnsi="Verdana" w:cs="Arial"/>
                <w:sz w:val="20"/>
                <w:szCs w:val="20"/>
              </w:rPr>
              <w:t>$82.37</w:t>
            </w:r>
          </w:p>
        </w:tc>
      </w:tr>
    </w:tbl>
    <w:p w14:paraId="2C6E788B" w14:textId="77777777" w:rsidR="00902337" w:rsidRPr="00335934" w:rsidRDefault="00902337" w:rsidP="00335934">
      <w:pPr>
        <w:pStyle w:val="NormalWeb"/>
        <w:spacing w:after="0" w:afterAutospacing="0"/>
        <w:jc w:val="both"/>
        <w:rPr>
          <w:rFonts w:ascii="Verdana" w:hAnsi="Verdana"/>
          <w:sz w:val="20"/>
          <w:szCs w:val="20"/>
        </w:rPr>
      </w:pPr>
      <w:r w:rsidRPr="00335934">
        <w:rPr>
          <w:rFonts w:ascii="Verdana" w:hAnsi="Verdana"/>
          <w:sz w:val="20"/>
          <w:szCs w:val="20"/>
        </w:rPr>
        <w:tab/>
        <w:t>El otorgamiento del permiso incluye trabajos de supervisión y revisión del proyecto de ubicación y estructura del anuncio.</w:t>
      </w:r>
    </w:p>
    <w:p w14:paraId="7E230AC0" w14:textId="77777777" w:rsidR="00335934" w:rsidRDefault="00335934" w:rsidP="00335934">
      <w:pPr>
        <w:spacing w:line="240" w:lineRule="auto"/>
        <w:jc w:val="center"/>
        <w:rPr>
          <w:rStyle w:val="Textoennegrita"/>
          <w:rFonts w:ascii="Verdana" w:hAnsi="Verdana" w:cs="Arial"/>
          <w:sz w:val="20"/>
          <w:szCs w:val="20"/>
        </w:rPr>
      </w:pPr>
    </w:p>
    <w:p w14:paraId="251349C9" w14:textId="52400C41" w:rsidR="00902337" w:rsidRPr="00335934" w:rsidRDefault="00902337" w:rsidP="00335934">
      <w:pPr>
        <w:pStyle w:val="Sinespaciado"/>
        <w:jc w:val="center"/>
        <w:rPr>
          <w:rStyle w:val="Textoennegrita"/>
          <w:rFonts w:ascii="Verdana" w:hAnsi="Verdana" w:cs="Arial"/>
          <w:sz w:val="20"/>
          <w:szCs w:val="20"/>
        </w:rPr>
      </w:pPr>
      <w:r w:rsidRPr="00335934">
        <w:rPr>
          <w:rStyle w:val="Textoennegrita"/>
          <w:rFonts w:ascii="Verdana" w:hAnsi="Verdana" w:cs="Arial"/>
          <w:sz w:val="20"/>
          <w:szCs w:val="20"/>
        </w:rPr>
        <w:t>SECCIÓN UNDÉCIMA</w:t>
      </w:r>
      <w:r w:rsidRPr="00335934">
        <w:br/>
      </w:r>
      <w:r w:rsidRPr="00335934">
        <w:rPr>
          <w:rStyle w:val="Textoennegrita"/>
          <w:rFonts w:ascii="Verdana" w:hAnsi="Verdana" w:cs="Arial"/>
          <w:sz w:val="20"/>
          <w:szCs w:val="20"/>
        </w:rPr>
        <w:t>EXPEDICIÓN DE CERTIFICADOS, CERTIFICACIONES,</w:t>
      </w:r>
    </w:p>
    <w:p w14:paraId="70025CF6" w14:textId="77777777" w:rsidR="00902337" w:rsidRPr="00335934" w:rsidRDefault="00902337" w:rsidP="00335934">
      <w:pPr>
        <w:pStyle w:val="Sinespaciado"/>
        <w:jc w:val="center"/>
      </w:pPr>
      <w:r w:rsidRPr="00335934">
        <w:rPr>
          <w:rStyle w:val="Textoennegrita"/>
          <w:rFonts w:ascii="Verdana" w:hAnsi="Verdana" w:cs="Arial"/>
          <w:sz w:val="20"/>
          <w:szCs w:val="20"/>
        </w:rPr>
        <w:t>CONSTANCIAS Y CARTAS</w:t>
      </w:r>
    </w:p>
    <w:p w14:paraId="25B54B5F" w14:textId="77777777" w:rsidR="00902337" w:rsidRPr="00335934" w:rsidRDefault="00902337" w:rsidP="00335934">
      <w:pPr>
        <w:pStyle w:val="NormalWeb"/>
        <w:jc w:val="both"/>
        <w:rPr>
          <w:rFonts w:ascii="Verdana" w:hAnsi="Verdana"/>
          <w:sz w:val="20"/>
          <w:szCs w:val="20"/>
        </w:rPr>
      </w:pPr>
      <w:r w:rsidRPr="00335934">
        <w:rPr>
          <w:rStyle w:val="Textoennegrita"/>
          <w:rFonts w:ascii="Verdana" w:hAnsi="Verdana"/>
          <w:sz w:val="20"/>
          <w:szCs w:val="20"/>
        </w:rPr>
        <w:tab/>
        <w:t>Artículo 23</w:t>
      </w:r>
      <w:r w:rsidRPr="00335934">
        <w:rPr>
          <w:rFonts w:ascii="Verdana" w:hAnsi="Verdana"/>
          <w:sz w:val="20"/>
          <w:szCs w:val="20"/>
        </w:rPr>
        <w:t>. </w:t>
      </w:r>
      <w:r w:rsidRPr="00335934">
        <w:rPr>
          <w:rFonts w:ascii="Verdana" w:hAnsi="Verdana"/>
          <w:b/>
          <w:bCs/>
          <w:sz w:val="20"/>
          <w:szCs w:val="20"/>
        </w:rPr>
        <w:t> </w:t>
      </w:r>
      <w:r w:rsidRPr="00335934">
        <w:rPr>
          <w:rFonts w:ascii="Verdana" w:hAnsi="Verdana"/>
          <w:sz w:val="20"/>
          <w:szCs w:val="20"/>
        </w:rPr>
        <w:t>Los derechos por expedición de certificados, certificaciones, constancias y cartas generarán el cobro de conformidad con la siguiente:</w:t>
      </w:r>
    </w:p>
    <w:p w14:paraId="371934AF" w14:textId="77777777" w:rsidR="00902337" w:rsidRPr="00335934" w:rsidRDefault="00902337" w:rsidP="00335934">
      <w:pPr>
        <w:pStyle w:val="NormalWeb"/>
        <w:jc w:val="center"/>
        <w:rPr>
          <w:rFonts w:ascii="Verdana" w:hAnsi="Verdana"/>
          <w:sz w:val="20"/>
          <w:szCs w:val="20"/>
        </w:rPr>
      </w:pPr>
      <w:r w:rsidRPr="00335934">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902337" w:rsidRPr="00335934" w14:paraId="278F9DF4"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06E7C0" w14:textId="77777777" w:rsidR="00902337" w:rsidRPr="00335934" w:rsidRDefault="00902337" w:rsidP="00335934">
            <w:pPr>
              <w:pStyle w:val="Prrafodelista"/>
              <w:numPr>
                <w:ilvl w:val="0"/>
                <w:numId w:val="27"/>
              </w:numPr>
              <w:ind w:left="441"/>
              <w:rPr>
                <w:rFonts w:ascii="Verdana" w:hAnsi="Verdana" w:cs="Arial"/>
                <w:sz w:val="20"/>
                <w:szCs w:val="20"/>
              </w:rPr>
            </w:pPr>
            <w:r w:rsidRPr="00335934">
              <w:rPr>
                <w:rFonts w:ascii="Verdana" w:hAnsi="Verdana" w:cs="Arial"/>
                <w:sz w:val="20"/>
                <w:szCs w:val="20"/>
              </w:rPr>
              <w:t>Certificados de valor fiscal de la propiedad raíz</w:t>
            </w:r>
          </w:p>
        </w:tc>
        <w:tc>
          <w:tcPr>
            <w:tcW w:w="0" w:type="auto"/>
            <w:tcBorders>
              <w:top w:val="single" w:sz="6" w:space="0" w:color="000000"/>
              <w:left w:val="single" w:sz="6" w:space="0" w:color="000000"/>
              <w:bottom w:val="single" w:sz="6" w:space="0" w:color="000000"/>
              <w:right w:val="single" w:sz="6" w:space="0" w:color="000000"/>
            </w:tcBorders>
            <w:hideMark/>
          </w:tcPr>
          <w:p w14:paraId="6CF5AA35" w14:textId="77777777" w:rsidR="00902337" w:rsidRPr="00335934" w:rsidRDefault="00902337" w:rsidP="00335934">
            <w:pPr>
              <w:spacing w:line="240" w:lineRule="auto"/>
              <w:jc w:val="right"/>
              <w:rPr>
                <w:rFonts w:ascii="Verdana" w:hAnsi="Verdana" w:cs="Arial"/>
                <w:sz w:val="20"/>
                <w:szCs w:val="20"/>
              </w:rPr>
            </w:pPr>
            <w:r w:rsidRPr="00335934">
              <w:rPr>
                <w:rFonts w:ascii="Verdana" w:hAnsi="Verdana" w:cs="Arial"/>
                <w:sz w:val="20"/>
                <w:szCs w:val="20"/>
              </w:rPr>
              <w:t>$104.81</w:t>
            </w:r>
          </w:p>
        </w:tc>
      </w:tr>
      <w:tr w:rsidR="00902337" w:rsidRPr="00335934" w14:paraId="13103AB2"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AB664B" w14:textId="77777777" w:rsidR="00902337" w:rsidRPr="00335934" w:rsidRDefault="00902337" w:rsidP="00335934">
            <w:pPr>
              <w:pStyle w:val="Prrafodelista"/>
              <w:numPr>
                <w:ilvl w:val="0"/>
                <w:numId w:val="27"/>
              </w:numPr>
              <w:ind w:left="441"/>
              <w:rPr>
                <w:rFonts w:ascii="Verdana" w:hAnsi="Verdana" w:cs="Arial"/>
                <w:sz w:val="20"/>
                <w:szCs w:val="20"/>
              </w:rPr>
            </w:pPr>
            <w:r w:rsidRPr="00335934">
              <w:rPr>
                <w:rFonts w:ascii="Verdana" w:hAnsi="Verdana" w:cs="Arial"/>
                <w:sz w:val="20"/>
                <w:szCs w:val="20"/>
              </w:rPr>
              <w:t>Certificados de estado de cuenta de no adeudo por concepto de impuestos, derechos y aprovechamientos.</w:t>
            </w:r>
          </w:p>
        </w:tc>
        <w:tc>
          <w:tcPr>
            <w:tcW w:w="0" w:type="auto"/>
            <w:tcBorders>
              <w:top w:val="single" w:sz="6" w:space="0" w:color="000000"/>
              <w:left w:val="single" w:sz="6" w:space="0" w:color="000000"/>
              <w:bottom w:val="single" w:sz="6" w:space="0" w:color="000000"/>
              <w:right w:val="single" w:sz="6" w:space="0" w:color="000000"/>
            </w:tcBorders>
            <w:hideMark/>
          </w:tcPr>
          <w:p w14:paraId="09801E1F" w14:textId="77777777" w:rsidR="00902337" w:rsidRPr="00335934" w:rsidRDefault="00902337" w:rsidP="00335934">
            <w:pPr>
              <w:spacing w:line="240" w:lineRule="auto"/>
              <w:jc w:val="right"/>
              <w:rPr>
                <w:rFonts w:ascii="Verdana" w:hAnsi="Verdana" w:cs="Arial"/>
                <w:sz w:val="20"/>
                <w:szCs w:val="20"/>
              </w:rPr>
            </w:pPr>
            <w:r w:rsidRPr="00335934">
              <w:rPr>
                <w:rFonts w:ascii="Verdana" w:hAnsi="Verdana" w:cs="Arial"/>
                <w:sz w:val="20"/>
                <w:szCs w:val="20"/>
              </w:rPr>
              <w:t>$104.81</w:t>
            </w:r>
          </w:p>
        </w:tc>
      </w:tr>
      <w:tr w:rsidR="00902337" w:rsidRPr="00335934" w14:paraId="4630326B"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A87150" w14:textId="77777777" w:rsidR="00902337" w:rsidRPr="00335934" w:rsidRDefault="00902337" w:rsidP="00335934">
            <w:pPr>
              <w:pStyle w:val="Prrafodelista"/>
              <w:numPr>
                <w:ilvl w:val="0"/>
                <w:numId w:val="27"/>
              </w:numPr>
              <w:ind w:left="441"/>
              <w:rPr>
                <w:rFonts w:ascii="Verdana" w:hAnsi="Verdana" w:cs="Arial"/>
                <w:sz w:val="20"/>
                <w:szCs w:val="20"/>
              </w:rPr>
            </w:pPr>
            <w:r w:rsidRPr="00335934">
              <w:rPr>
                <w:rFonts w:ascii="Verdana" w:hAnsi="Verdana" w:cs="Arial"/>
                <w:sz w:val="20"/>
                <w:szCs w:val="20"/>
              </w:rPr>
              <w:t>Por constancias que expidan las dependencias y entidades de la Administración Pública Municipal.</w:t>
            </w:r>
          </w:p>
        </w:tc>
        <w:tc>
          <w:tcPr>
            <w:tcW w:w="0" w:type="auto"/>
            <w:tcBorders>
              <w:top w:val="single" w:sz="6" w:space="0" w:color="000000"/>
              <w:left w:val="single" w:sz="6" w:space="0" w:color="000000"/>
              <w:bottom w:val="single" w:sz="6" w:space="0" w:color="000000"/>
              <w:right w:val="single" w:sz="6" w:space="0" w:color="000000"/>
            </w:tcBorders>
            <w:hideMark/>
          </w:tcPr>
          <w:p w14:paraId="0910022D" w14:textId="77777777" w:rsidR="00902337" w:rsidRPr="00335934" w:rsidRDefault="00902337" w:rsidP="00335934">
            <w:pPr>
              <w:spacing w:line="240" w:lineRule="auto"/>
              <w:jc w:val="right"/>
              <w:rPr>
                <w:rFonts w:ascii="Verdana" w:hAnsi="Verdana" w:cs="Arial"/>
                <w:sz w:val="20"/>
                <w:szCs w:val="20"/>
              </w:rPr>
            </w:pPr>
            <w:r w:rsidRPr="00335934">
              <w:rPr>
                <w:rFonts w:ascii="Verdana" w:hAnsi="Verdana" w:cs="Arial"/>
                <w:sz w:val="20"/>
                <w:szCs w:val="20"/>
              </w:rPr>
              <w:t>$23.90</w:t>
            </w:r>
          </w:p>
        </w:tc>
      </w:tr>
      <w:tr w:rsidR="00902337" w:rsidRPr="00335934" w14:paraId="7C7F8090"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0B03F2" w14:textId="77777777" w:rsidR="00902337" w:rsidRPr="00335934" w:rsidRDefault="00902337" w:rsidP="00335934">
            <w:pPr>
              <w:pStyle w:val="Prrafodelista"/>
              <w:numPr>
                <w:ilvl w:val="0"/>
                <w:numId w:val="27"/>
              </w:numPr>
              <w:ind w:left="441"/>
              <w:rPr>
                <w:rFonts w:ascii="Verdana" w:hAnsi="Verdana" w:cs="Arial"/>
                <w:sz w:val="20"/>
                <w:szCs w:val="20"/>
              </w:rPr>
            </w:pPr>
            <w:r w:rsidRPr="00335934">
              <w:rPr>
                <w:rFonts w:ascii="Verdana" w:hAnsi="Verdana" w:cs="Arial"/>
                <w:sz w:val="20"/>
                <w:szCs w:val="20"/>
              </w:rPr>
              <w:t>Por las certificaciones que expida el Secretario del Ayuntamiento</w:t>
            </w:r>
          </w:p>
        </w:tc>
        <w:tc>
          <w:tcPr>
            <w:tcW w:w="0" w:type="auto"/>
            <w:tcBorders>
              <w:top w:val="single" w:sz="6" w:space="0" w:color="000000"/>
              <w:left w:val="single" w:sz="6" w:space="0" w:color="000000"/>
              <w:bottom w:val="single" w:sz="6" w:space="0" w:color="000000"/>
              <w:right w:val="single" w:sz="6" w:space="0" w:color="000000"/>
            </w:tcBorders>
            <w:hideMark/>
          </w:tcPr>
          <w:p w14:paraId="3BA322EC" w14:textId="77777777" w:rsidR="00902337" w:rsidRPr="00335934" w:rsidRDefault="00902337" w:rsidP="00335934">
            <w:pPr>
              <w:spacing w:line="240" w:lineRule="auto"/>
              <w:jc w:val="right"/>
              <w:rPr>
                <w:rFonts w:ascii="Verdana" w:hAnsi="Verdana" w:cs="Arial"/>
                <w:sz w:val="20"/>
                <w:szCs w:val="20"/>
              </w:rPr>
            </w:pPr>
            <w:r w:rsidRPr="00335934">
              <w:rPr>
                <w:rFonts w:ascii="Verdana" w:hAnsi="Verdana" w:cs="Arial"/>
                <w:sz w:val="20"/>
                <w:szCs w:val="20"/>
              </w:rPr>
              <w:t>$23.90</w:t>
            </w:r>
          </w:p>
        </w:tc>
      </w:tr>
      <w:tr w:rsidR="00902337" w:rsidRPr="00335934" w14:paraId="61E6AD50"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74036E" w14:textId="77777777" w:rsidR="00902337" w:rsidRPr="00335934" w:rsidRDefault="00902337" w:rsidP="00335934">
            <w:pPr>
              <w:pStyle w:val="Prrafodelista"/>
              <w:numPr>
                <w:ilvl w:val="0"/>
                <w:numId w:val="27"/>
              </w:numPr>
              <w:ind w:left="441"/>
              <w:rPr>
                <w:rFonts w:ascii="Verdana" w:hAnsi="Verdana" w:cs="Arial"/>
                <w:sz w:val="20"/>
                <w:szCs w:val="20"/>
              </w:rPr>
            </w:pPr>
            <w:r w:rsidRPr="00335934">
              <w:rPr>
                <w:rFonts w:ascii="Verdana" w:hAnsi="Verdana" w:cs="Arial"/>
                <w:sz w:val="20"/>
                <w:szCs w:val="20"/>
              </w:rPr>
              <w:t>Constancia de no inscripción en los registros de los padrones de contribuyentes inmobiliarios</w:t>
            </w:r>
          </w:p>
        </w:tc>
        <w:tc>
          <w:tcPr>
            <w:tcW w:w="0" w:type="auto"/>
            <w:tcBorders>
              <w:top w:val="single" w:sz="6" w:space="0" w:color="000000"/>
              <w:left w:val="single" w:sz="6" w:space="0" w:color="000000"/>
              <w:bottom w:val="single" w:sz="6" w:space="0" w:color="000000"/>
              <w:right w:val="single" w:sz="6" w:space="0" w:color="000000"/>
            </w:tcBorders>
            <w:hideMark/>
          </w:tcPr>
          <w:p w14:paraId="77B47B2F" w14:textId="77777777" w:rsidR="00902337" w:rsidRPr="00335934" w:rsidRDefault="00902337" w:rsidP="00335934">
            <w:pPr>
              <w:spacing w:line="240" w:lineRule="auto"/>
              <w:jc w:val="right"/>
              <w:rPr>
                <w:rFonts w:ascii="Verdana" w:hAnsi="Verdana" w:cs="Arial"/>
                <w:sz w:val="20"/>
                <w:szCs w:val="20"/>
              </w:rPr>
            </w:pPr>
            <w:r w:rsidRPr="00335934">
              <w:rPr>
                <w:rFonts w:ascii="Verdana" w:hAnsi="Verdana" w:cs="Arial"/>
                <w:sz w:val="20"/>
                <w:szCs w:val="20"/>
              </w:rPr>
              <w:t>$23.90</w:t>
            </w:r>
          </w:p>
        </w:tc>
      </w:tr>
      <w:tr w:rsidR="00902337" w:rsidRPr="00335934" w14:paraId="7FB5F7B0"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93BDFC" w14:textId="77777777" w:rsidR="00902337" w:rsidRPr="00335934" w:rsidRDefault="00902337" w:rsidP="00335934">
            <w:pPr>
              <w:pStyle w:val="Prrafodelista"/>
              <w:numPr>
                <w:ilvl w:val="0"/>
                <w:numId w:val="27"/>
              </w:numPr>
              <w:ind w:left="441"/>
              <w:rPr>
                <w:rFonts w:ascii="Verdana" w:hAnsi="Verdana" w:cs="Arial"/>
                <w:sz w:val="20"/>
                <w:szCs w:val="20"/>
              </w:rPr>
            </w:pPr>
            <w:r w:rsidRPr="00335934">
              <w:rPr>
                <w:rFonts w:ascii="Verdana" w:hAnsi="Verdana" w:cs="Arial"/>
                <w:sz w:val="20"/>
                <w:szCs w:val="20"/>
              </w:rPr>
              <w:lastRenderedPageBreak/>
              <w:t>Constancias por verificación de domicilio</w:t>
            </w:r>
          </w:p>
        </w:tc>
        <w:tc>
          <w:tcPr>
            <w:tcW w:w="0" w:type="auto"/>
            <w:tcBorders>
              <w:top w:val="single" w:sz="6" w:space="0" w:color="000000"/>
              <w:left w:val="single" w:sz="6" w:space="0" w:color="000000"/>
              <w:bottom w:val="single" w:sz="6" w:space="0" w:color="000000"/>
              <w:right w:val="single" w:sz="6" w:space="0" w:color="000000"/>
            </w:tcBorders>
            <w:hideMark/>
          </w:tcPr>
          <w:p w14:paraId="63EC6A46" w14:textId="77777777" w:rsidR="00902337" w:rsidRPr="00335934" w:rsidRDefault="00902337" w:rsidP="00335934">
            <w:pPr>
              <w:spacing w:line="240" w:lineRule="auto"/>
              <w:jc w:val="right"/>
              <w:rPr>
                <w:rFonts w:ascii="Verdana" w:hAnsi="Verdana" w:cs="Arial"/>
                <w:sz w:val="20"/>
                <w:szCs w:val="20"/>
              </w:rPr>
            </w:pPr>
            <w:r w:rsidRPr="00335934">
              <w:rPr>
                <w:rFonts w:ascii="Verdana" w:hAnsi="Verdana" w:cs="Arial"/>
                <w:sz w:val="20"/>
                <w:szCs w:val="20"/>
              </w:rPr>
              <w:t>$23.90</w:t>
            </w:r>
          </w:p>
        </w:tc>
      </w:tr>
      <w:tr w:rsidR="00902337" w:rsidRPr="00335934" w14:paraId="715E9445"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EC093C" w14:textId="77777777" w:rsidR="00902337" w:rsidRPr="00335934" w:rsidRDefault="00902337" w:rsidP="00335934">
            <w:pPr>
              <w:pStyle w:val="Prrafodelista"/>
              <w:numPr>
                <w:ilvl w:val="0"/>
                <w:numId w:val="27"/>
              </w:numPr>
              <w:ind w:left="441"/>
              <w:rPr>
                <w:rFonts w:ascii="Verdana" w:hAnsi="Verdana" w:cs="Arial"/>
                <w:sz w:val="20"/>
                <w:szCs w:val="20"/>
              </w:rPr>
            </w:pPr>
            <w:r w:rsidRPr="00335934">
              <w:rPr>
                <w:rFonts w:ascii="Verdana" w:hAnsi="Verdana" w:cs="Arial"/>
                <w:sz w:val="20"/>
                <w:szCs w:val="20"/>
              </w:rPr>
              <w:t>Carta de origen</w:t>
            </w:r>
          </w:p>
        </w:tc>
        <w:tc>
          <w:tcPr>
            <w:tcW w:w="0" w:type="auto"/>
            <w:tcBorders>
              <w:top w:val="single" w:sz="6" w:space="0" w:color="000000"/>
              <w:left w:val="single" w:sz="6" w:space="0" w:color="000000"/>
              <w:bottom w:val="single" w:sz="6" w:space="0" w:color="000000"/>
              <w:right w:val="single" w:sz="6" w:space="0" w:color="000000"/>
            </w:tcBorders>
            <w:hideMark/>
          </w:tcPr>
          <w:p w14:paraId="342B04A9" w14:textId="77777777" w:rsidR="00902337" w:rsidRPr="00335934" w:rsidRDefault="00902337" w:rsidP="00335934">
            <w:pPr>
              <w:spacing w:line="240" w:lineRule="auto"/>
              <w:jc w:val="right"/>
              <w:rPr>
                <w:rFonts w:ascii="Verdana" w:hAnsi="Verdana" w:cs="Arial"/>
                <w:sz w:val="20"/>
                <w:szCs w:val="20"/>
              </w:rPr>
            </w:pPr>
            <w:r w:rsidRPr="00335934">
              <w:rPr>
                <w:rFonts w:ascii="Verdana" w:hAnsi="Verdana" w:cs="Arial"/>
                <w:sz w:val="20"/>
                <w:szCs w:val="20"/>
              </w:rPr>
              <w:t>$23.90</w:t>
            </w:r>
          </w:p>
        </w:tc>
      </w:tr>
    </w:tbl>
    <w:p w14:paraId="546B19D8" w14:textId="77777777" w:rsidR="00902337" w:rsidRPr="00335934" w:rsidRDefault="00902337" w:rsidP="00335934">
      <w:pPr>
        <w:spacing w:line="240" w:lineRule="auto"/>
        <w:jc w:val="both"/>
        <w:rPr>
          <w:rFonts w:ascii="Verdana" w:eastAsia="Times New Roman" w:hAnsi="Verdana" w:cs="Arial"/>
          <w:sz w:val="20"/>
          <w:szCs w:val="20"/>
        </w:rPr>
      </w:pPr>
    </w:p>
    <w:p w14:paraId="2BCB5A32" w14:textId="77777777" w:rsidR="00902337" w:rsidRPr="00335934" w:rsidRDefault="00902337" w:rsidP="00335934">
      <w:pPr>
        <w:spacing w:line="240" w:lineRule="auto"/>
        <w:jc w:val="center"/>
        <w:rPr>
          <w:rFonts w:ascii="Verdana" w:eastAsia="Times New Roman" w:hAnsi="Verdana" w:cs="Arial"/>
          <w:b/>
          <w:bCs/>
          <w:sz w:val="20"/>
          <w:szCs w:val="20"/>
        </w:rPr>
      </w:pPr>
      <w:r w:rsidRPr="00335934">
        <w:rPr>
          <w:rFonts w:ascii="Verdana" w:eastAsia="Times New Roman" w:hAnsi="Verdana" w:cs="Arial"/>
          <w:b/>
          <w:bCs/>
          <w:sz w:val="20"/>
          <w:szCs w:val="20"/>
        </w:rPr>
        <w:t>CAPÍTULO QUINTO</w:t>
      </w:r>
      <w:r w:rsidRPr="00335934">
        <w:rPr>
          <w:rFonts w:ascii="Verdana" w:eastAsia="Times New Roman" w:hAnsi="Verdana" w:cs="Arial"/>
          <w:b/>
          <w:bCs/>
          <w:sz w:val="20"/>
          <w:szCs w:val="20"/>
        </w:rPr>
        <w:br/>
        <w:t xml:space="preserve">CONTRIBUCIÓN DE MEJORAS </w:t>
      </w:r>
    </w:p>
    <w:p w14:paraId="33500B21" w14:textId="77777777" w:rsidR="00902337" w:rsidRPr="00335934" w:rsidRDefault="00902337" w:rsidP="00335934">
      <w:pPr>
        <w:pStyle w:val="NormalWeb"/>
        <w:jc w:val="both"/>
        <w:rPr>
          <w:rFonts w:ascii="Verdana" w:hAnsi="Verdana"/>
          <w:sz w:val="20"/>
          <w:szCs w:val="20"/>
        </w:rPr>
      </w:pPr>
      <w:r w:rsidRPr="00335934">
        <w:rPr>
          <w:rStyle w:val="Textoennegrita"/>
          <w:rFonts w:ascii="Verdana" w:hAnsi="Verdana"/>
          <w:sz w:val="20"/>
          <w:szCs w:val="20"/>
        </w:rPr>
        <w:tab/>
        <w:t>Artículo 24</w:t>
      </w:r>
      <w:r w:rsidRPr="00335934">
        <w:rPr>
          <w:rFonts w:ascii="Verdana" w:hAnsi="Verdana"/>
          <w:sz w:val="20"/>
          <w:szCs w:val="20"/>
        </w:rPr>
        <w:t>. La contribución de mejoras se causará y liquidará en los términos de la Ley de Hacienda para los Municipios del Estado de Guanajuato.</w:t>
      </w:r>
    </w:p>
    <w:p w14:paraId="5AD9E8A9" w14:textId="77777777" w:rsidR="00902337" w:rsidRPr="00335934" w:rsidRDefault="00902337" w:rsidP="00335934">
      <w:pPr>
        <w:pStyle w:val="Sinespaciado"/>
        <w:rPr>
          <w:highlight w:val="yellow"/>
        </w:rPr>
      </w:pPr>
    </w:p>
    <w:p w14:paraId="74BF7F0C" w14:textId="77777777" w:rsidR="00902337" w:rsidRPr="00335934" w:rsidRDefault="00902337" w:rsidP="00335934">
      <w:pPr>
        <w:spacing w:line="240" w:lineRule="auto"/>
        <w:jc w:val="center"/>
        <w:rPr>
          <w:rFonts w:ascii="Verdana" w:eastAsia="Times New Roman" w:hAnsi="Verdana" w:cs="Arial"/>
          <w:sz w:val="20"/>
          <w:szCs w:val="20"/>
        </w:rPr>
      </w:pPr>
      <w:r w:rsidRPr="00335934">
        <w:rPr>
          <w:rFonts w:ascii="Verdana" w:eastAsia="Times New Roman" w:hAnsi="Verdana" w:cs="Arial"/>
          <w:b/>
          <w:bCs/>
          <w:sz w:val="20"/>
          <w:szCs w:val="20"/>
        </w:rPr>
        <w:t>CAPÍTULO SEXTO</w:t>
      </w:r>
      <w:r w:rsidRPr="00335934">
        <w:rPr>
          <w:rFonts w:ascii="Verdana" w:eastAsia="Times New Roman" w:hAnsi="Verdana" w:cs="Arial"/>
          <w:b/>
          <w:bCs/>
          <w:sz w:val="20"/>
          <w:szCs w:val="20"/>
        </w:rPr>
        <w:br/>
        <w:t xml:space="preserve">PRODUCTOS </w:t>
      </w:r>
    </w:p>
    <w:p w14:paraId="6B8114BC" w14:textId="77777777" w:rsidR="00902337" w:rsidRPr="00335934" w:rsidRDefault="00902337" w:rsidP="00335934">
      <w:pPr>
        <w:spacing w:line="240" w:lineRule="auto"/>
        <w:jc w:val="both"/>
        <w:rPr>
          <w:rFonts w:ascii="Verdana" w:eastAsia="Times New Roman" w:hAnsi="Verdana" w:cs="Arial"/>
          <w:sz w:val="20"/>
          <w:szCs w:val="20"/>
        </w:rPr>
      </w:pPr>
      <w:r w:rsidRPr="00335934">
        <w:rPr>
          <w:rStyle w:val="Textoennegrita"/>
          <w:rFonts w:ascii="Verdana" w:hAnsi="Verdana" w:cs="Arial"/>
          <w:sz w:val="20"/>
          <w:szCs w:val="20"/>
        </w:rPr>
        <w:tab/>
        <w:t>Artículo 25</w:t>
      </w:r>
      <w:r w:rsidRPr="00335934">
        <w:rPr>
          <w:rFonts w:ascii="Verdana" w:eastAsia="Times New Roman" w:hAnsi="Verdana" w:cs="Arial"/>
          <w:sz w:val="20"/>
          <w:szCs w:val="20"/>
        </w:rPr>
        <w:t>. Los productos que tiene derecho a percibir el municipio se regularán por los contratos o convenios que se celebren, y su importe deberá enterarse en los plazos, términos y condiciones que en los mismos se establezca y de acuerdo a lo señalado en la Ley de Hacienda para los Municipios del Estado de Guanajuato.</w:t>
      </w:r>
    </w:p>
    <w:p w14:paraId="52055047" w14:textId="77777777" w:rsidR="00902337" w:rsidRPr="00335934" w:rsidRDefault="00902337" w:rsidP="00335934">
      <w:pPr>
        <w:spacing w:line="240" w:lineRule="auto"/>
        <w:jc w:val="center"/>
        <w:rPr>
          <w:rFonts w:ascii="Verdana" w:eastAsia="Times New Roman" w:hAnsi="Verdana" w:cs="Arial"/>
          <w:b/>
          <w:bCs/>
          <w:sz w:val="20"/>
          <w:szCs w:val="20"/>
        </w:rPr>
      </w:pPr>
    </w:p>
    <w:p w14:paraId="30E5A7DC" w14:textId="77777777" w:rsidR="00902337" w:rsidRPr="00335934" w:rsidRDefault="00902337" w:rsidP="00335934">
      <w:pPr>
        <w:spacing w:line="240" w:lineRule="auto"/>
        <w:jc w:val="center"/>
        <w:rPr>
          <w:rFonts w:ascii="Verdana" w:eastAsia="Times New Roman" w:hAnsi="Verdana" w:cs="Arial"/>
          <w:b/>
          <w:bCs/>
          <w:sz w:val="20"/>
          <w:szCs w:val="20"/>
        </w:rPr>
      </w:pPr>
      <w:r w:rsidRPr="00335934">
        <w:rPr>
          <w:rFonts w:ascii="Verdana" w:eastAsia="Times New Roman" w:hAnsi="Verdana" w:cs="Arial"/>
          <w:b/>
          <w:bCs/>
          <w:sz w:val="20"/>
          <w:szCs w:val="20"/>
        </w:rPr>
        <w:t>CAPÍTULO SÉPTIMO</w:t>
      </w:r>
      <w:r w:rsidRPr="00335934">
        <w:rPr>
          <w:rFonts w:ascii="Verdana" w:eastAsia="Times New Roman" w:hAnsi="Verdana" w:cs="Arial"/>
          <w:b/>
          <w:bCs/>
          <w:sz w:val="20"/>
          <w:szCs w:val="20"/>
        </w:rPr>
        <w:br/>
        <w:t xml:space="preserve">APROVECHAMIENTOS </w:t>
      </w:r>
    </w:p>
    <w:p w14:paraId="4DC420CD" w14:textId="77777777" w:rsidR="00902337" w:rsidRPr="00335934" w:rsidRDefault="00902337" w:rsidP="00335934">
      <w:pPr>
        <w:spacing w:line="240" w:lineRule="auto"/>
        <w:jc w:val="both"/>
        <w:rPr>
          <w:rFonts w:ascii="Verdana" w:eastAsia="Times New Roman" w:hAnsi="Verdana" w:cs="Arial"/>
          <w:sz w:val="20"/>
          <w:szCs w:val="20"/>
        </w:rPr>
      </w:pPr>
      <w:r w:rsidRPr="00335934">
        <w:rPr>
          <w:rStyle w:val="Textoennegrita"/>
          <w:rFonts w:ascii="Verdana" w:hAnsi="Verdana" w:cs="Arial"/>
          <w:sz w:val="20"/>
          <w:szCs w:val="20"/>
        </w:rPr>
        <w:tab/>
        <w:t>Artículo 26</w:t>
      </w:r>
      <w:r w:rsidRPr="00335934">
        <w:rPr>
          <w:rFonts w:ascii="Verdana" w:eastAsia="Times New Roman" w:hAnsi="Verdana" w:cs="Arial"/>
          <w:sz w:val="20"/>
          <w:szCs w:val="20"/>
        </w:rPr>
        <w:t>. Los aprovechamientos que percibirá el municipio serán, además de los previstos en el artículo 259 de la Ley de Hacienda para los Municipios del Estado de Guanajuato, aquellos que se obtengan de los fondos de aportación federal.</w:t>
      </w:r>
    </w:p>
    <w:p w14:paraId="2CE270FA" w14:textId="77777777" w:rsidR="00902337" w:rsidRPr="00335934" w:rsidRDefault="00902337" w:rsidP="00335934">
      <w:pPr>
        <w:spacing w:line="240" w:lineRule="auto"/>
        <w:jc w:val="both"/>
        <w:rPr>
          <w:rFonts w:ascii="Verdana" w:eastAsia="Times New Roman" w:hAnsi="Verdana" w:cs="Arial"/>
          <w:sz w:val="20"/>
          <w:szCs w:val="20"/>
        </w:rPr>
      </w:pPr>
      <w:r w:rsidRPr="00335934">
        <w:rPr>
          <w:rStyle w:val="Textoennegrita"/>
          <w:rFonts w:ascii="Verdana" w:hAnsi="Verdana" w:cs="Arial"/>
          <w:sz w:val="20"/>
          <w:szCs w:val="20"/>
        </w:rPr>
        <w:tab/>
        <w:t>Artículo 27</w:t>
      </w:r>
      <w:r w:rsidRPr="00335934">
        <w:rPr>
          <w:rFonts w:ascii="Verdana" w:eastAsia="Times New Roman" w:hAnsi="Verdana" w:cs="Arial"/>
          <w:sz w:val="20"/>
          <w:szCs w:val="20"/>
        </w:rPr>
        <w:t xml:space="preserve">. Cuando no se pague un crédito fiscal en la fecha o dentro del plazo señalado en las disposiciones respectivas, se cobrarán recargos a la tasa del 3% mensual. </w:t>
      </w:r>
    </w:p>
    <w:p w14:paraId="6C2C4311" w14:textId="77777777" w:rsidR="00902337" w:rsidRPr="00335934" w:rsidRDefault="00902337" w:rsidP="00335934">
      <w:pPr>
        <w:spacing w:line="240" w:lineRule="auto"/>
        <w:jc w:val="both"/>
        <w:rPr>
          <w:rFonts w:ascii="Verdana" w:hAnsi="Verdana" w:cs="Arial"/>
          <w:sz w:val="20"/>
          <w:szCs w:val="20"/>
        </w:rPr>
      </w:pPr>
      <w:r w:rsidRPr="00335934">
        <w:rPr>
          <w:rFonts w:ascii="Verdana" w:eastAsia="Times New Roman" w:hAnsi="Verdana" w:cs="Arial"/>
          <w:sz w:val="20"/>
          <w:szCs w:val="20"/>
        </w:rPr>
        <w:tab/>
      </w:r>
      <w:r w:rsidRPr="00335934">
        <w:rPr>
          <w:rFonts w:ascii="Verdana" w:hAnsi="Verdana" w:cs="Arial"/>
          <w:sz w:val="20"/>
          <w:szCs w:val="20"/>
        </w:rPr>
        <w:t xml:space="preserve">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 </w:t>
      </w:r>
    </w:p>
    <w:p w14:paraId="573C97EF" w14:textId="77777777" w:rsidR="00902337" w:rsidRPr="00335934" w:rsidRDefault="00902337" w:rsidP="00335934">
      <w:pPr>
        <w:spacing w:line="240" w:lineRule="auto"/>
        <w:jc w:val="both"/>
        <w:rPr>
          <w:rFonts w:ascii="Verdana" w:hAnsi="Verdana" w:cs="Arial"/>
          <w:sz w:val="20"/>
          <w:szCs w:val="20"/>
        </w:rPr>
      </w:pPr>
      <w:r w:rsidRPr="00335934">
        <w:rPr>
          <w:rFonts w:ascii="Verdana" w:hAnsi="Verdana" w:cs="Arial"/>
          <w:sz w:val="20"/>
          <w:szCs w:val="20"/>
        </w:rPr>
        <w:tab/>
        <w:t>Cuando se conceda prórroga o autorización para pagar en parcialidades los créditos fiscales, se causarán recargos sobre el saldo insoluto a la tasa del 2% mensual.</w:t>
      </w:r>
    </w:p>
    <w:p w14:paraId="18C454EE" w14:textId="77777777" w:rsidR="00902337" w:rsidRPr="00335934" w:rsidRDefault="00902337" w:rsidP="00335934">
      <w:pPr>
        <w:spacing w:line="240" w:lineRule="auto"/>
        <w:jc w:val="both"/>
        <w:rPr>
          <w:rFonts w:ascii="Verdana" w:eastAsia="Times New Roman" w:hAnsi="Verdana" w:cs="Arial"/>
          <w:sz w:val="20"/>
          <w:szCs w:val="20"/>
        </w:rPr>
      </w:pPr>
      <w:r w:rsidRPr="00335934">
        <w:rPr>
          <w:rStyle w:val="Textoennegrita"/>
          <w:rFonts w:ascii="Verdana" w:hAnsi="Verdana" w:cs="Arial"/>
          <w:sz w:val="20"/>
          <w:szCs w:val="20"/>
        </w:rPr>
        <w:tab/>
        <w:t>Artículo 28</w:t>
      </w:r>
      <w:r w:rsidRPr="00335934">
        <w:rPr>
          <w:rFonts w:ascii="Verdana" w:eastAsia="Times New Roman" w:hAnsi="Verdana" w:cs="Arial"/>
          <w:sz w:val="20"/>
          <w:szCs w:val="20"/>
        </w:rPr>
        <w:t>. Los aprovechamientos por concepto de gastos de ejecución, se causarán a la tasa del 2 % sobre el adeudo por cada una de las diligencias que a continuación se indican:</w:t>
      </w:r>
    </w:p>
    <w:p w14:paraId="66669FE3" w14:textId="77777777" w:rsidR="00902337" w:rsidRPr="00335934" w:rsidRDefault="00902337" w:rsidP="00335934">
      <w:pPr>
        <w:tabs>
          <w:tab w:val="num" w:pos="1800"/>
        </w:tabs>
        <w:spacing w:line="240" w:lineRule="auto"/>
        <w:ind w:left="1800" w:hanging="720"/>
        <w:jc w:val="both"/>
        <w:rPr>
          <w:rFonts w:ascii="Verdana" w:hAnsi="Verdana" w:cs="Arial"/>
          <w:sz w:val="20"/>
          <w:szCs w:val="20"/>
        </w:rPr>
      </w:pPr>
      <w:r w:rsidRPr="00335934">
        <w:rPr>
          <w:rFonts w:ascii="Verdana" w:hAnsi="Verdana" w:cs="Arial"/>
          <w:b/>
          <w:bCs/>
          <w:sz w:val="20"/>
          <w:szCs w:val="20"/>
        </w:rPr>
        <w:t xml:space="preserve">I.      </w:t>
      </w:r>
      <w:r w:rsidRPr="00335934">
        <w:rPr>
          <w:rFonts w:ascii="Verdana" w:hAnsi="Verdana" w:cs="Arial"/>
          <w:sz w:val="20"/>
          <w:szCs w:val="20"/>
        </w:rPr>
        <w:t>Por el requerimiento de pago;</w:t>
      </w:r>
    </w:p>
    <w:p w14:paraId="0A10B3F7" w14:textId="77777777" w:rsidR="00902337" w:rsidRPr="00335934" w:rsidRDefault="00902337" w:rsidP="00335934">
      <w:pPr>
        <w:tabs>
          <w:tab w:val="num" w:pos="1800"/>
        </w:tabs>
        <w:spacing w:line="240" w:lineRule="auto"/>
        <w:ind w:left="1800" w:hanging="720"/>
        <w:jc w:val="both"/>
        <w:rPr>
          <w:rFonts w:ascii="Verdana" w:hAnsi="Verdana" w:cs="Arial"/>
          <w:sz w:val="20"/>
          <w:szCs w:val="20"/>
        </w:rPr>
      </w:pPr>
      <w:r w:rsidRPr="00335934">
        <w:rPr>
          <w:rFonts w:ascii="Verdana" w:hAnsi="Verdana" w:cs="Arial"/>
          <w:b/>
          <w:bCs/>
          <w:sz w:val="20"/>
          <w:szCs w:val="20"/>
        </w:rPr>
        <w:t xml:space="preserve">II.     </w:t>
      </w:r>
      <w:r w:rsidRPr="00335934">
        <w:rPr>
          <w:rFonts w:ascii="Verdana" w:hAnsi="Verdana" w:cs="Arial"/>
          <w:sz w:val="20"/>
          <w:szCs w:val="20"/>
        </w:rPr>
        <w:t>Por la del embargo, y</w:t>
      </w:r>
    </w:p>
    <w:p w14:paraId="3DD4BECE" w14:textId="77777777" w:rsidR="00902337" w:rsidRPr="00335934" w:rsidRDefault="00902337" w:rsidP="00335934">
      <w:pPr>
        <w:tabs>
          <w:tab w:val="num" w:pos="1800"/>
        </w:tabs>
        <w:spacing w:line="240" w:lineRule="auto"/>
        <w:ind w:left="1800" w:hanging="720"/>
        <w:jc w:val="both"/>
        <w:rPr>
          <w:rFonts w:ascii="Verdana" w:hAnsi="Verdana" w:cs="Arial"/>
          <w:sz w:val="20"/>
          <w:szCs w:val="20"/>
        </w:rPr>
      </w:pPr>
      <w:r w:rsidRPr="00335934">
        <w:rPr>
          <w:rFonts w:ascii="Verdana" w:hAnsi="Verdana" w:cs="Arial"/>
          <w:b/>
          <w:bCs/>
          <w:sz w:val="20"/>
          <w:szCs w:val="20"/>
        </w:rPr>
        <w:t xml:space="preserve">III.    </w:t>
      </w:r>
      <w:r w:rsidRPr="00335934">
        <w:rPr>
          <w:rFonts w:ascii="Verdana" w:hAnsi="Verdana" w:cs="Arial"/>
          <w:sz w:val="20"/>
          <w:szCs w:val="20"/>
        </w:rPr>
        <w:t>Por la del remate.</w:t>
      </w:r>
    </w:p>
    <w:p w14:paraId="25A8C7E5" w14:textId="77777777" w:rsidR="00902337" w:rsidRPr="00335934" w:rsidRDefault="00902337" w:rsidP="00335934">
      <w:pPr>
        <w:pStyle w:val="NormalWeb"/>
        <w:jc w:val="both"/>
        <w:rPr>
          <w:rFonts w:ascii="Verdana" w:hAnsi="Verdana"/>
          <w:sz w:val="20"/>
          <w:szCs w:val="20"/>
        </w:rPr>
      </w:pPr>
      <w:r w:rsidRPr="00335934">
        <w:rPr>
          <w:rFonts w:ascii="Verdana" w:hAnsi="Verdana"/>
          <w:sz w:val="20"/>
          <w:szCs w:val="20"/>
        </w:rPr>
        <w:lastRenderedPageBreak/>
        <w:tab/>
        <w:t>Cuando en los casos de las fracciones anteriores, el 2% del adeudo sea inferior a dos veces el valor diario de la Unidad de Medida y Actualización, se cobrará esta cantidad en lugar del 2% del adeudo.</w:t>
      </w:r>
    </w:p>
    <w:p w14:paraId="5709549D" w14:textId="77777777" w:rsidR="00902337" w:rsidRPr="00335934" w:rsidRDefault="00902337" w:rsidP="00335934">
      <w:pPr>
        <w:pStyle w:val="NormalWeb"/>
        <w:jc w:val="both"/>
        <w:rPr>
          <w:rFonts w:ascii="Verdana" w:hAnsi="Verdana"/>
          <w:sz w:val="20"/>
          <w:szCs w:val="20"/>
        </w:rPr>
      </w:pPr>
      <w:r w:rsidRPr="00335934">
        <w:rPr>
          <w:rFonts w:ascii="Verdana" w:hAnsi="Verdana"/>
          <w:sz w:val="20"/>
          <w:szCs w:val="20"/>
        </w:rPr>
        <w:tab/>
        <w:t>En ningún caso los gastos de ejecución a que se refiere cada una de las fracciones anteriores, podrán exceder de la cantidad que represente tres veces el valor mensual de la Unidad de Medida y Actualización. </w:t>
      </w:r>
    </w:p>
    <w:p w14:paraId="1BFFDC43" w14:textId="77777777" w:rsidR="00902337" w:rsidRPr="00335934" w:rsidRDefault="00902337" w:rsidP="00335934">
      <w:pPr>
        <w:pStyle w:val="NormalWeb"/>
        <w:jc w:val="both"/>
        <w:rPr>
          <w:rFonts w:ascii="Verdana" w:hAnsi="Verdana"/>
          <w:sz w:val="20"/>
          <w:szCs w:val="20"/>
        </w:rPr>
      </w:pPr>
      <w:r w:rsidRPr="00335934">
        <w:rPr>
          <w:rFonts w:ascii="Verdana" w:hAnsi="Verdana"/>
          <w:sz w:val="20"/>
          <w:szCs w:val="20"/>
        </w:rPr>
        <w:tab/>
      </w:r>
      <w:r w:rsidRPr="00335934">
        <w:rPr>
          <w:rStyle w:val="Textoennegrita"/>
          <w:rFonts w:ascii="Verdana" w:hAnsi="Verdana"/>
          <w:sz w:val="20"/>
          <w:szCs w:val="20"/>
        </w:rPr>
        <w:t>Artículo 29</w:t>
      </w:r>
      <w:r w:rsidRPr="00335934">
        <w:rPr>
          <w:rFonts w:ascii="Verdana" w:hAnsi="Verdana"/>
          <w:sz w:val="20"/>
          <w:szCs w:val="20"/>
        </w:rPr>
        <w:t xml:space="preserve">. Los aprovechamientos por conceptos de multas fiscales se cubrirán conforme a las disposiciones relativas al título segundo, capítulo único de la Ley de Hacienda para los Municipios del Estado de Guanajuato. </w:t>
      </w:r>
    </w:p>
    <w:p w14:paraId="41B1A5EB" w14:textId="77777777" w:rsidR="00902337" w:rsidRPr="00335934" w:rsidRDefault="00902337" w:rsidP="00335934">
      <w:pPr>
        <w:pStyle w:val="NormalWeb"/>
        <w:spacing w:after="0" w:afterAutospacing="0"/>
        <w:jc w:val="both"/>
        <w:rPr>
          <w:rFonts w:ascii="Verdana" w:hAnsi="Verdana"/>
          <w:sz w:val="20"/>
          <w:szCs w:val="20"/>
        </w:rPr>
      </w:pPr>
      <w:r w:rsidRPr="00335934">
        <w:rPr>
          <w:rFonts w:ascii="Verdana" w:hAnsi="Verdana"/>
          <w:sz w:val="20"/>
          <w:szCs w:val="20"/>
        </w:rPr>
        <w:tab/>
        <w:t xml:space="preserve">Los aprovechamientos por concepto de multas administrativas se cubrirán conforme a las tarifas establecidas en los reglamentos municipales.   </w:t>
      </w:r>
    </w:p>
    <w:p w14:paraId="57370F52" w14:textId="77777777" w:rsidR="00902337" w:rsidRPr="00335934" w:rsidRDefault="00902337" w:rsidP="00335934">
      <w:pPr>
        <w:pStyle w:val="NormalWeb"/>
        <w:spacing w:before="0" w:beforeAutospacing="0" w:after="0" w:afterAutospacing="0"/>
        <w:jc w:val="center"/>
        <w:rPr>
          <w:rFonts w:ascii="Verdana" w:hAnsi="Verdana"/>
          <w:b/>
          <w:bCs/>
          <w:sz w:val="20"/>
          <w:szCs w:val="20"/>
        </w:rPr>
      </w:pPr>
    </w:p>
    <w:p w14:paraId="1DD290DE" w14:textId="77777777" w:rsidR="00335934" w:rsidRPr="00335934" w:rsidRDefault="00335934" w:rsidP="00335934">
      <w:pPr>
        <w:pStyle w:val="Sinespaciado"/>
      </w:pPr>
    </w:p>
    <w:p w14:paraId="7653ACA7" w14:textId="229734D5" w:rsidR="00902337" w:rsidRPr="00335934" w:rsidRDefault="00902337" w:rsidP="00335934">
      <w:pPr>
        <w:pStyle w:val="NormalWeb"/>
        <w:spacing w:before="0" w:beforeAutospacing="0"/>
        <w:jc w:val="center"/>
        <w:rPr>
          <w:rFonts w:ascii="Verdana" w:hAnsi="Verdana"/>
          <w:sz w:val="20"/>
          <w:szCs w:val="20"/>
        </w:rPr>
      </w:pPr>
      <w:r w:rsidRPr="00335934">
        <w:rPr>
          <w:rFonts w:ascii="Verdana" w:hAnsi="Verdana"/>
          <w:b/>
          <w:bCs/>
          <w:sz w:val="20"/>
          <w:szCs w:val="20"/>
        </w:rPr>
        <w:t>CAPÍTULO OCTAVO</w:t>
      </w:r>
      <w:r w:rsidRPr="00335934">
        <w:rPr>
          <w:rFonts w:ascii="Verdana" w:hAnsi="Verdana"/>
          <w:b/>
          <w:bCs/>
          <w:sz w:val="20"/>
          <w:szCs w:val="20"/>
        </w:rPr>
        <w:br/>
        <w:t>PARTICIPACIONES FEDERALES</w:t>
      </w:r>
    </w:p>
    <w:p w14:paraId="03138A24" w14:textId="77777777" w:rsidR="00902337" w:rsidRPr="00335934" w:rsidRDefault="00902337" w:rsidP="00335934">
      <w:pPr>
        <w:spacing w:line="240" w:lineRule="auto"/>
        <w:jc w:val="both"/>
        <w:rPr>
          <w:rFonts w:ascii="Verdana" w:eastAsia="Times New Roman" w:hAnsi="Verdana" w:cs="Arial"/>
          <w:sz w:val="20"/>
          <w:szCs w:val="20"/>
        </w:rPr>
      </w:pPr>
      <w:r w:rsidRPr="00335934">
        <w:rPr>
          <w:rStyle w:val="Textoennegrita"/>
          <w:rFonts w:ascii="Verdana" w:hAnsi="Verdana" w:cs="Arial"/>
          <w:sz w:val="20"/>
          <w:szCs w:val="20"/>
        </w:rPr>
        <w:tab/>
        <w:t>Artículo 30</w:t>
      </w:r>
      <w:r w:rsidRPr="00335934">
        <w:rPr>
          <w:rFonts w:ascii="Verdana" w:eastAsia="Times New Roman" w:hAnsi="Verdana" w:cs="Arial"/>
          <w:sz w:val="20"/>
          <w:szCs w:val="20"/>
        </w:rPr>
        <w:t>.  El municipio percibirá las cantidades que le correspondan por concepto de participaciones federales, de acuerdo a lo dispuesto en la Ley de Coordinación Fiscal del Estado.</w:t>
      </w:r>
    </w:p>
    <w:p w14:paraId="5AE13FC7" w14:textId="77777777" w:rsidR="00335934" w:rsidRDefault="00335934" w:rsidP="00335934">
      <w:pPr>
        <w:pStyle w:val="Sinespaciado"/>
      </w:pPr>
    </w:p>
    <w:p w14:paraId="6FD4105C" w14:textId="17ACCA80" w:rsidR="00902337" w:rsidRPr="00335934" w:rsidRDefault="00902337" w:rsidP="00335934">
      <w:pPr>
        <w:spacing w:line="240" w:lineRule="auto"/>
        <w:jc w:val="center"/>
        <w:rPr>
          <w:rFonts w:ascii="Verdana" w:eastAsia="Times New Roman" w:hAnsi="Verdana" w:cs="Arial"/>
          <w:sz w:val="20"/>
          <w:szCs w:val="20"/>
        </w:rPr>
      </w:pPr>
      <w:r w:rsidRPr="00335934">
        <w:rPr>
          <w:rFonts w:ascii="Verdana" w:eastAsia="Times New Roman" w:hAnsi="Verdana" w:cs="Arial"/>
          <w:b/>
          <w:bCs/>
          <w:sz w:val="20"/>
          <w:szCs w:val="20"/>
        </w:rPr>
        <w:t>CAPÍTULO NOVENO</w:t>
      </w:r>
      <w:r w:rsidRPr="00335934">
        <w:rPr>
          <w:rFonts w:ascii="Verdana" w:eastAsia="Times New Roman" w:hAnsi="Verdana" w:cs="Arial"/>
          <w:b/>
          <w:bCs/>
          <w:sz w:val="20"/>
          <w:szCs w:val="20"/>
        </w:rPr>
        <w:br/>
        <w:t xml:space="preserve">INGRESOS EXTRAORDINARIOS </w:t>
      </w:r>
    </w:p>
    <w:p w14:paraId="36ADF2D9" w14:textId="77777777" w:rsidR="00902337" w:rsidRPr="00335934" w:rsidRDefault="00902337" w:rsidP="00335934">
      <w:pPr>
        <w:spacing w:line="240" w:lineRule="auto"/>
        <w:jc w:val="both"/>
        <w:rPr>
          <w:rFonts w:ascii="Verdana" w:eastAsia="Times New Roman" w:hAnsi="Verdana" w:cs="Arial"/>
          <w:sz w:val="20"/>
          <w:szCs w:val="20"/>
        </w:rPr>
      </w:pPr>
      <w:r w:rsidRPr="00335934">
        <w:rPr>
          <w:rStyle w:val="Textoennegrita"/>
          <w:rFonts w:ascii="Verdana" w:hAnsi="Verdana" w:cs="Arial"/>
          <w:sz w:val="20"/>
          <w:szCs w:val="20"/>
        </w:rPr>
        <w:tab/>
        <w:t>Artículo 31</w:t>
      </w:r>
      <w:r w:rsidRPr="00335934">
        <w:rPr>
          <w:rFonts w:ascii="Verdana" w:eastAsia="Times New Roman" w:hAnsi="Verdana" w:cs="Arial"/>
          <w:sz w:val="20"/>
          <w:szCs w:val="20"/>
        </w:rPr>
        <w:t>. El Municipio podrá percibir ingresos extraordinarios cuando así lo decrete de manera excepcional el Congreso del Estado.</w:t>
      </w:r>
    </w:p>
    <w:p w14:paraId="2A3F8686" w14:textId="77777777" w:rsidR="00902337" w:rsidRPr="00335934" w:rsidRDefault="00902337" w:rsidP="00335934">
      <w:pPr>
        <w:pStyle w:val="Sinespaciado"/>
        <w:rPr>
          <w:highlight w:val="yellow"/>
        </w:rPr>
      </w:pPr>
    </w:p>
    <w:p w14:paraId="62188956" w14:textId="77777777" w:rsidR="00902337" w:rsidRPr="00335934" w:rsidRDefault="00902337" w:rsidP="00335934">
      <w:pPr>
        <w:spacing w:line="240" w:lineRule="auto"/>
        <w:jc w:val="center"/>
        <w:rPr>
          <w:rFonts w:ascii="Verdana" w:eastAsia="Times New Roman" w:hAnsi="Verdana" w:cs="Arial"/>
          <w:sz w:val="20"/>
          <w:szCs w:val="20"/>
        </w:rPr>
      </w:pPr>
      <w:r w:rsidRPr="00335934">
        <w:rPr>
          <w:rFonts w:ascii="Verdana" w:eastAsia="Times New Roman" w:hAnsi="Verdana" w:cs="Arial"/>
          <w:b/>
          <w:bCs/>
          <w:sz w:val="20"/>
          <w:szCs w:val="20"/>
        </w:rPr>
        <w:t>CAPÍTULO DÉCIMO</w:t>
      </w:r>
      <w:r w:rsidRPr="00335934">
        <w:rPr>
          <w:rFonts w:ascii="Verdana" w:eastAsia="Times New Roman" w:hAnsi="Verdana" w:cs="Arial"/>
          <w:b/>
          <w:bCs/>
          <w:sz w:val="20"/>
          <w:szCs w:val="20"/>
        </w:rPr>
        <w:br/>
        <w:t xml:space="preserve">FACILIDADES ADMINISTRATIVAS Y ESTÍMULOS FISCALES </w:t>
      </w:r>
    </w:p>
    <w:p w14:paraId="2086BE4B" w14:textId="77777777" w:rsidR="00902337" w:rsidRPr="00335934" w:rsidRDefault="00902337" w:rsidP="00335934">
      <w:pPr>
        <w:spacing w:line="240" w:lineRule="auto"/>
        <w:jc w:val="center"/>
        <w:rPr>
          <w:rFonts w:ascii="Verdana" w:eastAsia="Times New Roman" w:hAnsi="Verdana" w:cs="Arial"/>
          <w:sz w:val="20"/>
          <w:szCs w:val="20"/>
        </w:rPr>
      </w:pPr>
      <w:r w:rsidRPr="00335934">
        <w:rPr>
          <w:rStyle w:val="Textoennegrita"/>
          <w:rFonts w:ascii="Verdana" w:hAnsi="Verdana" w:cs="Arial"/>
          <w:sz w:val="20"/>
          <w:szCs w:val="20"/>
        </w:rPr>
        <w:t>SECCIÓN PRIMERA</w:t>
      </w:r>
      <w:r w:rsidRPr="00335934">
        <w:rPr>
          <w:rFonts w:ascii="Verdana" w:eastAsia="Times New Roman" w:hAnsi="Verdana" w:cs="Arial"/>
          <w:b/>
          <w:bCs/>
          <w:sz w:val="20"/>
          <w:szCs w:val="20"/>
        </w:rPr>
        <w:br/>
      </w:r>
      <w:r w:rsidRPr="00335934">
        <w:rPr>
          <w:rStyle w:val="Textoennegrita"/>
          <w:rFonts w:ascii="Verdana" w:hAnsi="Verdana" w:cs="Arial"/>
          <w:sz w:val="20"/>
          <w:szCs w:val="20"/>
        </w:rPr>
        <w:t>IMPUESTO PREDIAL</w:t>
      </w:r>
    </w:p>
    <w:p w14:paraId="6C3EFE4A" w14:textId="77777777" w:rsidR="00902337" w:rsidRPr="00335934" w:rsidRDefault="00902337" w:rsidP="00335934">
      <w:pPr>
        <w:pStyle w:val="NormalWeb"/>
        <w:jc w:val="both"/>
        <w:rPr>
          <w:rFonts w:ascii="Verdana" w:hAnsi="Verdana"/>
          <w:sz w:val="20"/>
          <w:szCs w:val="20"/>
        </w:rPr>
      </w:pPr>
      <w:r w:rsidRPr="00335934">
        <w:rPr>
          <w:rStyle w:val="Textoennegrita"/>
          <w:rFonts w:ascii="Verdana" w:hAnsi="Verdana"/>
          <w:sz w:val="20"/>
          <w:szCs w:val="20"/>
        </w:rPr>
        <w:tab/>
        <w:t>Artículo 32</w:t>
      </w:r>
      <w:r w:rsidRPr="00335934">
        <w:rPr>
          <w:rFonts w:ascii="Verdana" w:hAnsi="Verdana"/>
          <w:sz w:val="20"/>
          <w:szCs w:val="20"/>
        </w:rPr>
        <w:t>. La cuota mínima anual del impuesto predial para el 2025 será de $309.49 y se pagará dentro del primer bimestre del 2025, de conformidad con lo establecido por el artículo 164 de la Ley de Hacienda para los Municipios del Estado de Guanajuato.</w:t>
      </w:r>
    </w:p>
    <w:p w14:paraId="47AE3BD1" w14:textId="77777777" w:rsidR="00902337" w:rsidRPr="00335934" w:rsidRDefault="00902337" w:rsidP="00335934">
      <w:pPr>
        <w:pStyle w:val="NormalWeb"/>
        <w:jc w:val="both"/>
        <w:rPr>
          <w:rFonts w:ascii="Verdana" w:hAnsi="Verdana"/>
          <w:sz w:val="20"/>
          <w:szCs w:val="20"/>
        </w:rPr>
      </w:pPr>
      <w:r w:rsidRPr="00335934">
        <w:rPr>
          <w:rStyle w:val="Textoennegrita"/>
          <w:rFonts w:ascii="Verdana" w:hAnsi="Verdana"/>
          <w:sz w:val="20"/>
          <w:szCs w:val="20"/>
        </w:rPr>
        <w:tab/>
        <w:t>Artículo 33</w:t>
      </w:r>
      <w:r w:rsidRPr="00335934">
        <w:rPr>
          <w:rFonts w:ascii="Verdana" w:hAnsi="Verdana"/>
          <w:sz w:val="20"/>
          <w:szCs w:val="20"/>
        </w:rPr>
        <w:t>. Pagarán la cuota mínima del impuesto predial los propietarios o poseedores de bienes inmuebles que se encuentren en los siguientes supuestos:</w:t>
      </w:r>
    </w:p>
    <w:p w14:paraId="0239A02A" w14:textId="77777777" w:rsidR="00902337" w:rsidRPr="00335934" w:rsidRDefault="00902337" w:rsidP="00335934">
      <w:pPr>
        <w:pStyle w:val="NormalWeb"/>
        <w:numPr>
          <w:ilvl w:val="0"/>
          <w:numId w:val="28"/>
        </w:numPr>
        <w:shd w:val="clear" w:color="auto" w:fill="FFFFFF"/>
        <w:spacing w:before="0" w:beforeAutospacing="0" w:after="0" w:afterAutospacing="0"/>
        <w:jc w:val="both"/>
        <w:rPr>
          <w:rFonts w:ascii="Verdana" w:hAnsi="Verdana"/>
          <w:sz w:val="20"/>
          <w:szCs w:val="20"/>
        </w:rPr>
      </w:pPr>
      <w:r w:rsidRPr="00335934">
        <w:rPr>
          <w:rFonts w:ascii="Verdana" w:hAnsi="Verdana"/>
          <w:sz w:val="20"/>
          <w:szCs w:val="20"/>
        </w:rPr>
        <w:t>Los pensionados, jubilados o el cónyuge, concubina, concubinario, viudo de éstos y personas de sesenta años o más edad;</w:t>
      </w:r>
    </w:p>
    <w:p w14:paraId="77C2198F" w14:textId="77777777" w:rsidR="00902337" w:rsidRPr="00335934" w:rsidRDefault="00902337" w:rsidP="00335934">
      <w:pPr>
        <w:pStyle w:val="NormalWeb"/>
        <w:spacing w:before="0" w:beforeAutospacing="0" w:after="0" w:afterAutospacing="0"/>
        <w:ind w:left="720"/>
        <w:jc w:val="both"/>
        <w:rPr>
          <w:rFonts w:ascii="Verdana" w:hAnsi="Verdana"/>
          <w:sz w:val="20"/>
          <w:szCs w:val="20"/>
        </w:rPr>
      </w:pPr>
    </w:p>
    <w:p w14:paraId="6C5B8CE4" w14:textId="77777777" w:rsidR="00902337" w:rsidRPr="00335934" w:rsidRDefault="00902337" w:rsidP="00335934">
      <w:pPr>
        <w:pStyle w:val="NormalWeb"/>
        <w:numPr>
          <w:ilvl w:val="0"/>
          <w:numId w:val="28"/>
        </w:numPr>
        <w:shd w:val="clear" w:color="auto" w:fill="FFFFFF"/>
        <w:spacing w:before="0" w:beforeAutospacing="0" w:after="0" w:afterAutospacing="0"/>
        <w:jc w:val="both"/>
        <w:rPr>
          <w:rFonts w:ascii="Verdana" w:hAnsi="Verdana"/>
          <w:sz w:val="20"/>
          <w:szCs w:val="20"/>
        </w:rPr>
      </w:pPr>
      <w:r w:rsidRPr="00335934">
        <w:rPr>
          <w:rFonts w:ascii="Verdana" w:hAnsi="Verdana"/>
          <w:sz w:val="20"/>
          <w:szCs w:val="20"/>
        </w:rPr>
        <w:t>Las personas con discapacidad, que les impida laborar; y</w:t>
      </w:r>
    </w:p>
    <w:p w14:paraId="0F390709" w14:textId="77777777" w:rsidR="00902337" w:rsidRPr="00335934" w:rsidRDefault="00902337" w:rsidP="00335934">
      <w:pPr>
        <w:pStyle w:val="NormalWeb"/>
        <w:spacing w:before="0" w:beforeAutospacing="0" w:after="0" w:afterAutospacing="0"/>
        <w:ind w:left="720"/>
        <w:jc w:val="both"/>
        <w:rPr>
          <w:rFonts w:ascii="Verdana" w:hAnsi="Verdana"/>
          <w:sz w:val="20"/>
          <w:szCs w:val="20"/>
        </w:rPr>
      </w:pPr>
    </w:p>
    <w:p w14:paraId="19CF8FA8" w14:textId="77777777" w:rsidR="00902337" w:rsidRPr="00335934" w:rsidRDefault="00902337" w:rsidP="00335934">
      <w:pPr>
        <w:pStyle w:val="NormalWeb"/>
        <w:numPr>
          <w:ilvl w:val="0"/>
          <w:numId w:val="28"/>
        </w:numPr>
        <w:shd w:val="clear" w:color="auto" w:fill="FFFFFF"/>
        <w:spacing w:before="0" w:beforeAutospacing="0" w:after="0" w:afterAutospacing="0"/>
        <w:jc w:val="both"/>
        <w:rPr>
          <w:rFonts w:ascii="Verdana" w:hAnsi="Verdana"/>
          <w:sz w:val="20"/>
          <w:szCs w:val="20"/>
        </w:rPr>
      </w:pPr>
      <w:r w:rsidRPr="00335934">
        <w:rPr>
          <w:rFonts w:ascii="Verdana" w:hAnsi="Verdana"/>
          <w:sz w:val="20"/>
          <w:szCs w:val="20"/>
        </w:rPr>
        <w:lastRenderedPageBreak/>
        <w:t>Los propietarios o poseedores de bienes inmuebles que sean dados en comodato a favor del municipio, y que sean destinados a actividades deportivas, recreativas o culturales. </w:t>
      </w:r>
    </w:p>
    <w:p w14:paraId="4AC6DA07" w14:textId="77777777" w:rsidR="00902337" w:rsidRPr="00335934" w:rsidRDefault="00902337" w:rsidP="00335934">
      <w:pPr>
        <w:pStyle w:val="NormalWeb"/>
        <w:jc w:val="both"/>
        <w:rPr>
          <w:rFonts w:ascii="Verdana" w:hAnsi="Verdana"/>
          <w:sz w:val="20"/>
          <w:szCs w:val="20"/>
        </w:rPr>
      </w:pPr>
      <w:r w:rsidRPr="00335934">
        <w:rPr>
          <w:rFonts w:ascii="Verdana" w:hAnsi="Verdana"/>
          <w:sz w:val="20"/>
          <w:szCs w:val="20"/>
        </w:rPr>
        <w:tab/>
        <w:t>Estos beneficios se otorgarán a una sola casa-habitación y cuyo valor fiscal no exceda de cuarenta veces el valor anual de la Unidad de Medida y Actualización. Por el excedente se tributará a la tasa general.</w:t>
      </w:r>
    </w:p>
    <w:p w14:paraId="49A708A6" w14:textId="77777777" w:rsidR="00902337" w:rsidRPr="00335934" w:rsidRDefault="00902337" w:rsidP="00335934">
      <w:pPr>
        <w:spacing w:line="240" w:lineRule="auto"/>
        <w:jc w:val="both"/>
        <w:rPr>
          <w:rFonts w:ascii="Verdana" w:eastAsia="Times New Roman" w:hAnsi="Verdana" w:cs="Arial"/>
          <w:sz w:val="20"/>
          <w:szCs w:val="20"/>
        </w:rPr>
      </w:pPr>
      <w:r w:rsidRPr="00335934">
        <w:rPr>
          <w:rStyle w:val="Textoennegrita"/>
          <w:rFonts w:ascii="Verdana" w:hAnsi="Verdana" w:cs="Arial"/>
          <w:sz w:val="20"/>
          <w:szCs w:val="20"/>
        </w:rPr>
        <w:tab/>
        <w:t>Artículo 34</w:t>
      </w:r>
      <w:r w:rsidRPr="00335934">
        <w:rPr>
          <w:rFonts w:ascii="Verdana" w:eastAsia="Times New Roman" w:hAnsi="Verdana" w:cs="Arial"/>
          <w:sz w:val="20"/>
          <w:szCs w:val="20"/>
        </w:rPr>
        <w:t>. Los contribuyentes del impuesto predial que cubran anticipadamente el impuesto por anualidad dentro del primer bimestre del 2025, tendrán un descuento del 15% de su importe, excepto los que tributen bajo cuota mínima.</w:t>
      </w:r>
    </w:p>
    <w:p w14:paraId="4DA97AEF" w14:textId="77777777" w:rsidR="00902337" w:rsidRPr="00335934" w:rsidRDefault="00902337" w:rsidP="00335934">
      <w:pPr>
        <w:spacing w:line="240" w:lineRule="auto"/>
        <w:jc w:val="center"/>
        <w:rPr>
          <w:rStyle w:val="Textoennegrita"/>
          <w:rFonts w:ascii="Verdana" w:hAnsi="Verdana" w:cs="Arial"/>
          <w:sz w:val="20"/>
          <w:szCs w:val="20"/>
          <w:highlight w:val="yellow"/>
        </w:rPr>
      </w:pPr>
    </w:p>
    <w:p w14:paraId="79DDF937" w14:textId="77777777" w:rsidR="00902337" w:rsidRPr="00335934" w:rsidRDefault="00902337" w:rsidP="00335934">
      <w:pPr>
        <w:spacing w:line="240" w:lineRule="auto"/>
        <w:jc w:val="center"/>
        <w:rPr>
          <w:rFonts w:ascii="Verdana" w:eastAsia="Times New Roman" w:hAnsi="Verdana" w:cs="Arial"/>
          <w:sz w:val="20"/>
          <w:szCs w:val="20"/>
        </w:rPr>
      </w:pPr>
      <w:r w:rsidRPr="00335934">
        <w:rPr>
          <w:rStyle w:val="Textoennegrita"/>
          <w:rFonts w:ascii="Verdana" w:hAnsi="Verdana" w:cs="Arial"/>
          <w:sz w:val="20"/>
          <w:szCs w:val="20"/>
        </w:rPr>
        <w:t>SECCIÓN SEGUNDA</w:t>
      </w:r>
      <w:r w:rsidRPr="00335934">
        <w:rPr>
          <w:rFonts w:ascii="Verdana" w:eastAsia="Times New Roman" w:hAnsi="Verdana" w:cs="Arial"/>
          <w:b/>
          <w:bCs/>
          <w:sz w:val="20"/>
          <w:szCs w:val="20"/>
        </w:rPr>
        <w:br/>
      </w:r>
      <w:r w:rsidRPr="00335934">
        <w:rPr>
          <w:rStyle w:val="Textoennegrita"/>
          <w:rFonts w:ascii="Verdana" w:hAnsi="Verdana" w:cs="Arial"/>
          <w:sz w:val="20"/>
          <w:szCs w:val="20"/>
        </w:rPr>
        <w:t>DERECHOS POR SERVICIOS CATASTRALES</w:t>
      </w:r>
    </w:p>
    <w:p w14:paraId="6CD86961" w14:textId="77777777" w:rsidR="00902337" w:rsidRPr="00335934" w:rsidRDefault="00902337" w:rsidP="00335934">
      <w:pPr>
        <w:spacing w:line="240" w:lineRule="auto"/>
        <w:jc w:val="both"/>
        <w:rPr>
          <w:rFonts w:ascii="Verdana" w:eastAsia="Times New Roman" w:hAnsi="Verdana" w:cs="Arial"/>
          <w:sz w:val="20"/>
          <w:szCs w:val="20"/>
        </w:rPr>
      </w:pPr>
      <w:r w:rsidRPr="00335934">
        <w:rPr>
          <w:rStyle w:val="Textoennegrita"/>
          <w:rFonts w:ascii="Verdana" w:hAnsi="Verdana" w:cs="Arial"/>
          <w:sz w:val="20"/>
          <w:szCs w:val="20"/>
        </w:rPr>
        <w:tab/>
        <w:t>Artículo 35</w:t>
      </w:r>
      <w:r w:rsidRPr="00335934">
        <w:rPr>
          <w:rFonts w:ascii="Verdana" w:eastAsia="Times New Roman" w:hAnsi="Verdana" w:cs="Arial"/>
          <w:sz w:val="20"/>
          <w:szCs w:val="20"/>
        </w:rPr>
        <w:t>. Tratándose de avalúos de predios rústicos que se sujeten al procedimiento de regularización previsto en la Ley para la Regularización de Predios Rústicos en el Estado de Guanajuato, se cobrará un 25% de la tarifa fijada en las fracciones II y III del artículo 21 de esta ley.</w:t>
      </w:r>
    </w:p>
    <w:p w14:paraId="454F9198" w14:textId="77777777" w:rsidR="00902337" w:rsidRPr="00335934" w:rsidRDefault="00902337" w:rsidP="00335934">
      <w:pPr>
        <w:spacing w:line="240" w:lineRule="auto"/>
        <w:jc w:val="center"/>
        <w:rPr>
          <w:rStyle w:val="Textoennegrita"/>
          <w:rFonts w:ascii="Verdana" w:hAnsi="Verdana" w:cs="Arial"/>
          <w:sz w:val="20"/>
          <w:szCs w:val="20"/>
          <w:highlight w:val="yellow"/>
        </w:rPr>
      </w:pPr>
    </w:p>
    <w:p w14:paraId="189148AA" w14:textId="77777777" w:rsidR="00902337" w:rsidRPr="00335934" w:rsidRDefault="00902337" w:rsidP="00335934">
      <w:pPr>
        <w:spacing w:line="240" w:lineRule="auto"/>
        <w:jc w:val="center"/>
        <w:rPr>
          <w:rFonts w:ascii="Verdana" w:eastAsia="Times New Roman" w:hAnsi="Verdana" w:cs="Arial"/>
          <w:sz w:val="20"/>
          <w:szCs w:val="20"/>
        </w:rPr>
      </w:pPr>
      <w:r w:rsidRPr="00335934">
        <w:rPr>
          <w:rStyle w:val="Textoennegrita"/>
          <w:rFonts w:ascii="Verdana" w:hAnsi="Verdana" w:cs="Arial"/>
          <w:sz w:val="20"/>
          <w:szCs w:val="20"/>
        </w:rPr>
        <w:t>SECCIÓN TERCERA</w:t>
      </w:r>
      <w:r w:rsidRPr="00335934">
        <w:rPr>
          <w:rFonts w:ascii="Verdana" w:eastAsia="Times New Roman" w:hAnsi="Verdana" w:cs="Arial"/>
          <w:b/>
          <w:bCs/>
          <w:sz w:val="20"/>
          <w:szCs w:val="20"/>
        </w:rPr>
        <w:br/>
      </w:r>
      <w:r w:rsidRPr="00335934">
        <w:rPr>
          <w:rStyle w:val="Textoennegrita"/>
          <w:rFonts w:ascii="Verdana" w:hAnsi="Verdana" w:cs="Arial"/>
          <w:sz w:val="20"/>
          <w:szCs w:val="20"/>
        </w:rPr>
        <w:t>SERVICIO DE AGUA POTABLE, DRENAJE, ALCANTARILLADO, TRATAMIENTO Y DISPOSICION DE SUS AGUAS RESIDUALES</w:t>
      </w:r>
    </w:p>
    <w:p w14:paraId="6AEF2185" w14:textId="77777777" w:rsidR="00902337" w:rsidRPr="00335934" w:rsidRDefault="00902337" w:rsidP="00335934">
      <w:pPr>
        <w:spacing w:line="240" w:lineRule="auto"/>
        <w:jc w:val="both"/>
        <w:rPr>
          <w:rFonts w:ascii="Verdana" w:eastAsia="Times New Roman" w:hAnsi="Verdana" w:cs="Arial"/>
          <w:sz w:val="20"/>
          <w:szCs w:val="20"/>
        </w:rPr>
      </w:pPr>
      <w:r w:rsidRPr="00335934">
        <w:rPr>
          <w:rStyle w:val="Textoennegrita"/>
          <w:rFonts w:ascii="Verdana" w:hAnsi="Verdana" w:cs="Arial"/>
          <w:sz w:val="20"/>
          <w:szCs w:val="20"/>
        </w:rPr>
        <w:tab/>
        <w:t>Artículo 36</w:t>
      </w:r>
      <w:r w:rsidRPr="00335934">
        <w:rPr>
          <w:rFonts w:ascii="Verdana" w:eastAsia="Times New Roman" w:hAnsi="Verdana" w:cs="Arial"/>
          <w:sz w:val="20"/>
          <w:szCs w:val="20"/>
        </w:rPr>
        <w:t>. El Ayuntamiento a fin de dar cumplimiento al derecho humano al agua, podrá establecer tratamientos fiscales preferenciales en los cobros por acceso al agua para población en condiciones de vulnerabilidad. </w:t>
      </w:r>
    </w:p>
    <w:p w14:paraId="79807F5F" w14:textId="77777777" w:rsidR="00902337" w:rsidRPr="00335934" w:rsidRDefault="00902337" w:rsidP="00335934">
      <w:pPr>
        <w:spacing w:line="240" w:lineRule="auto"/>
        <w:ind w:firstLine="851"/>
        <w:jc w:val="both"/>
        <w:rPr>
          <w:rFonts w:ascii="Verdana" w:eastAsia="Times New Roman" w:hAnsi="Verdana" w:cs="Arial"/>
          <w:sz w:val="20"/>
          <w:szCs w:val="20"/>
        </w:rPr>
      </w:pPr>
      <w:r w:rsidRPr="00335934">
        <w:rPr>
          <w:rFonts w:ascii="Verdana" w:eastAsia="Times New Roman" w:hAnsi="Verdana" w:cs="Arial"/>
          <w:sz w:val="20"/>
          <w:szCs w:val="20"/>
        </w:rPr>
        <w:t xml:space="preserve">Los usuarios del servicio de agua potable que paguen por adelantado su servicio anual durante el primer bimestre del 2025, tendrán un descuento del 20%. </w:t>
      </w:r>
    </w:p>
    <w:p w14:paraId="51A36BB4" w14:textId="77777777" w:rsidR="00902337" w:rsidRPr="00335934" w:rsidRDefault="00902337" w:rsidP="00335934">
      <w:pPr>
        <w:spacing w:line="240" w:lineRule="auto"/>
        <w:jc w:val="center"/>
        <w:rPr>
          <w:rStyle w:val="Textoennegrita"/>
          <w:rFonts w:ascii="Verdana" w:hAnsi="Verdana" w:cs="Arial"/>
          <w:sz w:val="20"/>
          <w:szCs w:val="20"/>
        </w:rPr>
      </w:pPr>
    </w:p>
    <w:p w14:paraId="0567AC8A" w14:textId="77777777" w:rsidR="00902337" w:rsidRPr="00335934" w:rsidRDefault="00902337" w:rsidP="00335934">
      <w:pPr>
        <w:spacing w:line="240" w:lineRule="auto"/>
        <w:jc w:val="center"/>
        <w:rPr>
          <w:rFonts w:ascii="Verdana" w:eastAsia="Times New Roman" w:hAnsi="Verdana" w:cs="Arial"/>
          <w:sz w:val="20"/>
          <w:szCs w:val="20"/>
        </w:rPr>
      </w:pPr>
      <w:r w:rsidRPr="00335934">
        <w:rPr>
          <w:rStyle w:val="Textoennegrita"/>
          <w:rFonts w:ascii="Verdana" w:hAnsi="Verdana" w:cs="Arial"/>
          <w:sz w:val="20"/>
          <w:szCs w:val="20"/>
        </w:rPr>
        <w:t>SECCIÓN CUARTA</w:t>
      </w:r>
      <w:r w:rsidRPr="00335934">
        <w:rPr>
          <w:rFonts w:ascii="Verdana" w:eastAsia="Times New Roman" w:hAnsi="Verdana" w:cs="Arial"/>
          <w:b/>
          <w:bCs/>
          <w:sz w:val="20"/>
          <w:szCs w:val="20"/>
        </w:rPr>
        <w:br/>
      </w:r>
      <w:r w:rsidRPr="00335934">
        <w:rPr>
          <w:rStyle w:val="Textoennegrita"/>
          <w:rFonts w:ascii="Verdana" w:hAnsi="Verdana" w:cs="Arial"/>
          <w:sz w:val="20"/>
          <w:szCs w:val="20"/>
        </w:rPr>
        <w:t>IMPUESTO SOBRE LA ADQUISICION DE BIENES INMUEBLES</w:t>
      </w:r>
    </w:p>
    <w:p w14:paraId="7552DCEE" w14:textId="77777777" w:rsidR="00902337" w:rsidRPr="00335934" w:rsidRDefault="00902337" w:rsidP="00335934">
      <w:pPr>
        <w:pStyle w:val="NormalWeb"/>
        <w:jc w:val="both"/>
        <w:rPr>
          <w:rFonts w:ascii="Verdana" w:hAnsi="Verdana"/>
          <w:sz w:val="20"/>
          <w:szCs w:val="20"/>
        </w:rPr>
      </w:pPr>
      <w:r w:rsidRPr="00335934">
        <w:rPr>
          <w:rStyle w:val="Textoennegrita"/>
          <w:rFonts w:ascii="Verdana" w:hAnsi="Verdana"/>
          <w:sz w:val="20"/>
          <w:szCs w:val="20"/>
        </w:rPr>
        <w:tab/>
        <w:t>Artículo 37</w:t>
      </w:r>
      <w:r w:rsidRPr="00335934">
        <w:rPr>
          <w:rFonts w:ascii="Verdana" w:hAnsi="Verdana"/>
          <w:sz w:val="20"/>
          <w:szCs w:val="20"/>
        </w:rPr>
        <w:t>.</w:t>
      </w:r>
      <w:r w:rsidRPr="00335934">
        <w:rPr>
          <w:rFonts w:ascii="Verdana" w:hAnsi="Verdana"/>
          <w:b/>
          <w:bCs/>
          <w:sz w:val="20"/>
          <w:szCs w:val="20"/>
        </w:rPr>
        <w:t> </w:t>
      </w:r>
      <w:r w:rsidRPr="00335934">
        <w:rPr>
          <w:rFonts w:ascii="Verdana" w:hAnsi="Verdana"/>
          <w:sz w:val="20"/>
          <w:szCs w:val="20"/>
        </w:rPr>
        <w:t>Para los efectos de la reducción del valor de los inmuebles en el cálculo del Impuesto sobre adquisición de bienes inmuebles a que se refiere el artículo 181 de la Ley de Hacienda para los Municipios del Estado de Guanajuato, además de las reducciones señaladas en las fracciones I y II del citado ordenamiento, el municipio aplicará una reducción adicional al valor del inmueble que corresponda de la siguiente manera:</w:t>
      </w:r>
    </w:p>
    <w:p w14:paraId="06F29C83" w14:textId="77777777" w:rsidR="00902337" w:rsidRPr="00335934" w:rsidRDefault="00902337" w:rsidP="00335934">
      <w:pPr>
        <w:pStyle w:val="NormalWeb"/>
        <w:jc w:val="both"/>
        <w:rPr>
          <w:rFonts w:ascii="Verdana" w:hAnsi="Verdana"/>
          <w:sz w:val="20"/>
          <w:szCs w:val="20"/>
        </w:rPr>
      </w:pPr>
      <w:r w:rsidRPr="00335934">
        <w:rPr>
          <w:rFonts w:ascii="Verdana" w:hAnsi="Verdana"/>
          <w:b/>
          <w:bCs/>
          <w:sz w:val="20"/>
          <w:szCs w:val="20"/>
        </w:rPr>
        <w:tab/>
        <w:t xml:space="preserve">a)   </w:t>
      </w:r>
      <w:r w:rsidRPr="00335934">
        <w:rPr>
          <w:rFonts w:ascii="Verdana" w:hAnsi="Verdana"/>
          <w:sz w:val="20"/>
          <w:szCs w:val="20"/>
        </w:rPr>
        <w:t xml:space="preserve">Tratándose de los inmuebles a que se refiere la fracción I, de 10 veces el </w:t>
      </w:r>
      <w:r w:rsidRPr="00335934">
        <w:rPr>
          <w:rFonts w:ascii="Verdana" w:hAnsi="Verdana"/>
          <w:sz w:val="20"/>
          <w:szCs w:val="20"/>
        </w:rPr>
        <w:tab/>
        <w:t xml:space="preserve">valor diario de la Unidad de Medida y Actualización elevada al año. </w:t>
      </w:r>
    </w:p>
    <w:p w14:paraId="246AFF6B" w14:textId="77777777" w:rsidR="00902337" w:rsidRPr="00335934" w:rsidRDefault="00902337" w:rsidP="00335934">
      <w:pPr>
        <w:spacing w:line="240" w:lineRule="auto"/>
        <w:jc w:val="both"/>
        <w:rPr>
          <w:rFonts w:ascii="Verdana" w:eastAsia="Times New Roman" w:hAnsi="Verdana" w:cs="Arial"/>
          <w:sz w:val="20"/>
          <w:szCs w:val="20"/>
        </w:rPr>
      </w:pPr>
      <w:r w:rsidRPr="00335934">
        <w:rPr>
          <w:rFonts w:ascii="Verdana" w:eastAsia="Times New Roman" w:hAnsi="Verdana" w:cs="Arial"/>
          <w:b/>
          <w:bCs/>
          <w:sz w:val="20"/>
          <w:szCs w:val="20"/>
        </w:rPr>
        <w:tab/>
        <w:t xml:space="preserve">b)   </w:t>
      </w:r>
      <w:r w:rsidRPr="00335934">
        <w:rPr>
          <w:rFonts w:ascii="Verdana" w:eastAsia="Times New Roman" w:hAnsi="Verdana" w:cs="Arial"/>
          <w:sz w:val="20"/>
          <w:szCs w:val="20"/>
        </w:rPr>
        <w:t xml:space="preserve">Tratándose de los inmuebles a que se refiere la fracción II, de 15 veces el </w:t>
      </w:r>
      <w:r w:rsidRPr="00335934">
        <w:rPr>
          <w:rFonts w:ascii="Verdana" w:eastAsia="Times New Roman" w:hAnsi="Verdana" w:cs="Arial"/>
          <w:sz w:val="20"/>
          <w:szCs w:val="20"/>
        </w:rPr>
        <w:tab/>
        <w:t>valor diario de la Unidad de Medida y Actualización elevada al año.</w:t>
      </w:r>
    </w:p>
    <w:p w14:paraId="1443D6A1" w14:textId="77777777" w:rsidR="00902337" w:rsidRPr="00335934" w:rsidRDefault="00902337" w:rsidP="00335934">
      <w:pPr>
        <w:pStyle w:val="Sinespaciado"/>
        <w:jc w:val="center"/>
        <w:rPr>
          <w:rStyle w:val="Textoennegrita"/>
          <w:rFonts w:ascii="Verdana" w:hAnsi="Verdana" w:cs="Arial"/>
          <w:sz w:val="20"/>
          <w:szCs w:val="20"/>
        </w:rPr>
      </w:pPr>
      <w:r w:rsidRPr="00335934">
        <w:rPr>
          <w:rStyle w:val="Textoennegrita"/>
          <w:rFonts w:ascii="Verdana" w:hAnsi="Verdana" w:cs="Arial"/>
          <w:sz w:val="20"/>
          <w:szCs w:val="20"/>
        </w:rPr>
        <w:lastRenderedPageBreak/>
        <w:t>SECCIÓN QUINTA</w:t>
      </w:r>
      <w:r w:rsidRPr="00335934">
        <w:br/>
      </w:r>
      <w:r w:rsidRPr="00335934">
        <w:rPr>
          <w:rStyle w:val="Textoennegrita"/>
          <w:rFonts w:ascii="Verdana" w:hAnsi="Verdana" w:cs="Arial"/>
          <w:sz w:val="20"/>
          <w:szCs w:val="20"/>
        </w:rPr>
        <w:t>DERECHOS POR LA EXPEDICIÓN DE CERTIFICADOS,</w:t>
      </w:r>
    </w:p>
    <w:p w14:paraId="098DA47A" w14:textId="77777777" w:rsidR="00902337" w:rsidRPr="00335934" w:rsidRDefault="00902337" w:rsidP="00335934">
      <w:pPr>
        <w:pStyle w:val="Sinespaciado"/>
        <w:jc w:val="center"/>
      </w:pPr>
      <w:r w:rsidRPr="00335934">
        <w:rPr>
          <w:rStyle w:val="Textoennegrita"/>
          <w:rFonts w:ascii="Verdana" w:hAnsi="Verdana" w:cs="Arial"/>
          <w:sz w:val="20"/>
          <w:szCs w:val="20"/>
        </w:rPr>
        <w:t>CERTIFICACIONES, CONSTANCIAS Y CARTAS</w:t>
      </w:r>
    </w:p>
    <w:p w14:paraId="19EB8276" w14:textId="77777777" w:rsidR="00902337" w:rsidRPr="00335934" w:rsidRDefault="00902337" w:rsidP="00335934">
      <w:pPr>
        <w:pStyle w:val="Sinespaciado"/>
        <w:jc w:val="center"/>
        <w:rPr>
          <w:rStyle w:val="Textoennegrita"/>
          <w:rFonts w:ascii="Verdana" w:hAnsi="Verdana" w:cs="Arial"/>
          <w:sz w:val="20"/>
          <w:szCs w:val="20"/>
        </w:rPr>
      </w:pPr>
    </w:p>
    <w:p w14:paraId="7AF8ADCC" w14:textId="77777777" w:rsidR="00902337" w:rsidRPr="00335934" w:rsidRDefault="00902337" w:rsidP="00335934">
      <w:pPr>
        <w:spacing w:line="240" w:lineRule="auto"/>
        <w:jc w:val="both"/>
        <w:rPr>
          <w:rFonts w:ascii="Verdana" w:eastAsia="Times New Roman" w:hAnsi="Verdana" w:cs="Arial"/>
          <w:sz w:val="20"/>
          <w:szCs w:val="20"/>
        </w:rPr>
      </w:pPr>
      <w:r w:rsidRPr="00335934">
        <w:rPr>
          <w:rStyle w:val="Textoennegrita"/>
          <w:rFonts w:ascii="Verdana" w:hAnsi="Verdana" w:cs="Arial"/>
          <w:sz w:val="20"/>
          <w:szCs w:val="20"/>
        </w:rPr>
        <w:tab/>
        <w:t>Artículo 38</w:t>
      </w:r>
      <w:r w:rsidRPr="00335934">
        <w:rPr>
          <w:rFonts w:ascii="Verdana" w:eastAsia="Times New Roman" w:hAnsi="Verdana" w:cs="Arial"/>
          <w:sz w:val="20"/>
          <w:szCs w:val="20"/>
        </w:rPr>
        <w:t>. Los derechos por la expedición de certificados, certificaciones, constancias y cartas se causarán al 50% de la tarifa prevista en el artículo 23 de esta Ley, cuando sean para la obtención de becas o para acceder a programas asistenciales. </w:t>
      </w:r>
    </w:p>
    <w:p w14:paraId="2A32A692" w14:textId="77777777" w:rsidR="00902337" w:rsidRPr="00335934" w:rsidRDefault="00902337" w:rsidP="00335934">
      <w:pPr>
        <w:pStyle w:val="Sinespaciado"/>
        <w:jc w:val="center"/>
        <w:rPr>
          <w:rFonts w:ascii="Verdana" w:hAnsi="Verdana"/>
          <w:sz w:val="20"/>
          <w:szCs w:val="20"/>
        </w:rPr>
      </w:pPr>
      <w:r w:rsidRPr="00335934">
        <w:rPr>
          <w:rStyle w:val="Textoennegrita"/>
          <w:rFonts w:ascii="Verdana" w:hAnsi="Verdana" w:cs="Arial"/>
          <w:sz w:val="20"/>
          <w:szCs w:val="20"/>
        </w:rPr>
        <w:t>SECCIÓN SEXTA</w:t>
      </w:r>
    </w:p>
    <w:p w14:paraId="742CE86E" w14:textId="77777777" w:rsidR="00902337" w:rsidRPr="00335934" w:rsidRDefault="00902337" w:rsidP="00335934">
      <w:pPr>
        <w:pStyle w:val="Sinespaciado"/>
        <w:jc w:val="center"/>
        <w:rPr>
          <w:rFonts w:ascii="Verdana" w:hAnsi="Verdana"/>
          <w:sz w:val="20"/>
          <w:szCs w:val="20"/>
        </w:rPr>
      </w:pPr>
      <w:r w:rsidRPr="00335934">
        <w:rPr>
          <w:rStyle w:val="Textoennegrita"/>
          <w:rFonts w:ascii="Verdana" w:hAnsi="Verdana" w:cs="Arial"/>
          <w:sz w:val="20"/>
          <w:szCs w:val="20"/>
        </w:rPr>
        <w:t>ALUMBRADO PÚBLICO</w:t>
      </w:r>
    </w:p>
    <w:p w14:paraId="79DDC968" w14:textId="77777777" w:rsidR="00902337" w:rsidRPr="00335934" w:rsidRDefault="00902337" w:rsidP="00335934">
      <w:pPr>
        <w:pStyle w:val="NormalWeb"/>
        <w:jc w:val="both"/>
        <w:rPr>
          <w:rFonts w:ascii="Verdana" w:hAnsi="Verdana"/>
          <w:sz w:val="20"/>
          <w:szCs w:val="20"/>
        </w:rPr>
      </w:pPr>
      <w:r w:rsidRPr="00335934">
        <w:rPr>
          <w:rStyle w:val="Textoennegrita"/>
          <w:rFonts w:ascii="Verdana" w:hAnsi="Verdana"/>
          <w:sz w:val="20"/>
          <w:szCs w:val="20"/>
        </w:rPr>
        <w:tab/>
        <w:t>Artículo 39</w:t>
      </w:r>
      <w:r w:rsidRPr="00335934">
        <w:rPr>
          <w:rFonts w:ascii="Verdana" w:hAnsi="Verdana"/>
          <w:sz w:val="20"/>
          <w:szCs w:val="20"/>
        </w:rPr>
        <w:t>. 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ésta última.</w:t>
      </w:r>
    </w:p>
    <w:p w14:paraId="1CB3645E" w14:textId="77777777" w:rsidR="00335934" w:rsidRDefault="00335934" w:rsidP="00335934">
      <w:pPr>
        <w:pStyle w:val="Sinespaciado"/>
        <w:jc w:val="center"/>
        <w:rPr>
          <w:rFonts w:ascii="Verdana" w:hAnsi="Verdana"/>
          <w:b/>
          <w:bCs/>
          <w:sz w:val="20"/>
          <w:szCs w:val="20"/>
        </w:rPr>
      </w:pPr>
    </w:p>
    <w:p w14:paraId="4C8487F4" w14:textId="21B44B24" w:rsidR="00902337" w:rsidRPr="00335934" w:rsidRDefault="00902337" w:rsidP="00335934">
      <w:pPr>
        <w:pStyle w:val="Sinespaciado"/>
        <w:jc w:val="center"/>
        <w:rPr>
          <w:rFonts w:ascii="Verdana" w:hAnsi="Verdana"/>
          <w:b/>
          <w:bCs/>
          <w:sz w:val="20"/>
          <w:szCs w:val="20"/>
        </w:rPr>
      </w:pPr>
      <w:r w:rsidRPr="00335934">
        <w:rPr>
          <w:rFonts w:ascii="Verdana" w:hAnsi="Verdana"/>
          <w:b/>
          <w:bCs/>
          <w:sz w:val="20"/>
          <w:szCs w:val="20"/>
        </w:rPr>
        <w:t>CAPÍTULO UNDÉCIMO</w:t>
      </w:r>
      <w:r w:rsidRPr="00335934">
        <w:rPr>
          <w:rFonts w:ascii="Verdana" w:hAnsi="Verdana"/>
          <w:b/>
          <w:bCs/>
          <w:sz w:val="20"/>
          <w:szCs w:val="20"/>
        </w:rPr>
        <w:br/>
        <w:t>MEDIOS DE DEFENSA APLICABLES EN IMPUESTO PREDIAL</w:t>
      </w:r>
    </w:p>
    <w:p w14:paraId="13606825" w14:textId="77777777" w:rsidR="00902337" w:rsidRPr="00335934" w:rsidRDefault="00902337" w:rsidP="00335934">
      <w:pPr>
        <w:pStyle w:val="Sinespaciado"/>
        <w:jc w:val="center"/>
        <w:rPr>
          <w:rStyle w:val="Textoennegrita"/>
          <w:rFonts w:ascii="Verdana" w:hAnsi="Verdana" w:cs="Arial"/>
          <w:sz w:val="20"/>
          <w:szCs w:val="20"/>
        </w:rPr>
      </w:pPr>
    </w:p>
    <w:p w14:paraId="7488185F" w14:textId="77777777" w:rsidR="00902337" w:rsidRPr="00335934" w:rsidRDefault="00902337" w:rsidP="00335934">
      <w:pPr>
        <w:pStyle w:val="Sinespaciado"/>
        <w:jc w:val="center"/>
        <w:rPr>
          <w:rFonts w:ascii="Verdana" w:hAnsi="Verdana"/>
          <w:b/>
          <w:bCs/>
          <w:sz w:val="20"/>
          <w:szCs w:val="20"/>
        </w:rPr>
      </w:pPr>
      <w:r w:rsidRPr="00335934">
        <w:rPr>
          <w:rStyle w:val="Textoennegrita"/>
          <w:rFonts w:ascii="Verdana" w:hAnsi="Verdana" w:cs="Arial"/>
          <w:sz w:val="20"/>
          <w:szCs w:val="20"/>
        </w:rPr>
        <w:t>SECCIÓN UNICA</w:t>
      </w:r>
    </w:p>
    <w:p w14:paraId="241BF8E9" w14:textId="77777777" w:rsidR="00902337" w:rsidRPr="00335934" w:rsidRDefault="00902337" w:rsidP="00335934">
      <w:pPr>
        <w:pStyle w:val="Sinespaciado"/>
        <w:jc w:val="center"/>
        <w:rPr>
          <w:rFonts w:ascii="Verdana" w:hAnsi="Verdana"/>
          <w:b/>
          <w:bCs/>
          <w:sz w:val="20"/>
          <w:szCs w:val="20"/>
        </w:rPr>
      </w:pPr>
      <w:r w:rsidRPr="00335934">
        <w:rPr>
          <w:rStyle w:val="Textoennegrita"/>
          <w:rFonts w:ascii="Verdana" w:hAnsi="Verdana" w:cs="Arial"/>
          <w:sz w:val="20"/>
          <w:szCs w:val="20"/>
        </w:rPr>
        <w:t>RECURSO DE REVISIÓN</w:t>
      </w:r>
    </w:p>
    <w:p w14:paraId="6028DAFC" w14:textId="77777777" w:rsidR="00902337" w:rsidRPr="00335934" w:rsidRDefault="00902337" w:rsidP="00335934">
      <w:pPr>
        <w:pStyle w:val="NormalWeb"/>
        <w:jc w:val="both"/>
        <w:rPr>
          <w:rFonts w:ascii="Verdana" w:hAnsi="Verdana"/>
          <w:sz w:val="20"/>
          <w:szCs w:val="20"/>
        </w:rPr>
      </w:pPr>
      <w:r w:rsidRPr="00335934">
        <w:rPr>
          <w:rStyle w:val="Textoennegrita"/>
          <w:rFonts w:ascii="Verdana" w:hAnsi="Verdana"/>
          <w:sz w:val="20"/>
          <w:szCs w:val="20"/>
        </w:rPr>
        <w:tab/>
        <w:t>Artículo 40</w:t>
      </w:r>
      <w:r w:rsidRPr="00335934">
        <w:rPr>
          <w:rFonts w:ascii="Verdana" w:hAnsi="Verdana"/>
          <w:sz w:val="20"/>
          <w:szCs w:val="20"/>
        </w:rPr>
        <w:t>. Los propietarios o poseedores de bienes inmuebles sin edificar, podrán acudir a la tesorería municipal a presentar recurso de revisión, a fin de que les sea aplicable la tasa general de los inmuebles urbanos y suburbanos con edificación, cuando consideren que sus predios no representen un problema de salud pública, ambiental o de seguridad pública, o no se especule comercialmente con su valor por el solo hecho de su ubicación, y los beneficios que recibe de las obras públicas realizadas por el municipio.</w:t>
      </w:r>
    </w:p>
    <w:p w14:paraId="1A65D54F" w14:textId="77777777" w:rsidR="00902337" w:rsidRPr="00335934" w:rsidRDefault="00902337" w:rsidP="00335934">
      <w:pPr>
        <w:pStyle w:val="NormalWeb"/>
        <w:jc w:val="both"/>
        <w:rPr>
          <w:rFonts w:ascii="Verdana" w:hAnsi="Verdana"/>
          <w:sz w:val="20"/>
          <w:szCs w:val="20"/>
        </w:rPr>
      </w:pPr>
      <w:r w:rsidRPr="00335934">
        <w:rPr>
          <w:rFonts w:ascii="Verdana" w:hAnsi="Verdana"/>
          <w:sz w:val="20"/>
          <w:szCs w:val="20"/>
        </w:rPr>
        <w:tab/>
        <w:t>El recurso de revisión deberá substanciarse y resolverse en  lo conducente, conforme a lo dispuesto para el recurso de revocación establecido en la Ley de Hacienda para los Municipios del Estado de Guanajuato.</w:t>
      </w:r>
    </w:p>
    <w:p w14:paraId="4FB4F06B" w14:textId="77777777" w:rsidR="00902337" w:rsidRPr="00335934" w:rsidRDefault="00902337" w:rsidP="00335934">
      <w:pPr>
        <w:pStyle w:val="NormalWeb"/>
        <w:spacing w:after="0" w:afterAutospacing="0"/>
        <w:jc w:val="both"/>
        <w:rPr>
          <w:rFonts w:ascii="Verdana" w:hAnsi="Verdana"/>
          <w:sz w:val="20"/>
          <w:szCs w:val="20"/>
        </w:rPr>
      </w:pPr>
      <w:r w:rsidRPr="00335934">
        <w:rPr>
          <w:rFonts w:ascii="Verdana" w:hAnsi="Verdana"/>
          <w:sz w:val="20"/>
          <w:szCs w:val="20"/>
        </w:rPr>
        <w:tab/>
        <w:t>Si la autoridad municipal deja sin efectos la aplicación de la tasa diferencial para inmuebles sin edificar recurrida por el contribuyente, se aplicará la tasa general.</w:t>
      </w:r>
    </w:p>
    <w:p w14:paraId="6B7825F7" w14:textId="77777777" w:rsidR="00902337" w:rsidRPr="00335934" w:rsidRDefault="00902337" w:rsidP="00335934">
      <w:pPr>
        <w:spacing w:line="240" w:lineRule="auto"/>
        <w:jc w:val="center"/>
        <w:rPr>
          <w:rFonts w:ascii="Verdana" w:eastAsia="Times New Roman" w:hAnsi="Verdana" w:cs="Arial"/>
          <w:b/>
          <w:bCs/>
          <w:sz w:val="20"/>
          <w:szCs w:val="20"/>
          <w:highlight w:val="yellow"/>
        </w:rPr>
      </w:pPr>
    </w:p>
    <w:p w14:paraId="7B55608D" w14:textId="3BFF3E15" w:rsidR="00902337" w:rsidRPr="00335934" w:rsidRDefault="00902337" w:rsidP="00335934">
      <w:pPr>
        <w:pStyle w:val="Sinespaciado"/>
        <w:jc w:val="center"/>
        <w:rPr>
          <w:rFonts w:ascii="Verdana" w:hAnsi="Verdana"/>
          <w:b/>
          <w:bCs/>
          <w:sz w:val="20"/>
          <w:szCs w:val="20"/>
        </w:rPr>
      </w:pPr>
      <w:r w:rsidRPr="00335934">
        <w:rPr>
          <w:rFonts w:ascii="Verdana" w:hAnsi="Verdana"/>
          <w:b/>
          <w:bCs/>
          <w:sz w:val="20"/>
          <w:szCs w:val="20"/>
        </w:rPr>
        <w:t>CAPÍTULO DUODÉCIMO</w:t>
      </w:r>
      <w:r w:rsidRPr="00335934">
        <w:rPr>
          <w:rFonts w:ascii="Verdana" w:hAnsi="Verdana"/>
          <w:b/>
          <w:bCs/>
          <w:sz w:val="20"/>
          <w:szCs w:val="20"/>
        </w:rPr>
        <w:br/>
        <w:t>AJUSTES</w:t>
      </w:r>
    </w:p>
    <w:p w14:paraId="1565E9C0" w14:textId="77777777" w:rsidR="00902337" w:rsidRPr="00335934" w:rsidRDefault="00902337" w:rsidP="00335934">
      <w:pPr>
        <w:pStyle w:val="Sinespaciado"/>
        <w:jc w:val="center"/>
        <w:rPr>
          <w:rStyle w:val="Textoennegrita"/>
          <w:rFonts w:ascii="Verdana" w:hAnsi="Verdana" w:cs="Arial"/>
          <w:sz w:val="20"/>
          <w:szCs w:val="20"/>
        </w:rPr>
      </w:pPr>
    </w:p>
    <w:p w14:paraId="01C52D37" w14:textId="77777777" w:rsidR="00902337" w:rsidRPr="00335934" w:rsidRDefault="00902337" w:rsidP="00335934">
      <w:pPr>
        <w:pStyle w:val="Sinespaciado"/>
        <w:jc w:val="center"/>
        <w:rPr>
          <w:rFonts w:ascii="Verdana" w:hAnsi="Verdana"/>
          <w:b/>
          <w:bCs/>
          <w:sz w:val="20"/>
          <w:szCs w:val="20"/>
        </w:rPr>
      </w:pPr>
      <w:r w:rsidRPr="00335934">
        <w:rPr>
          <w:rStyle w:val="Textoennegrita"/>
          <w:rFonts w:ascii="Verdana" w:hAnsi="Verdana" w:cs="Arial"/>
          <w:sz w:val="20"/>
          <w:szCs w:val="20"/>
        </w:rPr>
        <w:t>SECCIÓN ÚNICA</w:t>
      </w:r>
    </w:p>
    <w:p w14:paraId="04644EE2" w14:textId="77777777" w:rsidR="00902337" w:rsidRPr="00335934" w:rsidRDefault="00902337" w:rsidP="00335934">
      <w:pPr>
        <w:pStyle w:val="Sinespaciado"/>
        <w:jc w:val="center"/>
        <w:rPr>
          <w:rFonts w:ascii="Verdana" w:hAnsi="Verdana"/>
          <w:b/>
          <w:bCs/>
          <w:sz w:val="20"/>
          <w:szCs w:val="20"/>
        </w:rPr>
      </w:pPr>
      <w:r w:rsidRPr="00335934">
        <w:rPr>
          <w:rStyle w:val="Textoennegrita"/>
          <w:rFonts w:ascii="Verdana" w:hAnsi="Verdana" w:cs="Arial"/>
          <w:sz w:val="20"/>
          <w:szCs w:val="20"/>
        </w:rPr>
        <w:t>AJUSTES TARIFARIOS</w:t>
      </w:r>
    </w:p>
    <w:p w14:paraId="1732D48D" w14:textId="77777777" w:rsidR="00902337" w:rsidRPr="00335934" w:rsidRDefault="00902337" w:rsidP="00335934">
      <w:pPr>
        <w:pStyle w:val="NormalWeb"/>
        <w:jc w:val="both"/>
        <w:rPr>
          <w:rFonts w:ascii="Verdana" w:hAnsi="Verdana"/>
          <w:sz w:val="20"/>
          <w:szCs w:val="20"/>
        </w:rPr>
      </w:pPr>
      <w:r w:rsidRPr="00335934">
        <w:rPr>
          <w:rStyle w:val="Textoennegrita"/>
          <w:rFonts w:ascii="Verdana" w:hAnsi="Verdana"/>
          <w:sz w:val="20"/>
          <w:szCs w:val="20"/>
        </w:rPr>
        <w:tab/>
        <w:t>Artículo 41</w:t>
      </w:r>
      <w:r w:rsidRPr="00335934">
        <w:rPr>
          <w:rFonts w:ascii="Verdana" w:hAnsi="Verdana"/>
          <w:sz w:val="20"/>
          <w:szCs w:val="20"/>
        </w:rPr>
        <w:t>. Las cantidades que resulten de la aplicación de tarifas y cuotas se ajustarán de conformidad con la siguiente:</w:t>
      </w:r>
    </w:p>
    <w:p w14:paraId="1410E248" w14:textId="77777777" w:rsidR="00902337" w:rsidRPr="00335934" w:rsidRDefault="00902337" w:rsidP="00335934">
      <w:pPr>
        <w:pStyle w:val="NormalWeb"/>
        <w:jc w:val="center"/>
        <w:rPr>
          <w:rFonts w:ascii="Verdana" w:hAnsi="Verdana"/>
          <w:sz w:val="20"/>
          <w:szCs w:val="20"/>
        </w:rPr>
      </w:pPr>
      <w:r w:rsidRPr="00335934">
        <w:rPr>
          <w:rFonts w:ascii="Verdana" w:hAnsi="Verdana"/>
          <w:b/>
          <w:bCs/>
          <w:sz w:val="20"/>
          <w:szCs w:val="20"/>
        </w:rPr>
        <w:t>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74"/>
        <w:gridCol w:w="4181"/>
      </w:tblGrid>
      <w:tr w:rsidR="00902337" w:rsidRPr="00335934" w14:paraId="46DDAC39"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C5B02B" w14:textId="77777777" w:rsidR="00902337" w:rsidRPr="00335934" w:rsidRDefault="00902337" w:rsidP="00335934">
            <w:pPr>
              <w:spacing w:line="240" w:lineRule="auto"/>
              <w:jc w:val="center"/>
              <w:rPr>
                <w:rFonts w:ascii="Verdana" w:eastAsia="Times New Roman" w:hAnsi="Verdana" w:cs="Arial"/>
                <w:b/>
                <w:bCs/>
                <w:sz w:val="20"/>
                <w:szCs w:val="20"/>
              </w:rPr>
            </w:pPr>
            <w:r w:rsidRPr="00335934">
              <w:rPr>
                <w:rFonts w:ascii="Verdana" w:eastAsia="Times New Roman" w:hAnsi="Verdana" w:cs="Arial"/>
                <w:b/>
                <w:bCs/>
                <w:sz w:val="20"/>
                <w:szCs w:val="20"/>
              </w:rPr>
              <w:lastRenderedPageBreak/>
              <w:t xml:space="preserve">CANTIDADES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4592B" w14:textId="77777777" w:rsidR="00902337" w:rsidRPr="00335934" w:rsidRDefault="00902337" w:rsidP="00335934">
            <w:pPr>
              <w:spacing w:line="240" w:lineRule="auto"/>
              <w:jc w:val="center"/>
              <w:rPr>
                <w:rFonts w:ascii="Verdana" w:eastAsia="Times New Roman" w:hAnsi="Verdana" w:cs="Arial"/>
                <w:b/>
                <w:bCs/>
                <w:sz w:val="20"/>
                <w:szCs w:val="20"/>
              </w:rPr>
            </w:pPr>
            <w:r w:rsidRPr="00335934">
              <w:rPr>
                <w:rFonts w:ascii="Verdana" w:eastAsia="Times New Roman" w:hAnsi="Verdana" w:cs="Arial"/>
                <w:b/>
                <w:bCs/>
                <w:sz w:val="20"/>
                <w:szCs w:val="20"/>
              </w:rPr>
              <w:t xml:space="preserve">UNIDAD DE AJUSTE </w:t>
            </w:r>
          </w:p>
        </w:tc>
      </w:tr>
      <w:tr w:rsidR="00902337" w:rsidRPr="00335934" w14:paraId="2CECBDBE"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24EC3C" w14:textId="77777777" w:rsidR="00902337" w:rsidRPr="00335934" w:rsidRDefault="00902337" w:rsidP="00335934">
            <w:pPr>
              <w:spacing w:line="240" w:lineRule="auto"/>
              <w:rPr>
                <w:rFonts w:ascii="Verdana" w:eastAsia="Times New Roman" w:hAnsi="Verdana" w:cs="Arial"/>
                <w:sz w:val="20"/>
                <w:szCs w:val="20"/>
              </w:rPr>
            </w:pPr>
            <w:r w:rsidRPr="00335934">
              <w:rPr>
                <w:rFonts w:ascii="Verdana" w:eastAsia="Times New Roman" w:hAnsi="Verdana" w:cs="Arial"/>
                <w:sz w:val="20"/>
                <w:szCs w:val="20"/>
              </w:rPr>
              <w:t>Desde $0.01 y hasta $0.50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7985B" w14:textId="77777777" w:rsidR="00902337" w:rsidRPr="00335934" w:rsidRDefault="00902337" w:rsidP="00335934">
            <w:pPr>
              <w:spacing w:line="240" w:lineRule="auto"/>
              <w:rPr>
                <w:rFonts w:ascii="Verdana" w:eastAsia="Times New Roman" w:hAnsi="Verdana" w:cs="Arial"/>
                <w:sz w:val="20"/>
                <w:szCs w:val="20"/>
              </w:rPr>
            </w:pPr>
            <w:r w:rsidRPr="00335934">
              <w:rPr>
                <w:rFonts w:ascii="Verdana" w:eastAsia="Times New Roman" w:hAnsi="Verdana" w:cs="Arial"/>
                <w:sz w:val="20"/>
                <w:szCs w:val="20"/>
              </w:rPr>
              <w:t>A la unidad de peso inmediato inferior</w:t>
            </w:r>
          </w:p>
        </w:tc>
      </w:tr>
      <w:tr w:rsidR="00902337" w:rsidRPr="00335934" w14:paraId="0ADF6C06" w14:textId="77777777" w:rsidTr="006B613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37DDF8" w14:textId="77777777" w:rsidR="00902337" w:rsidRPr="00335934" w:rsidRDefault="00902337" w:rsidP="00335934">
            <w:pPr>
              <w:spacing w:line="240" w:lineRule="auto"/>
              <w:rPr>
                <w:rFonts w:ascii="Verdana" w:eastAsia="Times New Roman" w:hAnsi="Verdana" w:cs="Arial"/>
                <w:sz w:val="20"/>
                <w:szCs w:val="20"/>
              </w:rPr>
            </w:pPr>
            <w:r w:rsidRPr="00335934">
              <w:rPr>
                <w:rFonts w:ascii="Verdana" w:eastAsia="Times New Roman" w:hAnsi="Verdana" w:cs="Arial"/>
                <w:sz w:val="20"/>
                <w:szCs w:val="20"/>
              </w:rPr>
              <w:t>Desde $0.51 y hasta $0.99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B328F" w14:textId="77777777" w:rsidR="00902337" w:rsidRPr="00335934" w:rsidRDefault="00902337" w:rsidP="00335934">
            <w:pPr>
              <w:spacing w:line="240" w:lineRule="auto"/>
              <w:rPr>
                <w:rFonts w:ascii="Verdana" w:eastAsia="Times New Roman" w:hAnsi="Verdana" w:cs="Arial"/>
                <w:sz w:val="20"/>
                <w:szCs w:val="20"/>
              </w:rPr>
            </w:pPr>
            <w:r w:rsidRPr="00335934">
              <w:rPr>
                <w:rFonts w:ascii="Verdana" w:eastAsia="Times New Roman" w:hAnsi="Verdana" w:cs="Arial"/>
                <w:sz w:val="20"/>
                <w:szCs w:val="20"/>
              </w:rPr>
              <w:t>A la unidad de peso inmediato superior</w:t>
            </w:r>
          </w:p>
        </w:tc>
      </w:tr>
    </w:tbl>
    <w:p w14:paraId="383FCE03" w14:textId="77777777" w:rsidR="00902337" w:rsidRPr="00335934" w:rsidRDefault="00902337" w:rsidP="00335934">
      <w:pPr>
        <w:spacing w:line="240" w:lineRule="auto"/>
        <w:jc w:val="center"/>
        <w:rPr>
          <w:rFonts w:ascii="Verdana" w:eastAsia="Times New Roman" w:hAnsi="Verdana" w:cs="Arial"/>
          <w:b/>
          <w:bCs/>
          <w:sz w:val="20"/>
          <w:szCs w:val="20"/>
        </w:rPr>
      </w:pPr>
    </w:p>
    <w:p w14:paraId="02CF2CE6" w14:textId="77777777" w:rsidR="00902337" w:rsidRPr="00335934" w:rsidRDefault="00902337" w:rsidP="00335934">
      <w:pPr>
        <w:pStyle w:val="Sinespaciado"/>
        <w:jc w:val="center"/>
        <w:rPr>
          <w:rFonts w:ascii="Verdana" w:hAnsi="Verdana"/>
          <w:b/>
          <w:bCs/>
          <w:sz w:val="20"/>
          <w:szCs w:val="20"/>
        </w:rPr>
      </w:pPr>
      <w:r w:rsidRPr="00335934">
        <w:rPr>
          <w:rFonts w:ascii="Verdana" w:hAnsi="Verdana"/>
          <w:b/>
          <w:bCs/>
          <w:sz w:val="20"/>
          <w:szCs w:val="20"/>
        </w:rPr>
        <w:t>T R A N S I T O R I O</w:t>
      </w:r>
    </w:p>
    <w:p w14:paraId="0E3A396D" w14:textId="77777777" w:rsidR="00335934" w:rsidRDefault="00902337" w:rsidP="00335934">
      <w:pPr>
        <w:pStyle w:val="Sinespaciado"/>
        <w:rPr>
          <w:rStyle w:val="Textoennegrita"/>
          <w:rFonts w:ascii="Verdana" w:hAnsi="Verdana"/>
          <w:sz w:val="20"/>
          <w:szCs w:val="20"/>
        </w:rPr>
      </w:pPr>
      <w:r w:rsidRPr="00335934">
        <w:rPr>
          <w:rStyle w:val="Textoennegrita"/>
          <w:rFonts w:ascii="Verdana" w:hAnsi="Verdana"/>
          <w:sz w:val="20"/>
          <w:szCs w:val="20"/>
        </w:rPr>
        <w:tab/>
      </w:r>
    </w:p>
    <w:p w14:paraId="60FA24EE" w14:textId="2A25FBD1" w:rsidR="00902337" w:rsidRPr="00335934" w:rsidRDefault="00902337" w:rsidP="00335934">
      <w:pPr>
        <w:pStyle w:val="Sinespaciado"/>
        <w:ind w:firstLine="708"/>
        <w:rPr>
          <w:rFonts w:ascii="Verdana" w:hAnsi="Verdana"/>
          <w:sz w:val="20"/>
          <w:szCs w:val="20"/>
        </w:rPr>
      </w:pPr>
      <w:r w:rsidRPr="00335934">
        <w:rPr>
          <w:rStyle w:val="Textoennegrita"/>
          <w:rFonts w:ascii="Verdana" w:hAnsi="Verdana"/>
          <w:sz w:val="20"/>
          <w:szCs w:val="20"/>
        </w:rPr>
        <w:t>Artículo Único</w:t>
      </w:r>
      <w:r w:rsidRPr="00335934">
        <w:rPr>
          <w:rFonts w:ascii="Verdana" w:hAnsi="Verdana"/>
          <w:sz w:val="20"/>
          <w:szCs w:val="20"/>
        </w:rPr>
        <w:t>. La presente Ley entrará en vigor el día 1 de enero del año 2025, una vez publicada en el Periódico Oficial del Gobierno del Estado.</w:t>
      </w:r>
    </w:p>
    <w:p w14:paraId="727E736B" w14:textId="77777777" w:rsidR="00335934" w:rsidRDefault="00335934" w:rsidP="00335934">
      <w:pPr>
        <w:pStyle w:val="Sinespaciado"/>
        <w:rPr>
          <w:rFonts w:ascii="Verdana" w:hAnsi="Verdana"/>
          <w:sz w:val="20"/>
          <w:szCs w:val="20"/>
        </w:rPr>
      </w:pPr>
    </w:p>
    <w:p w14:paraId="7767B333" w14:textId="6AB9BC6C" w:rsidR="00902337" w:rsidRPr="00335934" w:rsidRDefault="00902337" w:rsidP="00335934">
      <w:pPr>
        <w:pStyle w:val="Sinespaciado"/>
        <w:rPr>
          <w:rFonts w:ascii="Verdana" w:hAnsi="Verdana"/>
          <w:b/>
          <w:bCs/>
          <w:sz w:val="20"/>
          <w:szCs w:val="20"/>
        </w:rPr>
      </w:pPr>
      <w:r w:rsidRPr="00335934">
        <w:rPr>
          <w:rFonts w:ascii="Verdana" w:hAnsi="Verdana"/>
          <w:b/>
          <w:bCs/>
          <w:sz w:val="20"/>
          <w:szCs w:val="20"/>
        </w:rPr>
        <w:t>LO TENDRÁ ENTENDIDO LA CIUDADANA GOBERNADORA CONSTITUCIONAL DEL ESTADO Y DISPONDRÁ QUE SE IMPRIMA, PUBLIQUE, CIRCULE Y SE LE DÉ EL DEBIDO CUMPLIMIENTO.</w:t>
      </w:r>
    </w:p>
    <w:p w14:paraId="60529C38" w14:textId="77777777" w:rsidR="00902337" w:rsidRPr="00335934" w:rsidRDefault="00902337" w:rsidP="00335934">
      <w:pPr>
        <w:pStyle w:val="Sinespaciado"/>
        <w:rPr>
          <w:rFonts w:ascii="Verdana" w:hAnsi="Verdana"/>
          <w:b/>
          <w:bCs/>
          <w:smallCaps/>
          <w:sz w:val="20"/>
          <w:szCs w:val="20"/>
          <w:highlight w:val="yellow"/>
        </w:rPr>
      </w:pPr>
    </w:p>
    <w:p w14:paraId="5F18E6C4" w14:textId="77777777" w:rsidR="00D31945" w:rsidRDefault="00D31945" w:rsidP="00335934">
      <w:pPr>
        <w:pStyle w:val="Sinespaciado"/>
        <w:jc w:val="center"/>
        <w:rPr>
          <w:rFonts w:ascii="Verdana" w:hAnsi="Verdana"/>
          <w:b/>
          <w:bCs/>
          <w:smallCaps/>
          <w:sz w:val="20"/>
          <w:szCs w:val="20"/>
        </w:rPr>
      </w:pPr>
    </w:p>
    <w:p w14:paraId="5C3FF160" w14:textId="195B5001" w:rsidR="00902337" w:rsidRPr="00335934" w:rsidRDefault="00902337" w:rsidP="00335934">
      <w:pPr>
        <w:pStyle w:val="Sinespaciado"/>
        <w:jc w:val="center"/>
        <w:rPr>
          <w:rFonts w:ascii="Verdana" w:hAnsi="Verdana"/>
          <w:b/>
          <w:bCs/>
          <w:smallCaps/>
          <w:sz w:val="20"/>
          <w:szCs w:val="20"/>
        </w:rPr>
      </w:pPr>
      <w:r w:rsidRPr="00335934">
        <w:rPr>
          <w:rFonts w:ascii="Verdana" w:hAnsi="Verdana"/>
          <w:b/>
          <w:bCs/>
          <w:smallCaps/>
          <w:sz w:val="20"/>
          <w:szCs w:val="20"/>
        </w:rPr>
        <w:t xml:space="preserve">Guanajuato, </w:t>
      </w:r>
      <w:proofErr w:type="spellStart"/>
      <w:r w:rsidRPr="00335934">
        <w:rPr>
          <w:rFonts w:ascii="Verdana" w:hAnsi="Verdana"/>
          <w:b/>
          <w:bCs/>
          <w:smallCaps/>
          <w:sz w:val="20"/>
          <w:szCs w:val="20"/>
        </w:rPr>
        <w:t>Gto</w:t>
      </w:r>
      <w:proofErr w:type="spellEnd"/>
      <w:r w:rsidRPr="00335934">
        <w:rPr>
          <w:rFonts w:ascii="Verdana" w:hAnsi="Verdana"/>
          <w:b/>
          <w:bCs/>
          <w:smallCaps/>
          <w:sz w:val="20"/>
          <w:szCs w:val="20"/>
        </w:rPr>
        <w:t>., 13 de diciembre de 2024</w:t>
      </w:r>
    </w:p>
    <w:p w14:paraId="1C1BD255" w14:textId="77777777" w:rsidR="00902337" w:rsidRPr="00335934" w:rsidRDefault="00902337" w:rsidP="00335934">
      <w:pPr>
        <w:pStyle w:val="Sinespaciado"/>
        <w:jc w:val="center"/>
        <w:rPr>
          <w:rFonts w:ascii="Verdana" w:hAnsi="Verdana"/>
          <w:b/>
          <w:bCs/>
          <w:smallCaps/>
          <w:sz w:val="20"/>
          <w:szCs w:val="20"/>
        </w:rPr>
      </w:pPr>
    </w:p>
    <w:p w14:paraId="7260D447" w14:textId="77777777" w:rsidR="00902337" w:rsidRDefault="00902337" w:rsidP="00335934">
      <w:pPr>
        <w:pStyle w:val="Sinespaciado"/>
        <w:jc w:val="center"/>
        <w:rPr>
          <w:rFonts w:ascii="Verdana" w:hAnsi="Verdana"/>
          <w:b/>
          <w:bCs/>
          <w:iCs/>
          <w:smallCaps/>
          <w:sz w:val="20"/>
          <w:szCs w:val="20"/>
        </w:rPr>
      </w:pPr>
    </w:p>
    <w:p w14:paraId="03AB19E8" w14:textId="77777777" w:rsidR="00A508AE" w:rsidRPr="00335934" w:rsidRDefault="00A508AE" w:rsidP="00335934">
      <w:pPr>
        <w:pStyle w:val="Sinespaciado"/>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902337" w:rsidRPr="00335934" w14:paraId="75CD5D88" w14:textId="77777777" w:rsidTr="006B6132">
        <w:trPr>
          <w:trHeight w:val="194"/>
          <w:jc w:val="center"/>
        </w:trPr>
        <w:tc>
          <w:tcPr>
            <w:tcW w:w="4890" w:type="dxa"/>
            <w:hideMark/>
          </w:tcPr>
          <w:p w14:paraId="07BC99FD" w14:textId="781EB732" w:rsidR="00902337" w:rsidRPr="00335934" w:rsidRDefault="00902337" w:rsidP="00335934">
            <w:pPr>
              <w:pStyle w:val="Sinespaciado"/>
              <w:jc w:val="center"/>
              <w:rPr>
                <w:rFonts w:ascii="Verdana" w:hAnsi="Verdana"/>
                <w:b/>
                <w:bCs/>
                <w:smallCaps/>
                <w:sz w:val="20"/>
                <w:szCs w:val="20"/>
              </w:rPr>
            </w:pPr>
            <w:r w:rsidRPr="00335934">
              <w:rPr>
                <w:rFonts w:ascii="Verdana" w:hAnsi="Verdana"/>
                <w:b/>
                <w:bCs/>
                <w:smallCaps/>
                <w:sz w:val="20"/>
                <w:szCs w:val="20"/>
              </w:rPr>
              <w:t>Diputado Rolando Fortino Alcántar Rojas</w:t>
            </w:r>
          </w:p>
        </w:tc>
        <w:tc>
          <w:tcPr>
            <w:tcW w:w="5317" w:type="dxa"/>
            <w:hideMark/>
          </w:tcPr>
          <w:p w14:paraId="696C2B7E" w14:textId="77777777" w:rsidR="00902337" w:rsidRPr="00335934" w:rsidRDefault="00902337" w:rsidP="00335934">
            <w:pPr>
              <w:pStyle w:val="Sinespaciado"/>
              <w:jc w:val="center"/>
              <w:rPr>
                <w:rFonts w:ascii="Verdana" w:hAnsi="Verdana"/>
                <w:b/>
                <w:bCs/>
                <w:smallCaps/>
                <w:sz w:val="20"/>
                <w:szCs w:val="20"/>
              </w:rPr>
            </w:pPr>
            <w:r w:rsidRPr="00335934">
              <w:rPr>
                <w:rFonts w:ascii="Verdana" w:hAnsi="Verdana"/>
                <w:b/>
                <w:bCs/>
                <w:smallCaps/>
                <w:sz w:val="20"/>
                <w:szCs w:val="20"/>
              </w:rPr>
              <w:t>Diputada Miriam Reyes Carmona</w:t>
            </w:r>
          </w:p>
        </w:tc>
      </w:tr>
      <w:tr w:rsidR="00902337" w:rsidRPr="00335934" w14:paraId="1E04C073" w14:textId="77777777" w:rsidTr="006B6132">
        <w:trPr>
          <w:trHeight w:val="70"/>
          <w:jc w:val="center"/>
        </w:trPr>
        <w:tc>
          <w:tcPr>
            <w:tcW w:w="4890" w:type="dxa"/>
            <w:hideMark/>
          </w:tcPr>
          <w:p w14:paraId="628A25A9" w14:textId="77777777" w:rsidR="00902337" w:rsidRPr="00335934" w:rsidRDefault="00902337" w:rsidP="00335934">
            <w:pPr>
              <w:pStyle w:val="Sinespaciado"/>
              <w:jc w:val="center"/>
              <w:rPr>
                <w:rFonts w:ascii="Verdana" w:hAnsi="Verdana" w:cs="Tahoma"/>
                <w:b/>
                <w:bCs/>
                <w:iCs/>
                <w:sz w:val="20"/>
                <w:szCs w:val="20"/>
                <w:lang w:val="de-DE"/>
              </w:rPr>
            </w:pPr>
            <w:r w:rsidRPr="00335934">
              <w:rPr>
                <w:rFonts w:ascii="Verdana" w:hAnsi="Verdana" w:cs="Tahoma"/>
                <w:b/>
                <w:bCs/>
                <w:iCs/>
                <w:sz w:val="20"/>
                <w:szCs w:val="20"/>
                <w:lang w:val="de-DE"/>
              </w:rPr>
              <w:t>P r e s i d e n t e</w:t>
            </w:r>
          </w:p>
        </w:tc>
        <w:tc>
          <w:tcPr>
            <w:tcW w:w="5317" w:type="dxa"/>
            <w:hideMark/>
          </w:tcPr>
          <w:p w14:paraId="68D3BCF4" w14:textId="77777777" w:rsidR="00902337" w:rsidRPr="00335934" w:rsidRDefault="00902337" w:rsidP="00335934">
            <w:pPr>
              <w:pStyle w:val="Sinespaciado"/>
              <w:jc w:val="center"/>
              <w:rPr>
                <w:rFonts w:ascii="Verdana" w:hAnsi="Verdana" w:cs="Tahoma"/>
                <w:b/>
                <w:bCs/>
                <w:iCs/>
                <w:sz w:val="20"/>
                <w:szCs w:val="20"/>
              </w:rPr>
            </w:pPr>
            <w:r w:rsidRPr="00335934">
              <w:rPr>
                <w:rFonts w:ascii="Verdana" w:hAnsi="Verdana" w:cs="Tahoma"/>
                <w:b/>
                <w:bCs/>
                <w:iCs/>
                <w:sz w:val="20"/>
                <w:szCs w:val="20"/>
              </w:rPr>
              <w:t>V i c e p r e s i d e n t a</w:t>
            </w:r>
          </w:p>
        </w:tc>
      </w:tr>
    </w:tbl>
    <w:p w14:paraId="3757AD28" w14:textId="77777777" w:rsidR="00902337" w:rsidRPr="00335934" w:rsidRDefault="00902337" w:rsidP="00335934">
      <w:pPr>
        <w:pStyle w:val="Sinespaciado"/>
        <w:jc w:val="center"/>
        <w:rPr>
          <w:rFonts w:ascii="Verdana" w:hAnsi="Verdana" w:cs="Tahoma"/>
          <w:b/>
          <w:bCs/>
          <w:iCs/>
          <w:sz w:val="20"/>
          <w:szCs w:val="20"/>
        </w:rPr>
      </w:pPr>
    </w:p>
    <w:p w14:paraId="399AA5E8" w14:textId="77777777" w:rsidR="00902337" w:rsidRDefault="00902337" w:rsidP="00335934">
      <w:pPr>
        <w:pStyle w:val="Sinespaciado"/>
        <w:jc w:val="center"/>
        <w:rPr>
          <w:rFonts w:ascii="Verdana" w:hAnsi="Verdana" w:cs="Tahoma"/>
          <w:b/>
          <w:bCs/>
          <w:iCs/>
          <w:sz w:val="20"/>
          <w:szCs w:val="20"/>
        </w:rPr>
      </w:pPr>
    </w:p>
    <w:p w14:paraId="60FD5EB9" w14:textId="77777777" w:rsidR="00A508AE" w:rsidRPr="00335934" w:rsidRDefault="00A508AE" w:rsidP="00335934">
      <w:pPr>
        <w:pStyle w:val="Sinespaciado"/>
        <w:jc w:val="center"/>
        <w:rPr>
          <w:rFonts w:ascii="Verdana" w:hAnsi="Verdana" w:cs="Tahoma"/>
          <w:b/>
          <w:bCs/>
          <w:iCs/>
          <w:sz w:val="20"/>
          <w:szCs w:val="20"/>
        </w:rPr>
      </w:pPr>
    </w:p>
    <w:tbl>
      <w:tblPr>
        <w:tblW w:w="10207" w:type="dxa"/>
        <w:jc w:val="center"/>
        <w:tblCellMar>
          <w:left w:w="70" w:type="dxa"/>
          <w:right w:w="70" w:type="dxa"/>
        </w:tblCellMar>
        <w:tblLook w:val="04A0" w:firstRow="1" w:lastRow="0" w:firstColumn="1" w:lastColumn="0" w:noHBand="0" w:noVBand="1"/>
      </w:tblPr>
      <w:tblGrid>
        <w:gridCol w:w="4537"/>
        <w:gridCol w:w="5670"/>
      </w:tblGrid>
      <w:tr w:rsidR="00902337" w:rsidRPr="00335934" w14:paraId="7D75FB6E" w14:textId="77777777" w:rsidTr="006B6132">
        <w:trPr>
          <w:trHeight w:val="194"/>
          <w:jc w:val="center"/>
        </w:trPr>
        <w:tc>
          <w:tcPr>
            <w:tcW w:w="4537" w:type="dxa"/>
            <w:hideMark/>
          </w:tcPr>
          <w:p w14:paraId="7CDB8EF8" w14:textId="77777777" w:rsidR="00902337" w:rsidRPr="00335934" w:rsidRDefault="00902337" w:rsidP="00335934">
            <w:pPr>
              <w:pStyle w:val="Sinespaciado"/>
              <w:jc w:val="center"/>
              <w:rPr>
                <w:rFonts w:ascii="Verdana" w:hAnsi="Verdana"/>
                <w:b/>
                <w:bCs/>
                <w:smallCaps/>
                <w:sz w:val="20"/>
                <w:szCs w:val="20"/>
              </w:rPr>
            </w:pPr>
            <w:r w:rsidRPr="00335934">
              <w:rPr>
                <w:rFonts w:ascii="Verdana" w:hAnsi="Verdana"/>
                <w:b/>
                <w:bCs/>
                <w:smallCaps/>
                <w:sz w:val="20"/>
                <w:szCs w:val="20"/>
              </w:rPr>
              <w:t xml:space="preserve">Diputada Noemí Márquez </w:t>
            </w:r>
            <w:proofErr w:type="spellStart"/>
            <w:r w:rsidRPr="00335934">
              <w:rPr>
                <w:rFonts w:ascii="Verdana" w:hAnsi="Verdana"/>
                <w:b/>
                <w:bCs/>
                <w:smallCaps/>
                <w:sz w:val="20"/>
                <w:szCs w:val="20"/>
              </w:rPr>
              <w:t>Márquez</w:t>
            </w:r>
            <w:proofErr w:type="spellEnd"/>
          </w:p>
        </w:tc>
        <w:tc>
          <w:tcPr>
            <w:tcW w:w="5670" w:type="dxa"/>
            <w:hideMark/>
          </w:tcPr>
          <w:p w14:paraId="0E08AA32" w14:textId="77777777" w:rsidR="00902337" w:rsidRPr="00335934" w:rsidRDefault="00902337" w:rsidP="00335934">
            <w:pPr>
              <w:pStyle w:val="Sinespaciado"/>
              <w:jc w:val="center"/>
              <w:rPr>
                <w:rFonts w:ascii="Verdana" w:hAnsi="Verdana"/>
                <w:b/>
                <w:bCs/>
                <w:smallCaps/>
                <w:sz w:val="20"/>
                <w:szCs w:val="20"/>
              </w:rPr>
            </w:pPr>
            <w:r w:rsidRPr="00335934">
              <w:rPr>
                <w:rFonts w:ascii="Verdana" w:hAnsi="Verdana"/>
                <w:b/>
                <w:bCs/>
                <w:smallCaps/>
                <w:sz w:val="20"/>
                <w:szCs w:val="20"/>
              </w:rPr>
              <w:t>Diputada Rocío Cervantes Barba</w:t>
            </w:r>
          </w:p>
        </w:tc>
      </w:tr>
      <w:tr w:rsidR="00902337" w:rsidRPr="00335934" w14:paraId="470572A2" w14:textId="77777777" w:rsidTr="006B6132">
        <w:trPr>
          <w:trHeight w:val="70"/>
          <w:jc w:val="center"/>
        </w:trPr>
        <w:tc>
          <w:tcPr>
            <w:tcW w:w="4537" w:type="dxa"/>
            <w:hideMark/>
          </w:tcPr>
          <w:p w14:paraId="323B9ECD" w14:textId="77777777" w:rsidR="00902337" w:rsidRPr="00335934" w:rsidRDefault="00902337" w:rsidP="00335934">
            <w:pPr>
              <w:pStyle w:val="Sinespaciado"/>
              <w:jc w:val="center"/>
              <w:rPr>
                <w:rFonts w:ascii="Verdana" w:hAnsi="Verdana" w:cs="Tahoma"/>
                <w:b/>
                <w:bCs/>
                <w:iCs/>
                <w:sz w:val="20"/>
                <w:szCs w:val="20"/>
              </w:rPr>
            </w:pPr>
            <w:r w:rsidRPr="00335934">
              <w:rPr>
                <w:rFonts w:ascii="Verdana" w:hAnsi="Verdana" w:cs="Tahoma"/>
                <w:b/>
                <w:bCs/>
                <w:iCs/>
                <w:sz w:val="20"/>
                <w:szCs w:val="20"/>
              </w:rPr>
              <w:t>Primera secretaria</w:t>
            </w:r>
          </w:p>
        </w:tc>
        <w:tc>
          <w:tcPr>
            <w:tcW w:w="5670" w:type="dxa"/>
            <w:hideMark/>
          </w:tcPr>
          <w:p w14:paraId="3447F16B" w14:textId="77777777" w:rsidR="00902337" w:rsidRPr="00335934" w:rsidRDefault="00902337" w:rsidP="00335934">
            <w:pPr>
              <w:pStyle w:val="Sinespaciado"/>
              <w:jc w:val="center"/>
              <w:rPr>
                <w:rFonts w:ascii="Verdana" w:hAnsi="Verdana" w:cs="Tahoma"/>
                <w:b/>
                <w:bCs/>
                <w:iCs/>
                <w:sz w:val="20"/>
                <w:szCs w:val="20"/>
              </w:rPr>
            </w:pPr>
            <w:r w:rsidRPr="00335934">
              <w:rPr>
                <w:rFonts w:ascii="Verdana" w:hAnsi="Verdana" w:cs="Tahoma"/>
                <w:b/>
                <w:bCs/>
                <w:iCs/>
                <w:sz w:val="20"/>
                <w:szCs w:val="20"/>
              </w:rPr>
              <w:t>Segunda secretaria</w:t>
            </w:r>
          </w:p>
        </w:tc>
      </w:tr>
    </w:tbl>
    <w:p w14:paraId="370B85BF" w14:textId="77777777" w:rsidR="00902337" w:rsidRPr="00335934" w:rsidRDefault="00902337" w:rsidP="00335934">
      <w:pPr>
        <w:pStyle w:val="Sinespaciado"/>
        <w:rPr>
          <w:rFonts w:ascii="Verdana" w:hAnsi="Verdana"/>
          <w:sz w:val="20"/>
          <w:szCs w:val="20"/>
        </w:rPr>
      </w:pPr>
    </w:p>
    <w:p w14:paraId="5016C282" w14:textId="77777777" w:rsidR="00902337" w:rsidRPr="00335934" w:rsidRDefault="00902337" w:rsidP="00335934">
      <w:pPr>
        <w:pStyle w:val="Sinespaciado"/>
        <w:rPr>
          <w:rFonts w:ascii="Verdana" w:hAnsi="Verdana"/>
          <w:sz w:val="20"/>
          <w:szCs w:val="20"/>
        </w:rPr>
      </w:pPr>
    </w:p>
    <w:p w14:paraId="27E81716" w14:textId="77777777" w:rsidR="00902337" w:rsidRPr="00335934" w:rsidRDefault="00902337" w:rsidP="00335934">
      <w:pPr>
        <w:spacing w:line="240" w:lineRule="auto"/>
        <w:jc w:val="center"/>
        <w:rPr>
          <w:rFonts w:ascii="Verdana" w:hAnsi="Verdana" w:cs="Arial"/>
          <w:b/>
          <w:bCs/>
          <w:sz w:val="20"/>
          <w:szCs w:val="20"/>
        </w:rPr>
      </w:pPr>
    </w:p>
    <w:p w14:paraId="0DCA6DBA" w14:textId="77777777" w:rsidR="00902337" w:rsidRPr="00335934" w:rsidRDefault="00902337" w:rsidP="00335934">
      <w:pPr>
        <w:spacing w:line="240" w:lineRule="auto"/>
        <w:jc w:val="center"/>
        <w:rPr>
          <w:rFonts w:ascii="Verdana" w:hAnsi="Verdana" w:cs="Arial"/>
          <w:b/>
          <w:bCs/>
          <w:sz w:val="20"/>
          <w:szCs w:val="20"/>
        </w:rPr>
      </w:pPr>
    </w:p>
    <w:p w14:paraId="29E03E08" w14:textId="77777777" w:rsidR="00902337" w:rsidRPr="00335934" w:rsidRDefault="00902337" w:rsidP="00335934">
      <w:pPr>
        <w:spacing w:line="240" w:lineRule="auto"/>
        <w:jc w:val="center"/>
        <w:rPr>
          <w:rFonts w:ascii="Verdana" w:hAnsi="Verdana" w:cs="Arial"/>
          <w:b/>
          <w:bCs/>
          <w:sz w:val="20"/>
          <w:szCs w:val="20"/>
        </w:rPr>
      </w:pPr>
    </w:p>
    <w:p w14:paraId="1AB87AFF" w14:textId="77777777" w:rsidR="00902337" w:rsidRPr="00335934" w:rsidRDefault="00902337" w:rsidP="00335934">
      <w:pPr>
        <w:spacing w:line="240" w:lineRule="auto"/>
        <w:jc w:val="center"/>
        <w:rPr>
          <w:rFonts w:ascii="Verdana" w:hAnsi="Verdana" w:cs="Arial"/>
          <w:b/>
          <w:bCs/>
          <w:sz w:val="20"/>
          <w:szCs w:val="20"/>
        </w:rPr>
      </w:pPr>
    </w:p>
    <w:p w14:paraId="3253440E" w14:textId="77777777" w:rsidR="00902337" w:rsidRPr="00335934" w:rsidRDefault="00902337" w:rsidP="00335934">
      <w:pPr>
        <w:spacing w:line="240" w:lineRule="auto"/>
        <w:jc w:val="center"/>
        <w:rPr>
          <w:rFonts w:ascii="Verdana" w:hAnsi="Verdana" w:cs="Arial"/>
          <w:b/>
          <w:bCs/>
          <w:sz w:val="20"/>
          <w:szCs w:val="20"/>
        </w:rPr>
      </w:pPr>
    </w:p>
    <w:p w14:paraId="3F66A880" w14:textId="77777777" w:rsidR="00902337" w:rsidRPr="00335934" w:rsidRDefault="00902337" w:rsidP="00335934">
      <w:pPr>
        <w:spacing w:line="240" w:lineRule="auto"/>
        <w:jc w:val="center"/>
        <w:rPr>
          <w:rFonts w:ascii="Verdana" w:hAnsi="Verdana" w:cs="Arial"/>
          <w:b/>
          <w:bCs/>
          <w:sz w:val="20"/>
          <w:szCs w:val="20"/>
        </w:rPr>
      </w:pPr>
    </w:p>
    <w:p w14:paraId="605B010D" w14:textId="77777777" w:rsidR="00902337" w:rsidRPr="00335934" w:rsidRDefault="00902337" w:rsidP="00335934">
      <w:pPr>
        <w:spacing w:line="240" w:lineRule="auto"/>
        <w:jc w:val="center"/>
        <w:rPr>
          <w:rFonts w:ascii="Verdana" w:hAnsi="Verdana" w:cs="Arial"/>
          <w:b/>
          <w:bCs/>
          <w:sz w:val="20"/>
          <w:szCs w:val="20"/>
        </w:rPr>
      </w:pPr>
    </w:p>
    <w:p w14:paraId="146D96D6" w14:textId="00D38038" w:rsidR="007B5EF9" w:rsidRPr="00335934" w:rsidRDefault="007B5EF9" w:rsidP="00335934">
      <w:pPr>
        <w:pStyle w:val="NormalWeb"/>
        <w:jc w:val="both"/>
        <w:rPr>
          <w:rFonts w:ascii="Verdana" w:hAnsi="Verdana"/>
          <w:sz w:val="20"/>
          <w:szCs w:val="20"/>
        </w:rPr>
      </w:pPr>
      <w:r w:rsidRPr="00335934">
        <w:rPr>
          <w:rStyle w:val="Textoennegrita"/>
          <w:rFonts w:ascii="Verdana" w:hAnsi="Verdana"/>
          <w:sz w:val="20"/>
          <w:szCs w:val="20"/>
        </w:rPr>
        <w:tab/>
      </w:r>
    </w:p>
    <w:p w14:paraId="3112DB60" w14:textId="4B403F65" w:rsidR="007B5EF9" w:rsidRPr="00335934" w:rsidRDefault="007B5EF9" w:rsidP="00335934">
      <w:pPr>
        <w:tabs>
          <w:tab w:val="left" w:pos="5505"/>
        </w:tabs>
        <w:spacing w:line="240" w:lineRule="auto"/>
        <w:rPr>
          <w:rFonts w:ascii="Verdana" w:hAnsi="Verdana"/>
          <w:sz w:val="20"/>
          <w:szCs w:val="20"/>
        </w:rPr>
      </w:pPr>
    </w:p>
    <w:sectPr w:rsidR="007B5EF9" w:rsidRPr="00335934" w:rsidSect="00D515F1">
      <w:headerReference w:type="even" r:id="rId8"/>
      <w:headerReference w:type="default" r:id="rId9"/>
      <w:footerReference w:type="default" r:id="rId10"/>
      <w:headerReference w:type="first" r:id="rId11"/>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B8856" w14:textId="77777777" w:rsidR="00AB0BEC" w:rsidRDefault="00AB0BEC" w:rsidP="009724FA">
      <w:pPr>
        <w:spacing w:after="0" w:line="240" w:lineRule="auto"/>
      </w:pPr>
      <w:r>
        <w:separator/>
      </w:r>
    </w:p>
  </w:endnote>
  <w:endnote w:type="continuationSeparator" w:id="0">
    <w:p w14:paraId="14AF1DC1" w14:textId="77777777" w:rsidR="00AB0BEC" w:rsidRDefault="00AB0BEC"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05FB74D6" w14:textId="7722F821" w:rsidR="00A2610A" w:rsidRPr="00C4593F" w:rsidRDefault="00A2610A">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4B54B2">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4B54B2">
              <w:rPr>
                <w:rFonts w:ascii="Verdana" w:hAnsi="Verdana"/>
                <w:b/>
                <w:bCs/>
                <w:noProof/>
                <w:sz w:val="18"/>
                <w:szCs w:val="18"/>
              </w:rPr>
              <w:t>1</w:t>
            </w:r>
            <w:r w:rsidRPr="00C4593F">
              <w:rPr>
                <w:rFonts w:ascii="Verdana" w:hAnsi="Verdana"/>
                <w:b/>
                <w:bCs/>
                <w:sz w:val="18"/>
                <w:szCs w:val="18"/>
              </w:rPr>
              <w:fldChar w:fldCharType="end"/>
            </w:r>
          </w:p>
        </w:sdtContent>
      </w:sdt>
    </w:sdtContent>
  </w:sdt>
  <w:p w14:paraId="1ABDDDAE" w14:textId="77777777" w:rsidR="00A2610A" w:rsidRDefault="00A261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BEFB6" w14:textId="77777777" w:rsidR="00AB0BEC" w:rsidRDefault="00AB0BEC" w:rsidP="009724FA">
      <w:pPr>
        <w:spacing w:after="0" w:line="240" w:lineRule="auto"/>
      </w:pPr>
      <w:r>
        <w:separator/>
      </w:r>
    </w:p>
  </w:footnote>
  <w:footnote w:type="continuationSeparator" w:id="0">
    <w:p w14:paraId="2E111651" w14:textId="77777777" w:rsidR="00AB0BEC" w:rsidRDefault="00AB0BEC"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5632" w14:textId="77777777" w:rsidR="00A2610A" w:rsidRDefault="00000000">
    <w:pPr>
      <w:pStyle w:val="Encabezado"/>
    </w:pPr>
    <w:r>
      <w:rPr>
        <w:noProof/>
        <w:lang w:eastAsia="es-MX"/>
      </w:rPr>
      <w:pict w14:anchorId="46B58A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13" w:type="dxa"/>
      <w:jc w:val="center"/>
      <w:tblLayout w:type="fixed"/>
      <w:tblLook w:val="04A0" w:firstRow="1" w:lastRow="0" w:firstColumn="1" w:lastColumn="0" w:noHBand="0" w:noVBand="1"/>
    </w:tblPr>
    <w:tblGrid>
      <w:gridCol w:w="1384"/>
      <w:gridCol w:w="3490"/>
      <w:gridCol w:w="3739"/>
    </w:tblGrid>
    <w:tr w:rsidR="00A2610A" w:rsidRPr="00917B90" w14:paraId="1D67FA24" w14:textId="77777777" w:rsidTr="00833B09">
      <w:trPr>
        <w:trHeight w:val="326"/>
        <w:jc w:val="center"/>
      </w:trPr>
      <w:tc>
        <w:tcPr>
          <w:tcW w:w="1384" w:type="dxa"/>
          <w:vMerge w:val="restart"/>
        </w:tcPr>
        <w:p w14:paraId="31A6EA58" w14:textId="77777777" w:rsidR="00A2610A" w:rsidRPr="0018040F" w:rsidRDefault="00A2610A"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3D8E0033" wp14:editId="0BAA7FDE">
                <wp:simplePos x="0" y="0"/>
                <wp:positionH relativeFrom="margin">
                  <wp:posOffset>-138430</wp:posOffset>
                </wp:positionH>
                <wp:positionV relativeFrom="margin">
                  <wp:posOffset>-109855</wp:posOffset>
                </wp:positionV>
                <wp:extent cx="910590" cy="767080"/>
                <wp:effectExtent l="0" t="0" r="3810" b="0"/>
                <wp:wrapNone/>
                <wp:docPr id="4" name="Imagen 4"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6B790955" w14:textId="6902E25D" w:rsidR="00A2610A" w:rsidRPr="00BD4E32" w:rsidRDefault="00A2610A" w:rsidP="00A042FC">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de Ingresos para el Municipio de Xichú, Guanajuato, para el Ejercicio Fiscal del año 202</w:t>
          </w:r>
          <w:r w:rsidR="00A042FC">
            <w:rPr>
              <w:rFonts w:ascii="Verdana" w:hAnsi="Verdana"/>
              <w:b/>
              <w:bCs/>
              <w:color w:val="auto"/>
              <w:sz w:val="15"/>
              <w:szCs w:val="15"/>
            </w:rPr>
            <w:t>5</w:t>
          </w:r>
        </w:p>
      </w:tc>
    </w:tr>
    <w:tr w:rsidR="00A2610A" w:rsidRPr="0018040F" w14:paraId="04E797EF" w14:textId="77777777" w:rsidTr="00833B09">
      <w:trPr>
        <w:trHeight w:val="190"/>
        <w:jc w:val="center"/>
      </w:trPr>
      <w:tc>
        <w:tcPr>
          <w:tcW w:w="1384" w:type="dxa"/>
          <w:vMerge/>
        </w:tcPr>
        <w:p w14:paraId="38F3FF16" w14:textId="77777777" w:rsidR="00A2610A" w:rsidRPr="0018040F" w:rsidRDefault="00A2610A"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038DB7D4" w14:textId="77777777" w:rsidR="00A2610A" w:rsidRPr="0018040F" w:rsidRDefault="00A2610A"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6ED1E268" w14:textId="27ABA4A7" w:rsidR="00A2610A" w:rsidRPr="0018040F" w:rsidRDefault="00A2610A"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0003696E">
            <w:rPr>
              <w:rFonts w:ascii="Arial Narrow" w:eastAsia="Arial Unicode MS" w:hAnsi="Arial Narrow" w:cs="Arial Unicode MS"/>
              <w:i/>
              <w:sz w:val="13"/>
              <w:szCs w:val="13"/>
            </w:rPr>
            <w:t>I</w:t>
          </w:r>
          <w:r w:rsidRPr="0018040F">
            <w:rPr>
              <w:rFonts w:ascii="Arial Narrow" w:eastAsia="Arial Unicode MS" w:hAnsi="Arial Narrow" w:cs="Arial Unicode MS"/>
              <w:i/>
              <w:sz w:val="13"/>
              <w:szCs w:val="13"/>
            </w:rPr>
            <w:t xml:space="preserve"> Legislatura  </w:t>
          </w:r>
        </w:p>
      </w:tc>
    </w:tr>
    <w:tr w:rsidR="00A2610A" w:rsidRPr="00917B90" w14:paraId="2DB3F264" w14:textId="77777777" w:rsidTr="00833B09">
      <w:trPr>
        <w:jc w:val="center"/>
      </w:trPr>
      <w:tc>
        <w:tcPr>
          <w:tcW w:w="1384" w:type="dxa"/>
          <w:vMerge/>
        </w:tcPr>
        <w:p w14:paraId="43BC71E2" w14:textId="77777777" w:rsidR="00A2610A" w:rsidRPr="0018040F" w:rsidRDefault="00A2610A" w:rsidP="009724FA">
          <w:pPr>
            <w:pStyle w:val="Encabezado"/>
            <w:rPr>
              <w:rFonts w:ascii="Arial Narrow" w:eastAsia="Arial Unicode MS" w:hAnsi="Arial Narrow" w:cs="Arial Unicode MS"/>
              <w:sz w:val="13"/>
              <w:szCs w:val="13"/>
            </w:rPr>
          </w:pPr>
        </w:p>
      </w:tc>
      <w:tc>
        <w:tcPr>
          <w:tcW w:w="3490" w:type="dxa"/>
          <w:shd w:val="clear" w:color="auto" w:fill="auto"/>
        </w:tcPr>
        <w:p w14:paraId="2F69BE93" w14:textId="77777777" w:rsidR="00A2610A" w:rsidRPr="0018040F" w:rsidRDefault="00A2610A"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06C0CE38" w14:textId="493C418D" w:rsidR="00A2610A" w:rsidRPr="0018040F" w:rsidRDefault="004B54B2" w:rsidP="00F31A25">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w:t>
          </w:r>
          <w:r w:rsidR="00A2610A" w:rsidRPr="0018040F">
            <w:rPr>
              <w:rFonts w:ascii="Arial Narrow" w:eastAsia="Arial Unicode MS" w:hAnsi="Arial Narrow" w:cs="Arial Unicode MS"/>
              <w:i/>
              <w:sz w:val="13"/>
              <w:szCs w:val="13"/>
            </w:rPr>
            <w:t xml:space="preserve"> </w:t>
          </w:r>
          <w:r w:rsidR="009033C6">
            <w:rPr>
              <w:rFonts w:ascii="Arial Narrow" w:eastAsia="Arial Unicode MS" w:hAnsi="Arial Narrow" w:cs="Arial Unicode MS"/>
              <w:i/>
              <w:sz w:val="13"/>
              <w:szCs w:val="13"/>
            </w:rPr>
            <w:t xml:space="preserve"> No. 26</w:t>
          </w:r>
          <w:r w:rsidR="0003696E">
            <w:rPr>
              <w:rFonts w:ascii="Arial Narrow" w:eastAsia="Arial Unicode MS" w:hAnsi="Arial Narrow" w:cs="Arial Unicode MS"/>
              <w:i/>
              <w:sz w:val="13"/>
              <w:szCs w:val="13"/>
            </w:rPr>
            <w:t>1</w:t>
          </w:r>
          <w:r w:rsidR="009033C6">
            <w:rPr>
              <w:rFonts w:ascii="Arial Narrow" w:eastAsia="Arial Unicode MS" w:hAnsi="Arial Narrow" w:cs="Arial Unicode MS"/>
              <w:i/>
              <w:sz w:val="13"/>
              <w:szCs w:val="13"/>
            </w:rPr>
            <w:t>; Vigésima Quinta Parte; 30-12-202</w:t>
          </w:r>
          <w:r w:rsidR="0003696E">
            <w:rPr>
              <w:rFonts w:ascii="Arial Narrow" w:eastAsia="Arial Unicode MS" w:hAnsi="Arial Narrow" w:cs="Arial Unicode MS"/>
              <w:i/>
              <w:sz w:val="13"/>
              <w:szCs w:val="13"/>
            </w:rPr>
            <w:t>4</w:t>
          </w:r>
        </w:p>
      </w:tc>
    </w:tr>
    <w:tr w:rsidR="00A2610A" w:rsidRPr="00F91FEE" w14:paraId="3C820665" w14:textId="77777777" w:rsidTr="00833B09">
      <w:trPr>
        <w:jc w:val="center"/>
      </w:trPr>
      <w:tc>
        <w:tcPr>
          <w:tcW w:w="1384" w:type="dxa"/>
          <w:vMerge/>
        </w:tcPr>
        <w:p w14:paraId="6B66BB12" w14:textId="77777777" w:rsidR="00A2610A" w:rsidRPr="0018040F" w:rsidRDefault="00A2610A"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5F238C16" w14:textId="77777777" w:rsidR="00A2610A" w:rsidRPr="0018040F" w:rsidRDefault="00A2610A"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71C20D38" w14:textId="77777777" w:rsidR="00A2610A" w:rsidRPr="00F91FEE" w:rsidRDefault="00A2610A" w:rsidP="009724FA">
          <w:pPr>
            <w:pStyle w:val="Encabezado"/>
            <w:jc w:val="right"/>
            <w:rPr>
              <w:rFonts w:ascii="Arial Narrow" w:eastAsia="Arial Unicode MS" w:hAnsi="Arial Narrow" w:cs="Arial Unicode MS"/>
              <w:i/>
              <w:sz w:val="13"/>
              <w:szCs w:val="13"/>
            </w:rPr>
          </w:pPr>
        </w:p>
      </w:tc>
    </w:tr>
    <w:tr w:rsidR="00A2610A" w:rsidRPr="00917B90" w14:paraId="7E666D61" w14:textId="77777777" w:rsidTr="00833B09">
      <w:trPr>
        <w:jc w:val="center"/>
      </w:trPr>
      <w:tc>
        <w:tcPr>
          <w:tcW w:w="1384" w:type="dxa"/>
        </w:tcPr>
        <w:p w14:paraId="633C1DA4" w14:textId="77777777" w:rsidR="00A2610A" w:rsidRPr="0018040F" w:rsidRDefault="00A2610A"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144A0B53" w14:textId="77777777" w:rsidR="00A2610A" w:rsidRPr="0018040F" w:rsidRDefault="00A2610A"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77A13475" w14:textId="77777777" w:rsidR="00A2610A" w:rsidRPr="0018040F" w:rsidRDefault="00A2610A" w:rsidP="009724FA">
          <w:pPr>
            <w:pStyle w:val="Encabezado"/>
            <w:jc w:val="right"/>
            <w:rPr>
              <w:rFonts w:ascii="Arial Narrow" w:eastAsia="Arial Unicode MS" w:hAnsi="Arial Narrow" w:cs="Arial Unicode MS"/>
              <w:i/>
              <w:sz w:val="13"/>
              <w:szCs w:val="13"/>
            </w:rPr>
          </w:pPr>
        </w:p>
      </w:tc>
    </w:tr>
  </w:tbl>
  <w:p w14:paraId="3A7F0C43" w14:textId="77777777" w:rsidR="00A2610A" w:rsidRDefault="00000000">
    <w:pPr>
      <w:pStyle w:val="Encabezado"/>
    </w:pPr>
    <w:r>
      <w:rPr>
        <w:noProof/>
        <w:lang w:eastAsia="es-MX"/>
      </w:rPr>
      <w:pict w14:anchorId="26F82B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B4EAE" w14:textId="77777777" w:rsidR="00A2610A" w:rsidRDefault="00000000">
    <w:pPr>
      <w:pStyle w:val="Encabezado"/>
    </w:pPr>
    <w:r>
      <w:rPr>
        <w:noProof/>
        <w:lang w:eastAsia="es-MX"/>
      </w:rPr>
      <w:pict w14:anchorId="199F70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54F0"/>
    <w:multiLevelType w:val="hybridMultilevel"/>
    <w:tmpl w:val="AACE102E"/>
    <w:lvl w:ilvl="0" w:tplc="AF164A8E">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B27465"/>
    <w:multiLevelType w:val="hybridMultilevel"/>
    <w:tmpl w:val="67EAD644"/>
    <w:lvl w:ilvl="0" w:tplc="7B54D2B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7C7932"/>
    <w:multiLevelType w:val="hybridMultilevel"/>
    <w:tmpl w:val="82021336"/>
    <w:lvl w:ilvl="0" w:tplc="7B54D2B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854541"/>
    <w:multiLevelType w:val="hybridMultilevel"/>
    <w:tmpl w:val="BD18CEB6"/>
    <w:lvl w:ilvl="0" w:tplc="AF164A8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485D28"/>
    <w:multiLevelType w:val="hybridMultilevel"/>
    <w:tmpl w:val="4CACBE02"/>
    <w:lvl w:ilvl="0" w:tplc="C37AADB6">
      <w:start w:val="1"/>
      <w:numFmt w:val="upperRoman"/>
      <w:lvlText w:val="%1."/>
      <w:lvlJc w:val="left"/>
      <w:pPr>
        <w:ind w:left="720" w:hanging="360"/>
      </w:pPr>
      <w:rPr>
        <w:rFonts w:hint="default"/>
        <w:b/>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E95D81"/>
    <w:multiLevelType w:val="hybridMultilevel"/>
    <w:tmpl w:val="CA20CA38"/>
    <w:lvl w:ilvl="0" w:tplc="03C4D0D4">
      <w:start w:val="1"/>
      <w:numFmt w:val="lowerLetter"/>
      <w:lvlText w:val="%1)"/>
      <w:lvlJc w:val="left"/>
      <w:pPr>
        <w:tabs>
          <w:tab w:val="num" w:pos="1068"/>
        </w:tabs>
        <w:ind w:left="1068" w:hanging="360"/>
      </w:pPr>
      <w:rPr>
        <w:rFonts w:hint="default"/>
        <w:b/>
      </w:rPr>
    </w:lvl>
    <w:lvl w:ilvl="1" w:tplc="080A000F">
      <w:start w:val="1"/>
      <w:numFmt w:val="decimal"/>
      <w:lvlText w:val="%2."/>
      <w:lvlJc w:val="left"/>
      <w:pPr>
        <w:tabs>
          <w:tab w:val="num" w:pos="1364"/>
        </w:tabs>
        <w:ind w:left="1364" w:hanging="284"/>
      </w:pPr>
      <w:rPr>
        <w:rFonts w:hint="default"/>
        <w:b/>
        <w:i w:val="0"/>
        <w:sz w:val="24"/>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4DF5D73"/>
    <w:multiLevelType w:val="hybridMultilevel"/>
    <w:tmpl w:val="AC524CB8"/>
    <w:lvl w:ilvl="0" w:tplc="AF164A8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D80194"/>
    <w:multiLevelType w:val="hybridMultilevel"/>
    <w:tmpl w:val="6EE02934"/>
    <w:lvl w:ilvl="0" w:tplc="FE3498F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DB3238"/>
    <w:multiLevelType w:val="hybridMultilevel"/>
    <w:tmpl w:val="D400B61E"/>
    <w:lvl w:ilvl="0" w:tplc="4306CAF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FA28C1"/>
    <w:multiLevelType w:val="hybridMultilevel"/>
    <w:tmpl w:val="A2542044"/>
    <w:lvl w:ilvl="0" w:tplc="AF164A8E">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143C3B"/>
    <w:multiLevelType w:val="hybridMultilevel"/>
    <w:tmpl w:val="9C980C64"/>
    <w:lvl w:ilvl="0" w:tplc="BCE6575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4A1712E"/>
    <w:multiLevelType w:val="hybridMultilevel"/>
    <w:tmpl w:val="C1E874A0"/>
    <w:lvl w:ilvl="0" w:tplc="AF164A8E">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5804A3"/>
    <w:multiLevelType w:val="hybridMultilevel"/>
    <w:tmpl w:val="44B8C270"/>
    <w:lvl w:ilvl="0" w:tplc="D4E8896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EC035A"/>
    <w:multiLevelType w:val="hybridMultilevel"/>
    <w:tmpl w:val="4FA034C4"/>
    <w:lvl w:ilvl="0" w:tplc="B688171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FC3D54"/>
    <w:multiLevelType w:val="hybridMultilevel"/>
    <w:tmpl w:val="E09EAB6E"/>
    <w:lvl w:ilvl="0" w:tplc="20222B5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870F5B"/>
    <w:multiLevelType w:val="hybridMultilevel"/>
    <w:tmpl w:val="476E9440"/>
    <w:lvl w:ilvl="0" w:tplc="DF4E6E2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6205FC"/>
    <w:multiLevelType w:val="hybridMultilevel"/>
    <w:tmpl w:val="549AE8EA"/>
    <w:lvl w:ilvl="0" w:tplc="7B54D2B0">
      <w:start w:val="1"/>
      <w:numFmt w:val="lowerLetter"/>
      <w:lvlText w:val="%1)"/>
      <w:lvlJc w:val="left"/>
      <w:pPr>
        <w:ind w:left="720" w:hanging="360"/>
      </w:pPr>
      <w:rPr>
        <w:b/>
      </w:rPr>
    </w:lvl>
    <w:lvl w:ilvl="1" w:tplc="F69A2B5E">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24771F"/>
    <w:multiLevelType w:val="hybridMultilevel"/>
    <w:tmpl w:val="49FCBCA4"/>
    <w:lvl w:ilvl="0" w:tplc="03C4D0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16456C"/>
    <w:multiLevelType w:val="hybridMultilevel"/>
    <w:tmpl w:val="60DC447A"/>
    <w:lvl w:ilvl="0" w:tplc="602AAFB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F84371C"/>
    <w:multiLevelType w:val="hybridMultilevel"/>
    <w:tmpl w:val="CC845E38"/>
    <w:lvl w:ilvl="0" w:tplc="03C4D0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11568B3"/>
    <w:multiLevelType w:val="hybridMultilevel"/>
    <w:tmpl w:val="72BAB2C8"/>
    <w:lvl w:ilvl="0" w:tplc="D2E63F6C">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58EA4E13"/>
    <w:multiLevelType w:val="hybridMultilevel"/>
    <w:tmpl w:val="F6328CB6"/>
    <w:lvl w:ilvl="0" w:tplc="AF164A8E">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5D52580C"/>
    <w:multiLevelType w:val="hybridMultilevel"/>
    <w:tmpl w:val="F5BE11BA"/>
    <w:lvl w:ilvl="0" w:tplc="AF164A8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1EA0D31"/>
    <w:multiLevelType w:val="hybridMultilevel"/>
    <w:tmpl w:val="B164CD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4277486"/>
    <w:multiLevelType w:val="hybridMultilevel"/>
    <w:tmpl w:val="25FA3E62"/>
    <w:lvl w:ilvl="0" w:tplc="AF164A8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6127C1C"/>
    <w:multiLevelType w:val="hybridMultilevel"/>
    <w:tmpl w:val="224C01F4"/>
    <w:lvl w:ilvl="0" w:tplc="AF164A8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8B921CA"/>
    <w:multiLevelType w:val="hybridMultilevel"/>
    <w:tmpl w:val="E5049066"/>
    <w:lvl w:ilvl="0" w:tplc="FFFFFFFF">
      <w:start w:val="1"/>
      <w:numFmt w:val="upperRoman"/>
      <w:lvlText w:val="%1.-"/>
      <w:lvlJc w:val="left"/>
      <w:pPr>
        <w:tabs>
          <w:tab w:val="num" w:pos="1800"/>
        </w:tabs>
        <w:ind w:left="1800" w:hanging="72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9CE3450"/>
    <w:multiLevelType w:val="hybridMultilevel"/>
    <w:tmpl w:val="53648560"/>
    <w:lvl w:ilvl="0" w:tplc="AF164A8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42838964">
    <w:abstractNumId w:val="26"/>
  </w:num>
  <w:num w:numId="2" w16cid:durableId="1522008068">
    <w:abstractNumId w:val="5"/>
  </w:num>
  <w:num w:numId="3" w16cid:durableId="567494390">
    <w:abstractNumId w:val="10"/>
  </w:num>
  <w:num w:numId="4" w16cid:durableId="1863666520">
    <w:abstractNumId w:val="1"/>
  </w:num>
  <w:num w:numId="5" w16cid:durableId="894852743">
    <w:abstractNumId w:val="16"/>
  </w:num>
  <w:num w:numId="6" w16cid:durableId="1048190825">
    <w:abstractNumId w:val="2"/>
  </w:num>
  <w:num w:numId="7" w16cid:durableId="1699089701">
    <w:abstractNumId w:val="22"/>
  </w:num>
  <w:num w:numId="8" w16cid:durableId="1777754671">
    <w:abstractNumId w:val="3"/>
  </w:num>
  <w:num w:numId="9" w16cid:durableId="1611281074">
    <w:abstractNumId w:val="21"/>
  </w:num>
  <w:num w:numId="10" w16cid:durableId="1238515950">
    <w:abstractNumId w:val="14"/>
  </w:num>
  <w:num w:numId="11" w16cid:durableId="1547988444">
    <w:abstractNumId w:val="9"/>
  </w:num>
  <w:num w:numId="12" w16cid:durableId="2094621766">
    <w:abstractNumId w:val="11"/>
  </w:num>
  <w:num w:numId="13" w16cid:durableId="1168640583">
    <w:abstractNumId w:val="4"/>
  </w:num>
  <w:num w:numId="14" w16cid:durableId="1525287164">
    <w:abstractNumId w:val="0"/>
  </w:num>
  <w:num w:numId="15" w16cid:durableId="839200486">
    <w:abstractNumId w:val="8"/>
  </w:num>
  <w:num w:numId="16" w16cid:durableId="1771197214">
    <w:abstractNumId w:val="13"/>
  </w:num>
  <w:num w:numId="17" w16cid:durableId="1374891755">
    <w:abstractNumId w:val="12"/>
  </w:num>
  <w:num w:numId="18" w16cid:durableId="2040079820">
    <w:abstractNumId w:val="15"/>
  </w:num>
  <w:num w:numId="19" w16cid:durableId="1930893163">
    <w:abstractNumId w:val="7"/>
  </w:num>
  <w:num w:numId="20" w16cid:durableId="1025861177">
    <w:abstractNumId w:val="23"/>
  </w:num>
  <w:num w:numId="21" w16cid:durableId="106854516">
    <w:abstractNumId w:val="18"/>
  </w:num>
  <w:num w:numId="22" w16cid:durableId="965620049">
    <w:abstractNumId w:val="20"/>
  </w:num>
  <w:num w:numId="23" w16cid:durableId="125396398">
    <w:abstractNumId w:val="24"/>
  </w:num>
  <w:num w:numId="24" w16cid:durableId="793526584">
    <w:abstractNumId w:val="6"/>
  </w:num>
  <w:num w:numId="25" w16cid:durableId="1040595782">
    <w:abstractNumId w:val="27"/>
  </w:num>
  <w:num w:numId="26" w16cid:durableId="802894797">
    <w:abstractNumId w:val="19"/>
  </w:num>
  <w:num w:numId="27" w16cid:durableId="16125906">
    <w:abstractNumId w:val="25"/>
  </w:num>
  <w:num w:numId="28" w16cid:durableId="197161049">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3696E"/>
    <w:rsid w:val="000A2D95"/>
    <w:rsid w:val="000B284F"/>
    <w:rsid w:val="000C07F0"/>
    <w:rsid w:val="000F257A"/>
    <w:rsid w:val="0010708C"/>
    <w:rsid w:val="00192727"/>
    <w:rsid w:val="002042D0"/>
    <w:rsid w:val="00290D27"/>
    <w:rsid w:val="002C47C3"/>
    <w:rsid w:val="0030775A"/>
    <w:rsid w:val="00321639"/>
    <w:rsid w:val="00335934"/>
    <w:rsid w:val="003C5561"/>
    <w:rsid w:val="0040032D"/>
    <w:rsid w:val="00400DAE"/>
    <w:rsid w:val="00413C9F"/>
    <w:rsid w:val="004A3878"/>
    <w:rsid w:val="004B54B2"/>
    <w:rsid w:val="004B5BE5"/>
    <w:rsid w:val="0053613E"/>
    <w:rsid w:val="00543363"/>
    <w:rsid w:val="00571FEA"/>
    <w:rsid w:val="005A3AFB"/>
    <w:rsid w:val="005C2308"/>
    <w:rsid w:val="005E3AB1"/>
    <w:rsid w:val="005E4953"/>
    <w:rsid w:val="006455C6"/>
    <w:rsid w:val="00657DB7"/>
    <w:rsid w:val="00674DC6"/>
    <w:rsid w:val="0069067B"/>
    <w:rsid w:val="006A3BE6"/>
    <w:rsid w:val="006C2039"/>
    <w:rsid w:val="006D5070"/>
    <w:rsid w:val="006E1838"/>
    <w:rsid w:val="006F5A2B"/>
    <w:rsid w:val="00703A01"/>
    <w:rsid w:val="007417A6"/>
    <w:rsid w:val="007536C3"/>
    <w:rsid w:val="007825C1"/>
    <w:rsid w:val="007B5EF9"/>
    <w:rsid w:val="007B6C82"/>
    <w:rsid w:val="007C66C7"/>
    <w:rsid w:val="00827894"/>
    <w:rsid w:val="00833B09"/>
    <w:rsid w:val="008E1A4B"/>
    <w:rsid w:val="00902337"/>
    <w:rsid w:val="009033C6"/>
    <w:rsid w:val="00966B5B"/>
    <w:rsid w:val="009724FA"/>
    <w:rsid w:val="00973321"/>
    <w:rsid w:val="00973A5F"/>
    <w:rsid w:val="009E6CFA"/>
    <w:rsid w:val="00A042FC"/>
    <w:rsid w:val="00A2610A"/>
    <w:rsid w:val="00A403FD"/>
    <w:rsid w:val="00A417BE"/>
    <w:rsid w:val="00A44279"/>
    <w:rsid w:val="00A508AE"/>
    <w:rsid w:val="00AA58A1"/>
    <w:rsid w:val="00AB0BEC"/>
    <w:rsid w:val="00AB5228"/>
    <w:rsid w:val="00AE19CF"/>
    <w:rsid w:val="00B526C6"/>
    <w:rsid w:val="00BC690C"/>
    <w:rsid w:val="00BD009D"/>
    <w:rsid w:val="00C24DF8"/>
    <w:rsid w:val="00C4593F"/>
    <w:rsid w:val="00CA0E00"/>
    <w:rsid w:val="00CF58FF"/>
    <w:rsid w:val="00D31945"/>
    <w:rsid w:val="00D427CD"/>
    <w:rsid w:val="00D515F1"/>
    <w:rsid w:val="00DF7309"/>
    <w:rsid w:val="00E638FF"/>
    <w:rsid w:val="00E868D8"/>
    <w:rsid w:val="00EA38D7"/>
    <w:rsid w:val="00ED5888"/>
    <w:rsid w:val="00F24039"/>
    <w:rsid w:val="00F303D2"/>
    <w:rsid w:val="00F31A25"/>
    <w:rsid w:val="00F42B43"/>
    <w:rsid w:val="00F55C1C"/>
    <w:rsid w:val="00F65E7E"/>
    <w:rsid w:val="00F864DD"/>
    <w:rsid w:val="00F927A1"/>
    <w:rsid w:val="00FC3888"/>
    <w:rsid w:val="00FD4080"/>
    <w:rsid w:val="00FF08AE"/>
    <w:rsid w:val="00FF3D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E1ED3"/>
  <w15:chartTrackingRefBased/>
  <w15:docId w15:val="{40033353-7741-4456-8FCB-E15A94A3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rsid w:val="00833B09"/>
    <w:rPr>
      <w:rFonts w:ascii="Arial" w:eastAsia="Times New Roman" w:hAnsi="Arial" w:cs="Times New Roman"/>
      <w:b/>
      <w:bCs/>
      <w:sz w:val="26"/>
      <w:szCs w:val="24"/>
      <w:lang w:val="es-ES_tradnl" w:eastAsia="es-ES"/>
    </w:rPr>
  </w:style>
  <w:style w:type="character" w:customStyle="1" w:styleId="Ttulo4Car">
    <w:name w:val="Título 4 Car"/>
    <w:basedOn w:val="Fuentedeprrafopredeter"/>
    <w:link w:val="Ttulo4"/>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833B09"/>
    <w:rPr>
      <w:rFonts w:ascii="Arial" w:eastAsia="Times New Roman" w:hAnsi="Arial" w:cs="Times New Roman"/>
      <w:b/>
      <w:color w:val="000000"/>
      <w:szCs w:val="24"/>
      <w:lang w:val="es-ES"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rsid w:val="009724FA"/>
    <w:rPr>
      <w:rFonts w:ascii="Arial" w:eastAsia="Times New Roman" w:hAnsi="Arial" w:cs="Arial"/>
      <w:sz w:val="28"/>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uiPriority w:val="10"/>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uiPriority w:val="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character" w:styleId="Nmerodepgina">
    <w:name w:val="page number"/>
    <w:basedOn w:val="Fuentedeprrafopredeter"/>
    <w:rsid w:val="00A2610A"/>
  </w:style>
  <w:style w:type="character" w:styleId="Textoennegrita">
    <w:name w:val="Strong"/>
    <w:uiPriority w:val="22"/>
    <w:qFormat/>
    <w:rsid w:val="00A2610A"/>
    <w:rPr>
      <w:b/>
      <w:bCs/>
    </w:rPr>
  </w:style>
  <w:style w:type="paragraph" w:styleId="NormalWeb">
    <w:name w:val="Normal (Web)"/>
    <w:basedOn w:val="Normal"/>
    <w:uiPriority w:val="99"/>
    <w:rsid w:val="00A2610A"/>
    <w:pPr>
      <w:spacing w:before="100" w:beforeAutospacing="1" w:after="100" w:afterAutospacing="1" w:line="240" w:lineRule="auto"/>
    </w:pPr>
    <w:rPr>
      <w:rFonts w:ascii="Times New Roman" w:eastAsia="Times New Roman" w:hAnsi="Times New Roman"/>
      <w:sz w:val="24"/>
      <w:szCs w:val="24"/>
      <w:lang w:eastAsia="es-ES"/>
    </w:rPr>
  </w:style>
  <w:style w:type="paragraph" w:styleId="Descripcin">
    <w:name w:val="caption"/>
    <w:basedOn w:val="Normal"/>
    <w:next w:val="Normal"/>
    <w:qFormat/>
    <w:rsid w:val="00A2610A"/>
    <w:pPr>
      <w:spacing w:after="0" w:line="240" w:lineRule="auto"/>
      <w:jc w:val="center"/>
    </w:pPr>
    <w:rPr>
      <w:rFonts w:ascii="Arial" w:eastAsia="Times New Roman" w:hAnsi="Arial" w:cs="Arial"/>
      <w:b/>
      <w:bCs/>
      <w:sz w:val="20"/>
      <w:szCs w:val="20"/>
      <w:lang w:eastAsia="es-ES"/>
    </w:rPr>
  </w:style>
  <w:style w:type="character" w:customStyle="1" w:styleId="PiedepginaCar1">
    <w:name w:val="Pie de página Car1"/>
    <w:uiPriority w:val="99"/>
    <w:semiHidden/>
    <w:rsid w:val="00D515F1"/>
    <w:rPr>
      <w:rFonts w:ascii="Times New Roman" w:eastAsia="Times New Roman" w:hAnsi="Times New Roman" w:cs="Times New Roman"/>
      <w:sz w:val="24"/>
      <w:szCs w:val="24"/>
      <w:lang w:val="es-ES" w:eastAsia="es-ES"/>
    </w:rPr>
  </w:style>
  <w:style w:type="character" w:customStyle="1" w:styleId="TextodegloboCar1">
    <w:name w:val="Texto de globo Car1"/>
    <w:uiPriority w:val="99"/>
    <w:semiHidden/>
    <w:rsid w:val="00D515F1"/>
    <w:rPr>
      <w:rFonts w:ascii="Tahoma" w:eastAsia="Times New Roman" w:hAnsi="Tahoma" w:cs="Tahoma"/>
      <w:sz w:val="16"/>
      <w:szCs w:val="16"/>
      <w:lang w:val="es-ES" w:eastAsia="es-ES"/>
    </w:rPr>
  </w:style>
  <w:style w:type="character" w:styleId="Refdenotaalpie">
    <w:name w:val="footnote reference"/>
    <w:uiPriority w:val="99"/>
    <w:semiHidden/>
    <w:unhideWhenUsed/>
    <w:rsid w:val="00D515F1"/>
    <w:rPr>
      <w:vertAlign w:val="superscript"/>
    </w:rPr>
  </w:style>
  <w:style w:type="character" w:styleId="Refdecomentario">
    <w:name w:val="annotation reference"/>
    <w:basedOn w:val="Fuentedeprrafopredeter"/>
    <w:uiPriority w:val="99"/>
    <w:semiHidden/>
    <w:unhideWhenUsed/>
    <w:rsid w:val="00D515F1"/>
    <w:rPr>
      <w:sz w:val="16"/>
      <w:szCs w:val="16"/>
    </w:rPr>
  </w:style>
  <w:style w:type="table" w:styleId="Tablaconcuadrcula">
    <w:name w:val="Table Grid"/>
    <w:basedOn w:val="Tablanormal"/>
    <w:uiPriority w:val="39"/>
    <w:rsid w:val="00D515F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B5EF9"/>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7B5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0AAEF-8B5B-435A-9899-3E7B4A3C5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29</Pages>
  <Words>5286</Words>
  <Characters>29079</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Xichú</vt:lpstr>
    </vt:vector>
  </TitlesOfParts>
  <Company/>
  <LinksUpToDate>false</LinksUpToDate>
  <CharactersWithSpaces>34297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Xichú</dc:title>
  <dc:subject/>
  <dc:creator>INILEG</dc:creator>
  <cp:keywords>LIM Xichu</cp:keywords>
  <dc:description/>
  <cp:lastModifiedBy>Rene Denis Estrada Sotelo</cp:lastModifiedBy>
  <cp:revision>10</cp:revision>
  <cp:lastPrinted>2021-12-31T18:32:00Z</cp:lastPrinted>
  <dcterms:created xsi:type="dcterms:W3CDTF">2023-01-03T02:35:00Z</dcterms:created>
  <dcterms:modified xsi:type="dcterms:W3CDTF">2025-01-05T01:59:00Z</dcterms:modified>
</cp:coreProperties>
</file>