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0"/>
        <w:gridCol w:w="180"/>
        <w:gridCol w:w="3772"/>
      </w:tblGrid>
      <w:tr w:rsidR="001E6314" w14:paraId="1770804C" w14:textId="77777777" w:rsidTr="00F93070">
        <w:trPr>
          <w:jc w:val="center"/>
        </w:trPr>
        <w:tc>
          <w:tcPr>
            <w:tcW w:w="6740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6E6E6"/>
          </w:tcPr>
          <w:p w14:paraId="2AD0CC7D" w14:textId="77777777" w:rsidR="001E6314" w:rsidRPr="00F66BCF" w:rsidRDefault="001E6314" w:rsidP="00F93070">
            <w:pPr>
              <w:pStyle w:val="Encabezado"/>
              <w:tabs>
                <w:tab w:val="clear" w:pos="8504"/>
              </w:tabs>
              <w:ind w:right="3"/>
              <w:jc w:val="center"/>
              <w:rPr>
                <w:rFonts w:ascii="Arial Rounded MT Bold" w:hAnsi="Arial Rounded MT Bold" w:cs="Arial"/>
                <w:b/>
                <w:smallCaps/>
                <w:sz w:val="28"/>
              </w:rPr>
            </w:pPr>
            <w:bookmarkStart w:id="0" w:name="_Hlk531966916"/>
            <w:bookmarkStart w:id="1" w:name="_Hlk3377590"/>
            <w:bookmarkStart w:id="2" w:name="_Hlk536717980"/>
            <w:bookmarkStart w:id="3" w:name="_Hlk52356869"/>
            <w:bookmarkStart w:id="4" w:name="_Hlk52358616"/>
            <w:r w:rsidRPr="00F66BCF">
              <w:rPr>
                <w:rFonts w:ascii="Arial Rounded MT Bold" w:hAnsi="Arial Rounded MT Bold" w:cs="Arial"/>
                <w:b/>
                <w:smallCaps/>
                <w:sz w:val="28"/>
              </w:rPr>
              <w:t>Asunto</w:t>
            </w:r>
          </w:p>
        </w:tc>
        <w:tc>
          <w:tcPr>
            <w:tcW w:w="180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14:paraId="2741AA48" w14:textId="77777777" w:rsidR="001E6314" w:rsidRPr="00F66BCF" w:rsidRDefault="001E6314" w:rsidP="00F93070">
            <w:pPr>
              <w:pStyle w:val="Encabezado"/>
              <w:tabs>
                <w:tab w:val="clear" w:pos="8504"/>
              </w:tabs>
              <w:ind w:right="3"/>
              <w:rPr>
                <w:rFonts w:ascii="Arial Rounded MT Bold" w:hAnsi="Arial Rounded MT Bold" w:cs="Arial"/>
                <w:b/>
                <w:smallCaps/>
                <w:sz w:val="28"/>
              </w:rPr>
            </w:pPr>
          </w:p>
        </w:tc>
        <w:tc>
          <w:tcPr>
            <w:tcW w:w="3772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6E6E6"/>
          </w:tcPr>
          <w:p w14:paraId="1D2E61F4" w14:textId="77777777" w:rsidR="001E6314" w:rsidRPr="00F66BCF" w:rsidRDefault="001E6314" w:rsidP="00F93070">
            <w:pPr>
              <w:pStyle w:val="Encabezado"/>
              <w:tabs>
                <w:tab w:val="clear" w:pos="8504"/>
              </w:tabs>
              <w:ind w:right="3"/>
              <w:jc w:val="center"/>
              <w:rPr>
                <w:rFonts w:ascii="Arial Rounded MT Bold" w:hAnsi="Arial Rounded MT Bold" w:cs="Arial"/>
                <w:b/>
                <w:smallCaps/>
                <w:sz w:val="28"/>
              </w:rPr>
            </w:pPr>
            <w:r w:rsidRPr="00F66BCF">
              <w:rPr>
                <w:rFonts w:ascii="Arial Rounded MT Bold" w:hAnsi="Arial Rounded MT Bold" w:cs="Arial"/>
                <w:b/>
                <w:smallCaps/>
                <w:sz w:val="28"/>
              </w:rPr>
              <w:t>Acuerdo</w:t>
            </w:r>
          </w:p>
        </w:tc>
      </w:tr>
    </w:tbl>
    <w:p w14:paraId="51F68EFE" w14:textId="77777777" w:rsidR="001E6314" w:rsidRDefault="001E6314" w:rsidP="001E6314">
      <w:pPr>
        <w:pStyle w:val="Encabezado"/>
        <w:ind w:right="360"/>
        <w:rPr>
          <w:sz w:val="10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8"/>
        <w:gridCol w:w="175"/>
        <w:gridCol w:w="3809"/>
      </w:tblGrid>
      <w:tr w:rsidR="001E6314" w:rsidRPr="00900966" w14:paraId="735785AD" w14:textId="77777777" w:rsidTr="00F93070">
        <w:trPr>
          <w:trHeight w:val="946"/>
        </w:trPr>
        <w:tc>
          <w:tcPr>
            <w:tcW w:w="6648" w:type="dxa"/>
          </w:tcPr>
          <w:p w14:paraId="5C1E7054" w14:textId="39AFF2F7" w:rsidR="008B78B2" w:rsidRPr="00382F45" w:rsidRDefault="008B78B2" w:rsidP="008B78B2">
            <w:pPr>
              <w:spacing w:line="276" w:lineRule="auto"/>
              <w:jc w:val="both"/>
              <w:rPr>
                <w:rFonts w:ascii="Verdana" w:hAnsi="Verdana"/>
                <w:kern w:val="24"/>
                <w:sz w:val="20"/>
                <w:szCs w:val="20"/>
              </w:rPr>
            </w:pPr>
            <w:bookmarkStart w:id="5" w:name="m_2557402129144859241_m_-490838385956527"/>
            <w:bookmarkEnd w:id="5"/>
            <w:r w:rsidRPr="00382F45">
              <w:rPr>
                <w:rFonts w:ascii="Verdana" w:hAnsi="Verdana"/>
                <w:sz w:val="20"/>
                <w:szCs w:val="20"/>
              </w:rPr>
              <w:t xml:space="preserve">El </w:t>
            </w:r>
            <w:r w:rsidRPr="00382F45">
              <w:rPr>
                <w:rFonts w:ascii="Verdana" w:hAnsi="Verdana"/>
                <w:kern w:val="24"/>
                <w:sz w:val="20"/>
                <w:szCs w:val="20"/>
              </w:rPr>
              <w:t>procurador de los Derechos Humanos del Estado de Guanajuato y la abogada general de la Universidad de Guanajuato remiten respuesta a la consulta de la iniciativa a efecto de reformar la fracción XII del artículo 5 y adicionar la fracción XIV, recorriéndose en su orden la numeración de la fracción subsecuente del artículo 5, una fracción VI al artículo 6 y un artículo 39 Bis a la Ley de Acceso de la Mujeres a una Vida Libre de Violencia para el Estado de Guanajuato.</w:t>
            </w:r>
          </w:p>
          <w:p w14:paraId="19C14FE0" w14:textId="2822062A" w:rsidR="008B78B2" w:rsidRPr="00382F45" w:rsidRDefault="008B78B2" w:rsidP="008B78B2">
            <w:pPr>
              <w:spacing w:line="276" w:lineRule="auto"/>
              <w:jc w:val="both"/>
              <w:rPr>
                <w:rFonts w:ascii="Verdana" w:hAnsi="Verdana"/>
                <w:kern w:val="24"/>
                <w:sz w:val="20"/>
                <w:szCs w:val="20"/>
              </w:rPr>
            </w:pPr>
          </w:p>
          <w:p w14:paraId="3C533F2B" w14:textId="51AD9B66" w:rsidR="008B78B2" w:rsidRPr="00382F45" w:rsidRDefault="008B78B2" w:rsidP="008B78B2">
            <w:pPr>
              <w:spacing w:line="276" w:lineRule="auto"/>
              <w:jc w:val="both"/>
              <w:rPr>
                <w:rFonts w:ascii="Verdana" w:hAnsi="Verdana"/>
                <w:color w:val="FF0000"/>
                <w:kern w:val="24"/>
                <w:sz w:val="20"/>
                <w:szCs w:val="20"/>
              </w:rPr>
            </w:pPr>
            <w:r w:rsidRPr="00382F45">
              <w:rPr>
                <w:rFonts w:ascii="Verdana" w:hAnsi="Verdana"/>
                <w:sz w:val="20"/>
                <w:szCs w:val="20"/>
              </w:rPr>
              <w:t xml:space="preserve">Responsables del Programa Universitario de Mujer y Relaciones de Género de la Universidad Iberoamericana León </w:t>
            </w:r>
            <w:r w:rsidRPr="00382F45">
              <w:rPr>
                <w:rFonts w:ascii="Verdana" w:hAnsi="Verdana"/>
                <w:kern w:val="24"/>
                <w:sz w:val="20"/>
                <w:szCs w:val="20"/>
              </w:rPr>
              <w:t>remiten respuesta a la consulta de la iniciativa a efecto de reformar la fracción XII del artículo 5 y adicionar la fracción XIV, recorriéndose en su orden la numeración de la fracción subsecuente del artículo 5, una fracción VI al artículo 6 y un artículo 39 Bis a la Ley de Acceso de la Mujeres a una Vida Libre de Violencia para el Estado de Guanajuato.</w:t>
            </w:r>
          </w:p>
          <w:p w14:paraId="7AD886A1" w14:textId="754B54EC" w:rsidR="005E04B9" w:rsidRPr="00382F45" w:rsidRDefault="005E04B9" w:rsidP="008B78B2">
            <w:pPr>
              <w:autoSpaceDE w:val="0"/>
              <w:autoSpaceDN w:val="0"/>
              <w:adjustRightInd w:val="0"/>
              <w:jc w:val="both"/>
              <w:rPr>
                <w:rFonts w:ascii="Verdana" w:eastAsia="Arial Unicode MS" w:hAnsi="Verdana" w:cs="Tahoma"/>
                <w:sz w:val="20"/>
              </w:rPr>
            </w:pPr>
          </w:p>
        </w:tc>
        <w:tc>
          <w:tcPr>
            <w:tcW w:w="175" w:type="dxa"/>
          </w:tcPr>
          <w:p w14:paraId="5FB1BEF4" w14:textId="77777777" w:rsidR="001E6314" w:rsidRPr="00382F45" w:rsidRDefault="001E6314" w:rsidP="00F93070">
            <w:pPr>
              <w:pStyle w:val="Sangradetextonormal"/>
              <w:ind w:firstLine="0"/>
              <w:rPr>
                <w:rFonts w:ascii="Verdana" w:hAnsi="Verdana" w:cs="Tahoma"/>
                <w:sz w:val="20"/>
                <w:highlight w:val="yellow"/>
              </w:rPr>
            </w:pPr>
          </w:p>
        </w:tc>
        <w:tc>
          <w:tcPr>
            <w:tcW w:w="3809" w:type="dxa"/>
          </w:tcPr>
          <w:p w14:paraId="31102506" w14:textId="09C810CD" w:rsidR="00FF4C98" w:rsidRPr="00382F45" w:rsidRDefault="00FF4C98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5B39435D" w14:textId="3EDA3E25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558EF8D7" w14:textId="68ED436B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17C8CD7C" w14:textId="0D7FCBCB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7AB9D1A1" w14:textId="45AC181B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650C890C" w14:textId="1C573864" w:rsidR="003A6A3D" w:rsidRPr="00382F45" w:rsidRDefault="003A6A3D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591B282C" w14:textId="01E103A5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30557462" w14:textId="595EAA38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1FB5164A" w14:textId="0124D699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7D496A85" w14:textId="04886057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7A9CC773" w14:textId="6B9C8601" w:rsidR="005E04B9" w:rsidRPr="00382F45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392CF9D2" w14:textId="2E08B5F6" w:rsidR="005E04B9" w:rsidRDefault="005E04B9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1F397C1B" w14:textId="7B5AD433" w:rsidR="00382F45" w:rsidRDefault="00382F45" w:rsidP="00F326ED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  <w:p w14:paraId="40F78935" w14:textId="47A85E43" w:rsidR="00FD0471" w:rsidRPr="00382F45" w:rsidRDefault="00FD0471" w:rsidP="00330112">
            <w:pPr>
              <w:pStyle w:val="Sangradetextonormal"/>
              <w:ind w:firstLine="0"/>
              <w:rPr>
                <w:rFonts w:ascii="Verdana" w:hAnsi="Verdana" w:cs="Tahoma"/>
                <w:i/>
                <w:iCs/>
                <w:sz w:val="20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77412209" w14:textId="77777777" w:rsidR="00A01E0F" w:rsidRDefault="00A01E0F" w:rsidP="00B00080">
      <w:pPr>
        <w:pStyle w:val="Encabezado"/>
        <w:tabs>
          <w:tab w:val="clear" w:pos="8504"/>
        </w:tabs>
        <w:ind w:right="3"/>
        <w:jc w:val="center"/>
      </w:pPr>
    </w:p>
    <w:sectPr w:rsidR="00A01E0F" w:rsidSect="00196359">
      <w:headerReference w:type="default" r:id="rId7"/>
      <w:pgSz w:w="12240" w:h="15840" w:code="1"/>
      <w:pgMar w:top="2410" w:right="1608" w:bottom="70" w:left="851" w:header="142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CF1E" w14:textId="77777777" w:rsidR="007374CC" w:rsidRDefault="001355AF">
      <w:r>
        <w:separator/>
      </w:r>
    </w:p>
  </w:endnote>
  <w:endnote w:type="continuationSeparator" w:id="0">
    <w:p w14:paraId="2E0BE122" w14:textId="77777777" w:rsidR="007374CC" w:rsidRDefault="0013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46E" w14:textId="77777777" w:rsidR="007374CC" w:rsidRDefault="001355AF">
      <w:r>
        <w:separator/>
      </w:r>
    </w:p>
  </w:footnote>
  <w:footnote w:type="continuationSeparator" w:id="0">
    <w:p w14:paraId="258D8540" w14:textId="77777777" w:rsidR="007374CC" w:rsidRDefault="0013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DAF2" w14:textId="77777777" w:rsidR="00A7433A" w:rsidRDefault="001730AD" w:rsidP="003D2507">
    <w:pPr>
      <w:tabs>
        <w:tab w:val="left" w:pos="567"/>
      </w:tabs>
      <w:ind w:left="-1276"/>
      <w:rPr>
        <w:rFonts w:ascii="Franklin Gothic Book" w:hAnsi="Franklin Gothic Book"/>
        <w:color w:val="3B3838"/>
        <w:sz w:val="36"/>
        <w:szCs w:val="36"/>
        <w:lang w:val="es-MX"/>
      </w:rPr>
    </w:pPr>
    <w:bookmarkStart w:id="6" w:name="_Hlk26790899"/>
    <w:r>
      <w:rPr>
        <w:rFonts w:ascii="Franklin Gothic Book" w:hAnsi="Franklin Gothic Book"/>
        <w:color w:val="3B3838"/>
        <w:sz w:val="36"/>
        <w:szCs w:val="36"/>
        <w:lang w:val="es-MX"/>
      </w:rPr>
      <w:tab/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  <w:r w:rsidRPr="00151D86">
      <w:rPr>
        <w:rFonts w:ascii="Franklin Gothic Book" w:hAnsi="Franklin Gothic Book"/>
        <w:color w:val="3B3838"/>
        <w:sz w:val="36"/>
        <w:szCs w:val="36"/>
        <w:lang w:val="es-MX"/>
      </w:rPr>
      <w:t xml:space="preserve"> </w:t>
    </w:r>
    <w:r>
      <w:rPr>
        <w:rFonts w:ascii="Franklin Gothic Book" w:hAnsi="Franklin Gothic Book"/>
        <w:color w:val="3B3838"/>
        <w:sz w:val="36"/>
        <w:szCs w:val="36"/>
        <w:lang w:val="es-MX"/>
      </w:rPr>
      <w:t xml:space="preserve">                                           </w:t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  <w:r>
      <w:rPr>
        <w:rFonts w:ascii="Franklin Gothic Book" w:hAnsi="Franklin Gothic Book"/>
        <w:color w:val="3B3838"/>
        <w:sz w:val="36"/>
        <w:szCs w:val="36"/>
        <w:lang w:val="es-MX"/>
      </w:rPr>
      <w:tab/>
    </w:r>
  </w:p>
  <w:p w14:paraId="54F8FBAD" w14:textId="77777777" w:rsidR="00CF39D7" w:rsidRDefault="00CF39D7" w:rsidP="00E8785B">
    <w:pPr>
      <w:tabs>
        <w:tab w:val="left" w:pos="-284"/>
      </w:tabs>
      <w:ind w:left="142"/>
      <w:jc w:val="right"/>
      <w:rPr>
        <w:rFonts w:ascii="Bahnschrift SemiCondensed" w:hAnsi="Bahnschrift SemiCondensed" w:cs="Gisha"/>
        <w:b/>
        <w:noProof/>
        <w:color w:val="808080"/>
        <w:sz w:val="22"/>
        <w:szCs w:val="22"/>
      </w:rPr>
    </w:pPr>
  </w:p>
  <w:p w14:paraId="07DA6DB3" w14:textId="77777777" w:rsidR="00CF39D7" w:rsidRDefault="00CF39D7" w:rsidP="00E8785B">
    <w:pPr>
      <w:tabs>
        <w:tab w:val="left" w:pos="-284"/>
      </w:tabs>
      <w:ind w:left="142"/>
      <w:jc w:val="right"/>
      <w:rPr>
        <w:rFonts w:ascii="Bahnschrift SemiCondensed" w:hAnsi="Bahnschrift SemiCondensed" w:cs="Gisha"/>
        <w:b/>
        <w:noProof/>
        <w:color w:val="808080"/>
        <w:sz w:val="22"/>
        <w:szCs w:val="22"/>
      </w:rPr>
    </w:pPr>
  </w:p>
  <w:p w14:paraId="15CE6FBF" w14:textId="77777777" w:rsidR="00CF39D7" w:rsidRDefault="00CF39D7" w:rsidP="00E8785B">
    <w:pPr>
      <w:tabs>
        <w:tab w:val="left" w:pos="-284"/>
      </w:tabs>
      <w:ind w:left="142"/>
      <w:jc w:val="right"/>
      <w:rPr>
        <w:rFonts w:ascii="Bahnschrift SemiCondensed" w:hAnsi="Bahnschrift SemiCondensed" w:cs="Gisha"/>
        <w:b/>
        <w:noProof/>
        <w:color w:val="808080"/>
        <w:sz w:val="22"/>
        <w:szCs w:val="22"/>
      </w:rPr>
    </w:pPr>
  </w:p>
  <w:p w14:paraId="5E75AE43" w14:textId="77777777" w:rsidR="00F96FD5" w:rsidRDefault="001730AD" w:rsidP="00E8785B">
    <w:pPr>
      <w:tabs>
        <w:tab w:val="left" w:pos="-284"/>
      </w:tabs>
      <w:ind w:left="142"/>
      <w:jc w:val="right"/>
      <w:rPr>
        <w:rFonts w:ascii="Daytona Condensed" w:hAnsi="Daytona Condensed" w:cs="FreesiaUPC"/>
        <w:color w:val="262626"/>
        <w:sz w:val="36"/>
        <w:szCs w:val="36"/>
        <w:lang w:val="es-MX"/>
      </w:rPr>
    </w:pPr>
    <w:r w:rsidRPr="00B732B2">
      <w:rPr>
        <w:rFonts w:ascii="Franklin Gothic Book" w:hAnsi="Franklin Gothic Book"/>
        <w:color w:val="262626"/>
        <w:sz w:val="36"/>
        <w:szCs w:val="36"/>
        <w:lang w:val="es-MX"/>
      </w:rPr>
      <w:tab/>
    </w:r>
    <w:r w:rsidRPr="00B732B2">
      <w:rPr>
        <w:rFonts w:ascii="Franklin Gothic Book" w:hAnsi="Franklin Gothic Book"/>
        <w:color w:val="262626"/>
        <w:sz w:val="36"/>
        <w:szCs w:val="36"/>
        <w:lang w:val="es-MX"/>
      </w:rPr>
      <w:tab/>
    </w:r>
    <w:r>
      <w:rPr>
        <w:rFonts w:ascii="Franklin Gothic Book" w:hAnsi="Franklin Gothic Book"/>
        <w:color w:val="262626"/>
        <w:sz w:val="36"/>
        <w:szCs w:val="36"/>
        <w:lang w:val="es-MX"/>
      </w:rPr>
      <w:t xml:space="preserve">                 </w:t>
    </w:r>
    <w:r>
      <w:rPr>
        <w:rFonts w:ascii="Daytona Condensed" w:hAnsi="Daytona Condensed" w:cs="FreesiaUPC"/>
        <w:color w:val="262626"/>
        <w:sz w:val="36"/>
        <w:szCs w:val="36"/>
        <w:lang w:val="es-MX"/>
      </w:rPr>
      <w:t>Comisi</w:t>
    </w:r>
    <w:r w:rsidR="00F96FD5">
      <w:rPr>
        <w:rFonts w:ascii="Daytona Condensed" w:hAnsi="Daytona Condensed" w:cs="FreesiaUPC"/>
        <w:color w:val="262626"/>
        <w:sz w:val="36"/>
        <w:szCs w:val="36"/>
        <w:lang w:val="es-MX"/>
      </w:rPr>
      <w:t>ones Unidas d</w:t>
    </w:r>
    <w:r>
      <w:rPr>
        <w:rFonts w:ascii="Daytona Condensed" w:hAnsi="Daytona Condensed" w:cs="FreesiaUPC"/>
        <w:color w:val="262626"/>
        <w:sz w:val="36"/>
        <w:szCs w:val="36"/>
        <w:lang w:val="es-MX"/>
      </w:rPr>
      <w:t>e Justicia</w:t>
    </w:r>
    <w:r w:rsidR="00F96FD5">
      <w:rPr>
        <w:rFonts w:ascii="Daytona Condensed" w:hAnsi="Daytona Condensed" w:cs="FreesiaUPC"/>
        <w:color w:val="262626"/>
        <w:sz w:val="36"/>
        <w:szCs w:val="36"/>
        <w:lang w:val="es-MX"/>
      </w:rPr>
      <w:t xml:space="preserve"> y </w:t>
    </w:r>
  </w:p>
  <w:p w14:paraId="444778D0" w14:textId="4D0F4923" w:rsidR="009B543E" w:rsidRPr="00B732B2" w:rsidRDefault="00F96FD5" w:rsidP="00E8785B">
    <w:pPr>
      <w:tabs>
        <w:tab w:val="left" w:pos="-284"/>
      </w:tabs>
      <w:ind w:left="142"/>
      <w:jc w:val="right"/>
      <w:rPr>
        <w:rFonts w:ascii="Daytona Condensed" w:hAnsi="Daytona Condensed" w:cs="FreesiaUPC"/>
        <w:color w:val="262626"/>
        <w:sz w:val="36"/>
        <w:szCs w:val="36"/>
      </w:rPr>
    </w:pPr>
    <w:r>
      <w:rPr>
        <w:rFonts w:ascii="Daytona Condensed" w:hAnsi="Daytona Condensed" w:cs="FreesiaUPC"/>
        <w:color w:val="262626"/>
        <w:sz w:val="36"/>
        <w:szCs w:val="36"/>
        <w:lang w:val="es-MX"/>
      </w:rPr>
      <w:t>Para la Igualdad de Género</w:t>
    </w:r>
  </w:p>
  <w:p w14:paraId="04F2A9FE" w14:textId="77777777" w:rsidR="00466A19" w:rsidRPr="00B732B2" w:rsidRDefault="001730AD" w:rsidP="00123473">
    <w:pPr>
      <w:tabs>
        <w:tab w:val="center" w:pos="4252"/>
        <w:tab w:val="right" w:pos="8504"/>
      </w:tabs>
      <w:jc w:val="right"/>
      <w:rPr>
        <w:rFonts w:ascii="Bahnschrift SemiCondensed" w:hAnsi="Bahnschrift SemiCondensed" w:cs="Gisha"/>
        <w:b/>
        <w:color w:val="808080"/>
        <w:sz w:val="22"/>
        <w:szCs w:val="22"/>
        <w:lang w:val="es-MX"/>
      </w:rPr>
    </w:pPr>
    <w:r>
      <w:rPr>
        <w:rFonts w:ascii="Bahnschrift SemiCondensed" w:hAnsi="Bahnschrift SemiCondensed" w:cs="Gisha"/>
        <w:b/>
        <w:color w:val="808080"/>
        <w:sz w:val="22"/>
        <w:szCs w:val="22"/>
      </w:rPr>
      <w:t>COMUNICACIONES Y CORRESPONDENCIA</w:t>
    </w:r>
  </w:p>
  <w:p w14:paraId="6C70345C" w14:textId="122B939F" w:rsidR="00466A19" w:rsidRPr="00B732B2" w:rsidRDefault="00C93D0F" w:rsidP="009B543E">
    <w:pPr>
      <w:tabs>
        <w:tab w:val="center" w:pos="4419"/>
        <w:tab w:val="right" w:pos="8838"/>
      </w:tabs>
      <w:jc w:val="right"/>
      <w:rPr>
        <w:rFonts w:ascii="Avenir Next LT Pro Light" w:hAnsi="Avenir Next LT Pro Light" w:cs="Gisha"/>
        <w:sz w:val="20"/>
        <w:szCs w:val="20"/>
        <w:lang w:val="es-MX" w:eastAsia="en-US"/>
      </w:rPr>
    </w:pPr>
    <w:r>
      <w:rPr>
        <w:rFonts w:ascii="Avenir Next LT Pro Light" w:hAnsi="Avenir Next LT Pro Light" w:cs="Gisha"/>
        <w:sz w:val="20"/>
        <w:szCs w:val="20"/>
        <w:lang w:val="es-MX" w:eastAsia="en-US"/>
      </w:rPr>
      <w:t xml:space="preserve">17 de mayo </w:t>
    </w:r>
    <w:r w:rsidR="001730AD">
      <w:rPr>
        <w:rFonts w:ascii="Avenir Next LT Pro Light" w:hAnsi="Avenir Next LT Pro Light" w:cs="Gisha"/>
        <w:sz w:val="20"/>
        <w:szCs w:val="20"/>
        <w:lang w:val="es-MX" w:eastAsia="en-US"/>
      </w:rPr>
      <w:t>d</w:t>
    </w:r>
    <w:r w:rsidR="001730AD" w:rsidRPr="00B732B2">
      <w:rPr>
        <w:rFonts w:ascii="Avenir Next LT Pro Light" w:hAnsi="Avenir Next LT Pro Light" w:cs="Gisha"/>
        <w:sz w:val="20"/>
        <w:szCs w:val="20"/>
        <w:lang w:val="es-MX" w:eastAsia="en-US"/>
      </w:rPr>
      <w:t>e 202</w:t>
    </w:r>
    <w:r w:rsidR="001730AD">
      <w:rPr>
        <w:rFonts w:ascii="Avenir Next LT Pro Light" w:hAnsi="Avenir Next LT Pro Light" w:cs="Gisha"/>
        <w:sz w:val="20"/>
        <w:szCs w:val="20"/>
        <w:lang w:val="es-MX" w:eastAsia="en-US"/>
      </w:rPr>
      <w:t>2</w:t>
    </w:r>
    <w:r w:rsidR="001730AD" w:rsidRPr="00B732B2">
      <w:rPr>
        <w:rFonts w:ascii="Avenir Next LT Pro Light" w:hAnsi="Avenir Next LT Pro Light" w:cs="Gisha"/>
        <w:sz w:val="20"/>
        <w:szCs w:val="20"/>
        <w:lang w:val="es-MX" w:eastAsia="en-US"/>
      </w:rPr>
      <w:t>.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28F3"/>
    <w:multiLevelType w:val="hybridMultilevel"/>
    <w:tmpl w:val="DABE61D8"/>
    <w:lvl w:ilvl="0" w:tplc="E7A2DE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387C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4150962">
    <w:abstractNumId w:val="1"/>
  </w:num>
  <w:num w:numId="2" w16cid:durableId="80878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14"/>
    <w:rsid w:val="00026242"/>
    <w:rsid w:val="0004682E"/>
    <w:rsid w:val="00080E2B"/>
    <w:rsid w:val="000E1897"/>
    <w:rsid w:val="000F1F47"/>
    <w:rsid w:val="000F7F4D"/>
    <w:rsid w:val="001213A4"/>
    <w:rsid w:val="00130D97"/>
    <w:rsid w:val="001355AF"/>
    <w:rsid w:val="001730AD"/>
    <w:rsid w:val="0019412E"/>
    <w:rsid w:val="00196359"/>
    <w:rsid w:val="001A4E8F"/>
    <w:rsid w:val="001B0FCC"/>
    <w:rsid w:val="001C61A3"/>
    <w:rsid w:val="001E22AB"/>
    <w:rsid w:val="001E6314"/>
    <w:rsid w:val="001F6E4B"/>
    <w:rsid w:val="0021638E"/>
    <w:rsid w:val="00250459"/>
    <w:rsid w:val="00251094"/>
    <w:rsid w:val="002863C7"/>
    <w:rsid w:val="002B5567"/>
    <w:rsid w:val="00330112"/>
    <w:rsid w:val="00382F45"/>
    <w:rsid w:val="003A6A3D"/>
    <w:rsid w:val="00447CF4"/>
    <w:rsid w:val="004B3285"/>
    <w:rsid w:val="004D3A27"/>
    <w:rsid w:val="00537030"/>
    <w:rsid w:val="00571488"/>
    <w:rsid w:val="0058159F"/>
    <w:rsid w:val="005A40F8"/>
    <w:rsid w:val="005B7CB9"/>
    <w:rsid w:val="005E04B9"/>
    <w:rsid w:val="005E1FD2"/>
    <w:rsid w:val="006059CA"/>
    <w:rsid w:val="006776CE"/>
    <w:rsid w:val="006C021F"/>
    <w:rsid w:val="00710905"/>
    <w:rsid w:val="00737127"/>
    <w:rsid w:val="007374CC"/>
    <w:rsid w:val="007B1327"/>
    <w:rsid w:val="007B7B32"/>
    <w:rsid w:val="00815F09"/>
    <w:rsid w:val="008B78B2"/>
    <w:rsid w:val="00900966"/>
    <w:rsid w:val="00924B8F"/>
    <w:rsid w:val="009E40F9"/>
    <w:rsid w:val="009F65AD"/>
    <w:rsid w:val="00A01C60"/>
    <w:rsid w:val="00A01E0F"/>
    <w:rsid w:val="00A051B6"/>
    <w:rsid w:val="00A80885"/>
    <w:rsid w:val="00AA6CAD"/>
    <w:rsid w:val="00B00080"/>
    <w:rsid w:val="00B408F3"/>
    <w:rsid w:val="00B515D8"/>
    <w:rsid w:val="00BF44A5"/>
    <w:rsid w:val="00C11F1C"/>
    <w:rsid w:val="00C22F7F"/>
    <w:rsid w:val="00C43FBD"/>
    <w:rsid w:val="00C66B19"/>
    <w:rsid w:val="00C91770"/>
    <w:rsid w:val="00C93D0F"/>
    <w:rsid w:val="00CF39D7"/>
    <w:rsid w:val="00D41BDF"/>
    <w:rsid w:val="00D4280F"/>
    <w:rsid w:val="00D77E35"/>
    <w:rsid w:val="00DD7181"/>
    <w:rsid w:val="00E32A60"/>
    <w:rsid w:val="00E331C2"/>
    <w:rsid w:val="00EC468F"/>
    <w:rsid w:val="00F326ED"/>
    <w:rsid w:val="00F96FD5"/>
    <w:rsid w:val="00FD047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9641"/>
  <w15:chartTrackingRefBased/>
  <w15:docId w15:val="{539A1389-FBBC-42F1-A762-FB3258B3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E6314"/>
    <w:pPr>
      <w:ind w:firstLine="708"/>
      <w:jc w:val="both"/>
    </w:pPr>
    <w:rPr>
      <w:rFonts w:ascii="Arial" w:hAnsi="Arial"/>
      <w:sz w:val="26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E6314"/>
    <w:rPr>
      <w:rFonts w:ascii="Arial" w:eastAsia="Times New Roman" w:hAnsi="Arial" w:cs="Times New Roman"/>
      <w:sz w:val="2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E63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63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1E6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E63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1E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1E63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3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9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gmail-msolistparagraph">
    <w:name w:val="gmail-msolistparagraph"/>
    <w:basedOn w:val="Normal"/>
    <w:rsid w:val="00CF39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E32A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MX" w:eastAsia="es-MX"/>
    </w:rPr>
  </w:style>
  <w:style w:type="paragraph" w:customStyle="1" w:styleId="Default">
    <w:name w:val="Default"/>
    <w:rsid w:val="00130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Franco Ruíz</dc:creator>
  <cp:keywords/>
  <dc:description/>
  <cp:lastModifiedBy>Norma Franco Ruíz</cp:lastModifiedBy>
  <cp:revision>5</cp:revision>
  <cp:lastPrinted>2022-05-16T14:40:00Z</cp:lastPrinted>
  <dcterms:created xsi:type="dcterms:W3CDTF">2022-05-16T14:17:00Z</dcterms:created>
  <dcterms:modified xsi:type="dcterms:W3CDTF">2022-05-16T14:54:00Z</dcterms:modified>
</cp:coreProperties>
</file>