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2A9BE" w14:textId="2E6EA01F" w:rsidR="002137D9" w:rsidRPr="00947482" w:rsidRDefault="002137D9" w:rsidP="00581795">
      <w:pPr>
        <w:jc w:val="both"/>
        <w:rPr>
          <w:rFonts w:ascii="Century Gothic" w:hAnsi="Century Gothic" w:cs="Arial"/>
          <w:b/>
        </w:rPr>
      </w:pPr>
      <w:r w:rsidRPr="00947482">
        <w:rPr>
          <w:rFonts w:ascii="Century Gothic" w:hAnsi="Century Gothic" w:cs="Arial"/>
          <w:b/>
        </w:rPr>
        <w:t>Presiden</w:t>
      </w:r>
      <w:r w:rsidR="00DC7F98">
        <w:rPr>
          <w:rFonts w:ascii="Century Gothic" w:hAnsi="Century Gothic" w:cs="Arial"/>
          <w:b/>
        </w:rPr>
        <w:t>cia</w:t>
      </w:r>
      <w:r w:rsidRPr="00947482">
        <w:rPr>
          <w:rFonts w:ascii="Century Gothic" w:hAnsi="Century Gothic" w:cs="Arial"/>
          <w:b/>
        </w:rPr>
        <w:t xml:space="preserve"> del </w:t>
      </w:r>
      <w:r w:rsidR="00C43EE6" w:rsidRPr="00947482">
        <w:rPr>
          <w:rFonts w:ascii="Century Gothic" w:hAnsi="Century Gothic" w:cs="Arial"/>
          <w:b/>
        </w:rPr>
        <w:t>Congreso del Estado</w:t>
      </w:r>
    </w:p>
    <w:p w14:paraId="48683473" w14:textId="77777777" w:rsidR="00581795" w:rsidRPr="00947482" w:rsidRDefault="00581795" w:rsidP="00581795">
      <w:pPr>
        <w:jc w:val="both"/>
        <w:rPr>
          <w:rFonts w:ascii="Century Gothic" w:hAnsi="Century Gothic" w:cs="Arial"/>
          <w:b/>
        </w:rPr>
      </w:pPr>
      <w:r w:rsidRPr="00947482">
        <w:rPr>
          <w:rFonts w:ascii="Century Gothic" w:hAnsi="Century Gothic" w:cs="Arial"/>
          <w:b/>
        </w:rPr>
        <w:t>P r e s e n t e.</w:t>
      </w:r>
    </w:p>
    <w:p w14:paraId="60B10CDF" w14:textId="77777777" w:rsidR="00581795" w:rsidRPr="00947482" w:rsidRDefault="00581795" w:rsidP="00581795">
      <w:pPr>
        <w:jc w:val="both"/>
        <w:rPr>
          <w:rFonts w:ascii="Century Gothic" w:hAnsi="Century Gothic" w:cs="Arial"/>
        </w:rPr>
      </w:pPr>
    </w:p>
    <w:p w14:paraId="01C1CDAC" w14:textId="77777777" w:rsidR="00516A17" w:rsidRPr="00947482" w:rsidRDefault="00516A17" w:rsidP="009B582B">
      <w:pPr>
        <w:spacing w:line="276" w:lineRule="auto"/>
        <w:ind w:firstLine="851"/>
        <w:jc w:val="both"/>
        <w:rPr>
          <w:rFonts w:ascii="Century Gothic" w:hAnsi="Century Gothic" w:cs="Arial"/>
        </w:rPr>
      </w:pPr>
    </w:p>
    <w:p w14:paraId="499040BF" w14:textId="1515A5BE" w:rsidR="00581795" w:rsidRPr="00947482" w:rsidRDefault="00581795" w:rsidP="1E5BE4FF">
      <w:pPr>
        <w:spacing w:line="276" w:lineRule="auto"/>
        <w:ind w:firstLine="851"/>
        <w:jc w:val="both"/>
        <w:rPr>
          <w:rFonts w:ascii="Century Gothic" w:hAnsi="Century Gothic" w:cs="Arial"/>
        </w:rPr>
      </w:pPr>
      <w:r w:rsidRPr="00947482">
        <w:rPr>
          <w:rFonts w:ascii="Century Gothic" w:hAnsi="Century Gothic" w:cs="Arial"/>
        </w:rPr>
        <w:t xml:space="preserve">A la Comisión de Desarrollo Económico y Social de la Sexagésima </w:t>
      </w:r>
      <w:r w:rsidR="002638AE" w:rsidRPr="00947482">
        <w:rPr>
          <w:rFonts w:ascii="Century Gothic" w:hAnsi="Century Gothic" w:cs="Arial"/>
        </w:rPr>
        <w:t xml:space="preserve">Quinta </w:t>
      </w:r>
      <w:r w:rsidRPr="00947482">
        <w:rPr>
          <w:rFonts w:ascii="Century Gothic" w:hAnsi="Century Gothic" w:cs="Arial"/>
        </w:rPr>
        <w:t xml:space="preserve">Legislatura del Congreso del Estado de Guanajuato, le fue turnada la propuesta de punto de acuerdo </w:t>
      </w:r>
      <w:r w:rsidR="00B7491D" w:rsidRPr="00947482">
        <w:rPr>
          <w:rFonts w:ascii="Century Gothic" w:hAnsi="Century Gothic" w:cs="Arial"/>
        </w:rPr>
        <w:t xml:space="preserve">formulado por la diputada Martha Edith Moreno Valencia integrantes del Grupo Parlamentario de MORENA, con la finalidad de enviar un </w:t>
      </w:r>
      <w:r w:rsidR="0086271D" w:rsidRPr="0086271D">
        <w:rPr>
          <w:rFonts w:ascii="Century Gothic" w:hAnsi="Century Gothic" w:cs="Arial"/>
        </w:rPr>
        <w:t xml:space="preserve">exhorto al Titular del Instituto de Seguridad Social del Estado de Guanajuato para dar un informe detallado de la sociedad anónima promotora de inversión de capital variable y al mismo tiempo sociedad financiera de objeto múltiple denominada GTO Leasing </w:t>
      </w:r>
      <w:proofErr w:type="spellStart"/>
      <w:r w:rsidR="0086271D" w:rsidRPr="0086271D">
        <w:rPr>
          <w:rFonts w:ascii="Century Gothic" w:hAnsi="Century Gothic" w:cs="Arial"/>
        </w:rPr>
        <w:t>Services</w:t>
      </w:r>
      <w:proofErr w:type="spellEnd"/>
      <w:r w:rsidR="1E5BE4FF" w:rsidRPr="00947482">
        <w:rPr>
          <w:rFonts w:ascii="Century Gothic" w:hAnsi="Century Gothic" w:cs="Arial"/>
        </w:rPr>
        <w:t xml:space="preserve">. </w:t>
      </w:r>
    </w:p>
    <w:p w14:paraId="03FF0F9E" w14:textId="198C38A4" w:rsidR="1E5BE4FF" w:rsidRPr="00947482" w:rsidRDefault="1E5BE4FF" w:rsidP="1E5BE4FF">
      <w:pPr>
        <w:spacing w:line="276" w:lineRule="auto"/>
        <w:ind w:firstLine="851"/>
        <w:jc w:val="both"/>
        <w:rPr>
          <w:rFonts w:ascii="Century Gothic" w:hAnsi="Century Gothic" w:cs="Arial"/>
        </w:rPr>
      </w:pPr>
    </w:p>
    <w:p w14:paraId="717C0FCC" w14:textId="52B32804" w:rsidR="00581795" w:rsidRPr="00947482" w:rsidRDefault="00512CD4" w:rsidP="009B582B">
      <w:pPr>
        <w:spacing w:line="276" w:lineRule="auto"/>
        <w:ind w:firstLine="851"/>
        <w:jc w:val="both"/>
        <w:rPr>
          <w:rFonts w:ascii="Century Gothic" w:hAnsi="Century Gothic" w:cs="Arial"/>
        </w:rPr>
      </w:pPr>
      <w:r w:rsidRPr="00947482">
        <w:rPr>
          <w:rFonts w:ascii="Century Gothic" w:hAnsi="Century Gothic" w:cs="Arial"/>
        </w:rPr>
        <w:t>De conformidad con</w:t>
      </w:r>
      <w:r w:rsidR="00581795" w:rsidRPr="00947482">
        <w:rPr>
          <w:rFonts w:ascii="Century Gothic" w:hAnsi="Century Gothic" w:cs="Arial"/>
        </w:rPr>
        <w:t xml:space="preserve"> los artículos 89, fracción V; 107, fracción VI y 171 de la Ley Orgánica del Poder Legislativo del Estado de Guanajuato, sometemos a la consideración de la Asamblea el presente dictamen, con base en las siguientes:</w:t>
      </w:r>
    </w:p>
    <w:p w14:paraId="3F76F786" w14:textId="77777777" w:rsidR="00581795" w:rsidRPr="00947482" w:rsidRDefault="00581795" w:rsidP="00581795">
      <w:pPr>
        <w:pStyle w:val="Sinespaciado"/>
        <w:spacing w:line="276" w:lineRule="auto"/>
        <w:jc w:val="both"/>
        <w:rPr>
          <w:rFonts w:ascii="Century Gothic" w:hAnsi="Century Gothic" w:cs="Arial"/>
          <w:szCs w:val="24"/>
        </w:rPr>
      </w:pPr>
    </w:p>
    <w:p w14:paraId="5202B79B" w14:textId="77777777" w:rsidR="00581795" w:rsidRPr="00947482" w:rsidRDefault="00581795" w:rsidP="00581795">
      <w:pPr>
        <w:pStyle w:val="Sinespaciado"/>
        <w:spacing w:line="276" w:lineRule="auto"/>
        <w:jc w:val="center"/>
        <w:rPr>
          <w:rFonts w:ascii="Century Gothic" w:hAnsi="Century Gothic" w:cs="Arial"/>
          <w:b/>
          <w:sz w:val="24"/>
          <w:szCs w:val="24"/>
        </w:rPr>
      </w:pPr>
      <w:r w:rsidRPr="00947482">
        <w:rPr>
          <w:rFonts w:ascii="Century Gothic" w:hAnsi="Century Gothic" w:cs="Arial"/>
          <w:b/>
          <w:sz w:val="24"/>
          <w:szCs w:val="24"/>
        </w:rPr>
        <w:t>Consideraciones</w:t>
      </w:r>
    </w:p>
    <w:p w14:paraId="4D4A8CAD" w14:textId="77777777" w:rsidR="00581795" w:rsidRPr="00947482" w:rsidRDefault="00581795" w:rsidP="00581795">
      <w:pPr>
        <w:pStyle w:val="Sinespaciado"/>
        <w:spacing w:line="276" w:lineRule="auto"/>
        <w:jc w:val="both"/>
        <w:rPr>
          <w:rFonts w:ascii="Century Gothic" w:hAnsi="Century Gothic" w:cs="Arial"/>
          <w:sz w:val="24"/>
          <w:szCs w:val="24"/>
        </w:rPr>
      </w:pPr>
    </w:p>
    <w:p w14:paraId="40039ABF" w14:textId="4D390B49" w:rsidR="00581795" w:rsidRPr="00947482" w:rsidRDefault="00581795" w:rsidP="00516652">
      <w:pPr>
        <w:pStyle w:val="Sinespaciado"/>
        <w:numPr>
          <w:ilvl w:val="0"/>
          <w:numId w:val="8"/>
        </w:numPr>
        <w:spacing w:line="276" w:lineRule="auto"/>
        <w:jc w:val="both"/>
        <w:rPr>
          <w:rFonts w:ascii="Century Gothic" w:hAnsi="Century Gothic" w:cs="Arial"/>
          <w:b/>
          <w:sz w:val="24"/>
          <w:szCs w:val="24"/>
        </w:rPr>
      </w:pPr>
      <w:r w:rsidRPr="00947482">
        <w:rPr>
          <w:rFonts w:ascii="Century Gothic" w:hAnsi="Century Gothic" w:cs="Arial"/>
          <w:b/>
          <w:sz w:val="24"/>
          <w:szCs w:val="24"/>
        </w:rPr>
        <w:t>Antecedentes</w:t>
      </w:r>
    </w:p>
    <w:p w14:paraId="65545951" w14:textId="77777777" w:rsidR="00581795" w:rsidRPr="00947482" w:rsidRDefault="00581795" w:rsidP="00581795">
      <w:pPr>
        <w:pStyle w:val="Sinespaciado"/>
        <w:spacing w:line="276" w:lineRule="auto"/>
        <w:jc w:val="both"/>
        <w:rPr>
          <w:rFonts w:ascii="Century Gothic" w:hAnsi="Century Gothic" w:cs="Arial"/>
          <w:sz w:val="24"/>
          <w:szCs w:val="24"/>
        </w:rPr>
      </w:pPr>
    </w:p>
    <w:p w14:paraId="6FF360A6" w14:textId="6A497C91" w:rsidR="00581795" w:rsidRPr="00947482" w:rsidRDefault="00A1343D" w:rsidP="009B582B">
      <w:pPr>
        <w:pStyle w:val="Sinespaciado"/>
        <w:spacing w:line="276" w:lineRule="auto"/>
        <w:ind w:firstLine="851"/>
        <w:jc w:val="both"/>
        <w:rPr>
          <w:rFonts w:ascii="Century Gothic" w:hAnsi="Century Gothic" w:cs="Arial"/>
          <w:sz w:val="24"/>
          <w:szCs w:val="24"/>
        </w:rPr>
      </w:pPr>
      <w:r w:rsidRPr="00947482">
        <w:rPr>
          <w:rFonts w:ascii="Century Gothic" w:hAnsi="Century Gothic" w:cs="Arial"/>
          <w:sz w:val="24"/>
          <w:szCs w:val="24"/>
        </w:rPr>
        <w:t xml:space="preserve">En sesión ordinaria </w:t>
      </w:r>
      <w:r w:rsidR="006C352B">
        <w:rPr>
          <w:rFonts w:ascii="Century Gothic" w:hAnsi="Century Gothic" w:cs="Arial"/>
          <w:sz w:val="24"/>
          <w:szCs w:val="24"/>
        </w:rPr>
        <w:t xml:space="preserve">de fecha 9 de junio </w:t>
      </w:r>
      <w:r w:rsidRPr="00947482">
        <w:rPr>
          <w:rFonts w:ascii="Century Gothic" w:hAnsi="Century Gothic" w:cs="Arial"/>
          <w:sz w:val="24"/>
          <w:szCs w:val="24"/>
        </w:rPr>
        <w:t>de 2022</w:t>
      </w:r>
      <w:r w:rsidR="00581795" w:rsidRPr="00947482">
        <w:rPr>
          <w:rFonts w:ascii="Century Gothic" w:hAnsi="Century Gothic" w:cs="Arial"/>
          <w:sz w:val="24"/>
          <w:szCs w:val="24"/>
        </w:rPr>
        <w:t>, la presidencia de la Mesa Directiva turnó a la Comisión de Desarrollo Económico y Social, para efectos de su estudio y dictamen, la propuesta de punto de acuerdo referido en el proemio del presente dictamen, con fundamento en el artículo 107 fracción VI de la Ley Orgánica del Poder Legislativo del Estado de Guanajuato.</w:t>
      </w:r>
    </w:p>
    <w:p w14:paraId="66CFB38B" w14:textId="77777777" w:rsidR="00581795" w:rsidRPr="00947482" w:rsidRDefault="00581795" w:rsidP="009B582B">
      <w:pPr>
        <w:pStyle w:val="Sinespaciado"/>
        <w:spacing w:line="276" w:lineRule="auto"/>
        <w:ind w:firstLine="851"/>
        <w:jc w:val="both"/>
        <w:rPr>
          <w:rFonts w:ascii="Century Gothic" w:hAnsi="Century Gothic" w:cs="Arial"/>
          <w:szCs w:val="24"/>
        </w:rPr>
      </w:pPr>
    </w:p>
    <w:p w14:paraId="14BEF622" w14:textId="6C23C39F" w:rsidR="00512CD4" w:rsidRPr="00947482" w:rsidRDefault="00512CD4" w:rsidP="009B582B">
      <w:pPr>
        <w:pStyle w:val="Sinespaciado"/>
        <w:spacing w:line="276" w:lineRule="auto"/>
        <w:ind w:firstLine="851"/>
        <w:jc w:val="both"/>
        <w:rPr>
          <w:rFonts w:ascii="Century Gothic" w:hAnsi="Century Gothic" w:cs="Arial"/>
          <w:sz w:val="24"/>
          <w:szCs w:val="24"/>
        </w:rPr>
      </w:pPr>
      <w:r w:rsidRPr="00947482">
        <w:rPr>
          <w:rFonts w:ascii="Century Gothic" w:hAnsi="Century Gothic" w:cs="Arial"/>
          <w:sz w:val="24"/>
          <w:szCs w:val="24"/>
        </w:rPr>
        <w:t xml:space="preserve">Posteriormente </w:t>
      </w:r>
      <w:r w:rsidR="00C53926">
        <w:rPr>
          <w:rFonts w:ascii="Century Gothic" w:hAnsi="Century Gothic" w:cs="Arial"/>
          <w:sz w:val="24"/>
          <w:szCs w:val="24"/>
        </w:rPr>
        <w:t xml:space="preserve">el 20 de julio </w:t>
      </w:r>
      <w:r w:rsidR="00581795" w:rsidRPr="00947482">
        <w:rPr>
          <w:rFonts w:ascii="Century Gothic" w:hAnsi="Century Gothic" w:cs="Arial"/>
          <w:sz w:val="24"/>
          <w:szCs w:val="24"/>
        </w:rPr>
        <w:t xml:space="preserve">del </w:t>
      </w:r>
      <w:r w:rsidR="005864EB" w:rsidRPr="00947482">
        <w:rPr>
          <w:rFonts w:ascii="Century Gothic" w:hAnsi="Century Gothic" w:cs="Arial"/>
          <w:sz w:val="24"/>
          <w:szCs w:val="24"/>
        </w:rPr>
        <w:t>presente año 2022</w:t>
      </w:r>
      <w:r w:rsidR="00581795" w:rsidRPr="00947482">
        <w:rPr>
          <w:rFonts w:ascii="Century Gothic" w:hAnsi="Century Gothic" w:cs="Arial"/>
          <w:sz w:val="24"/>
          <w:szCs w:val="24"/>
        </w:rPr>
        <w:t>, la comisión dictaminadora radicó la propuesta de punto de acuerdo</w:t>
      </w:r>
      <w:r w:rsidR="00C53926">
        <w:rPr>
          <w:rFonts w:ascii="Century Gothic" w:hAnsi="Century Gothic" w:cs="Arial"/>
          <w:sz w:val="24"/>
          <w:szCs w:val="24"/>
        </w:rPr>
        <w:t>.</w:t>
      </w:r>
    </w:p>
    <w:p w14:paraId="3F28A982" w14:textId="77777777" w:rsidR="00126223" w:rsidRPr="00947482" w:rsidRDefault="00126223" w:rsidP="009B582B">
      <w:pPr>
        <w:pStyle w:val="Sinespaciado"/>
        <w:spacing w:line="276" w:lineRule="auto"/>
        <w:ind w:firstLine="851"/>
        <w:jc w:val="both"/>
        <w:rPr>
          <w:rFonts w:ascii="Century Gothic" w:hAnsi="Century Gothic" w:cs="Arial"/>
          <w:sz w:val="24"/>
          <w:szCs w:val="24"/>
        </w:rPr>
      </w:pPr>
    </w:p>
    <w:p w14:paraId="4927C36C" w14:textId="52289BA5" w:rsidR="00581795" w:rsidRPr="00947482" w:rsidRDefault="1E5BE4FF" w:rsidP="006C01F7">
      <w:pPr>
        <w:spacing w:after="676" w:line="276" w:lineRule="auto"/>
        <w:ind w:right="49" w:firstLine="708"/>
        <w:jc w:val="both"/>
        <w:rPr>
          <w:rFonts w:ascii="Century Gothic" w:eastAsia="Times New Roman" w:hAnsi="Century Gothic" w:cs="Arial"/>
          <w:lang w:eastAsia="es-MX"/>
        </w:rPr>
      </w:pPr>
      <w:r w:rsidRPr="00947482">
        <w:rPr>
          <w:rFonts w:ascii="Century Gothic" w:eastAsia="Times New Roman" w:hAnsi="Century Gothic" w:cs="Arial"/>
          <w:lang w:eastAsia="es-MX"/>
        </w:rPr>
        <w:t>Finalmente, la presidencia de esta Comisión de</w:t>
      </w:r>
      <w:r w:rsidR="004303D2">
        <w:rPr>
          <w:rFonts w:ascii="Century Gothic" w:eastAsia="Times New Roman" w:hAnsi="Century Gothic" w:cs="Arial"/>
          <w:lang w:eastAsia="es-MX"/>
        </w:rPr>
        <w:t xml:space="preserve"> Desarrollo Económico y Social</w:t>
      </w:r>
      <w:r w:rsidRPr="00947482">
        <w:rPr>
          <w:rFonts w:ascii="Century Gothic" w:eastAsia="Times New Roman" w:hAnsi="Century Gothic" w:cs="Arial"/>
          <w:lang w:eastAsia="es-MX"/>
        </w:rPr>
        <w:t xml:space="preserve"> con fundamento en los artículos 94 fracción VII y 272 fracción VIII </w:t>
      </w:r>
      <w:r w:rsidRPr="00947482">
        <w:rPr>
          <w:rFonts w:ascii="Century Gothic" w:eastAsia="Times New Roman" w:hAnsi="Century Gothic" w:cs="Arial"/>
          <w:lang w:eastAsia="es-MX"/>
        </w:rPr>
        <w:lastRenderedPageBreak/>
        <w:t>inciso e) de la Ley Orgánica del Poder Legislativo del Estado de Guanajuato instruyó a la Secretaría Técnica para que elaborara el proyecto de dictamen, mismo que fue materia de revisión por quienes integran esta comisión.</w:t>
      </w:r>
    </w:p>
    <w:p w14:paraId="293FC8C1" w14:textId="77777777" w:rsidR="006B169E" w:rsidRPr="00947482" w:rsidRDefault="007C1A38" w:rsidP="00516652">
      <w:pPr>
        <w:pStyle w:val="Sinespaciado"/>
        <w:numPr>
          <w:ilvl w:val="0"/>
          <w:numId w:val="8"/>
        </w:numPr>
        <w:spacing w:line="276" w:lineRule="auto"/>
        <w:jc w:val="both"/>
        <w:rPr>
          <w:rFonts w:ascii="Century Gothic" w:hAnsi="Century Gothic" w:cs="Arial"/>
          <w:b/>
          <w:sz w:val="24"/>
          <w:szCs w:val="24"/>
        </w:rPr>
      </w:pPr>
      <w:r w:rsidRPr="00947482">
        <w:rPr>
          <w:rFonts w:ascii="Century Gothic" w:hAnsi="Century Gothic" w:cs="Arial"/>
          <w:b/>
          <w:sz w:val="24"/>
          <w:szCs w:val="24"/>
        </w:rPr>
        <w:t>Valoración de la propuesta</w:t>
      </w:r>
      <w:r w:rsidR="006B169E" w:rsidRPr="00947482">
        <w:rPr>
          <w:rFonts w:ascii="Century Gothic" w:hAnsi="Century Gothic" w:cs="Arial"/>
          <w:b/>
          <w:sz w:val="24"/>
          <w:szCs w:val="24"/>
        </w:rPr>
        <w:t>.</w:t>
      </w:r>
    </w:p>
    <w:p w14:paraId="3D7AC08D" w14:textId="3324E3B1" w:rsidR="007C1A38" w:rsidRPr="00947482" w:rsidRDefault="007C1A38" w:rsidP="006B169E">
      <w:pPr>
        <w:pStyle w:val="Sinespaciado"/>
        <w:spacing w:line="276" w:lineRule="auto"/>
        <w:ind w:left="720"/>
        <w:jc w:val="both"/>
        <w:rPr>
          <w:rFonts w:ascii="Century Gothic" w:hAnsi="Century Gothic" w:cs="Arial"/>
          <w:b/>
          <w:sz w:val="24"/>
          <w:szCs w:val="24"/>
        </w:rPr>
      </w:pPr>
      <w:r w:rsidRPr="00947482">
        <w:rPr>
          <w:rFonts w:ascii="Century Gothic" w:hAnsi="Century Gothic" w:cs="Arial"/>
          <w:b/>
          <w:sz w:val="24"/>
          <w:szCs w:val="24"/>
        </w:rPr>
        <w:t xml:space="preserve"> </w:t>
      </w:r>
    </w:p>
    <w:p w14:paraId="1CC67DC1" w14:textId="75B103B1" w:rsidR="00C6274D" w:rsidRDefault="00C6274D" w:rsidP="009B582B">
      <w:pPr>
        <w:pStyle w:val="Sinespaciado"/>
        <w:spacing w:line="276" w:lineRule="auto"/>
        <w:ind w:firstLine="851"/>
        <w:jc w:val="both"/>
        <w:rPr>
          <w:rFonts w:ascii="Century Gothic" w:hAnsi="Century Gothic" w:cs="Arial"/>
          <w:bCs/>
          <w:sz w:val="24"/>
          <w:szCs w:val="24"/>
        </w:rPr>
      </w:pPr>
      <w:r w:rsidRPr="00947482">
        <w:rPr>
          <w:rFonts w:ascii="Century Gothic" w:hAnsi="Century Gothic" w:cs="Arial"/>
          <w:bCs/>
          <w:sz w:val="24"/>
          <w:szCs w:val="24"/>
        </w:rPr>
        <w:t>De la exposición de motivos de la propuesta de punto de acuerdo se resalta lo siguiente</w:t>
      </w:r>
      <w:r w:rsidR="00E85AB8" w:rsidRPr="00947482">
        <w:rPr>
          <w:rFonts w:ascii="Century Gothic" w:hAnsi="Century Gothic" w:cs="Arial"/>
          <w:bCs/>
          <w:sz w:val="24"/>
          <w:szCs w:val="24"/>
        </w:rPr>
        <w:t>:</w:t>
      </w:r>
      <w:r w:rsidRPr="00947482">
        <w:rPr>
          <w:rFonts w:ascii="Century Gothic" w:hAnsi="Century Gothic" w:cs="Arial"/>
          <w:bCs/>
          <w:sz w:val="24"/>
          <w:szCs w:val="24"/>
        </w:rPr>
        <w:t xml:space="preserve"> </w:t>
      </w:r>
    </w:p>
    <w:p w14:paraId="22E7A06D" w14:textId="77777777" w:rsidR="005815F8" w:rsidRPr="00947482" w:rsidRDefault="005815F8" w:rsidP="009B582B">
      <w:pPr>
        <w:pStyle w:val="Sinespaciado"/>
        <w:spacing w:line="276" w:lineRule="auto"/>
        <w:ind w:firstLine="851"/>
        <w:jc w:val="both"/>
        <w:rPr>
          <w:rFonts w:ascii="Century Gothic" w:hAnsi="Century Gothic" w:cs="Arial"/>
          <w:bCs/>
          <w:sz w:val="24"/>
          <w:szCs w:val="24"/>
        </w:rPr>
      </w:pPr>
    </w:p>
    <w:p w14:paraId="39ADCE66" w14:textId="77777777" w:rsidR="006B169E" w:rsidRPr="00D03950" w:rsidRDefault="006B169E" w:rsidP="0037048F">
      <w:pPr>
        <w:pStyle w:val="Sinespaciado"/>
        <w:spacing w:line="276" w:lineRule="auto"/>
        <w:ind w:left="708" w:firstLine="720"/>
        <w:jc w:val="both"/>
        <w:rPr>
          <w:rFonts w:ascii="Century Gothic" w:hAnsi="Century Gothic" w:cs="Arial"/>
          <w:bCs/>
          <w:sz w:val="20"/>
          <w:szCs w:val="20"/>
        </w:rPr>
      </w:pPr>
      <w:r w:rsidRPr="00D03950">
        <w:rPr>
          <w:rFonts w:ascii="Century Gothic" w:hAnsi="Century Gothic" w:cs="Arial"/>
          <w:bCs/>
          <w:sz w:val="20"/>
          <w:szCs w:val="20"/>
        </w:rPr>
        <w:t>[…]</w:t>
      </w:r>
    </w:p>
    <w:p w14:paraId="706AEAF1" w14:textId="446C31D0" w:rsidR="00F9759F" w:rsidRPr="00D03950" w:rsidRDefault="00F03ACA" w:rsidP="0099093C">
      <w:pPr>
        <w:ind w:left="567" w:right="474"/>
        <w:jc w:val="both"/>
        <w:rPr>
          <w:rFonts w:ascii="Century Gothic" w:hAnsi="Century Gothic" w:cs="Arial"/>
          <w:i/>
          <w:iCs/>
          <w:sz w:val="20"/>
          <w:szCs w:val="20"/>
        </w:rPr>
      </w:pPr>
      <w:r w:rsidRPr="00D03950">
        <w:rPr>
          <w:rFonts w:ascii="Century Gothic" w:eastAsia="Times New Roman" w:hAnsi="Century Gothic" w:cs="Arial"/>
          <w:i/>
          <w:iCs/>
          <w:sz w:val="20"/>
          <w:szCs w:val="20"/>
          <w:lang w:eastAsia="es-MX"/>
        </w:rPr>
        <w:t>"</w:t>
      </w:r>
      <w:r w:rsidR="00073468" w:rsidRPr="00D03950">
        <w:rPr>
          <w:rFonts w:ascii="Century Gothic" w:hAnsi="Century Gothic" w:cs="Arial"/>
          <w:i/>
          <w:iCs/>
          <w:sz w:val="20"/>
          <w:szCs w:val="20"/>
        </w:rPr>
        <w:t>La situación actual de los sistemas de pensiones en México es compleja, debido a que su operación y viabilidad se han deteriorado durante los últimos años. Los ingresos presentes y futuros en muchos casos no alcanzan para cumplir con las obligaciones del pago de las pensiones de sus trabajadores.  En el año 1962 se creó la Dirección de Pensiones del Estado de Guanajuato, la cual inició operaciones con 4 mil 894 derechohabientes y un patrimonio de 2 millones 395 mil pesos, transformándose en el año de 1977 en lo que ahora es Instituto de Seguridad Social del Estado de Guanajuato, mejor conocida como “ISSEG”</w:t>
      </w:r>
    </w:p>
    <w:p w14:paraId="05BFDE3E" w14:textId="77777777" w:rsidR="0099093C" w:rsidRPr="00D03950" w:rsidRDefault="0099093C" w:rsidP="0099093C">
      <w:pPr>
        <w:ind w:left="567" w:right="474"/>
        <w:jc w:val="both"/>
        <w:rPr>
          <w:rFonts w:ascii="Century Gothic" w:hAnsi="Century Gothic" w:cs="Arial"/>
          <w:i/>
          <w:iCs/>
          <w:sz w:val="20"/>
          <w:szCs w:val="20"/>
        </w:rPr>
      </w:pPr>
    </w:p>
    <w:p w14:paraId="16969960" w14:textId="6D46B98B" w:rsidR="00DC0C4E" w:rsidRPr="00D03950" w:rsidRDefault="00F9759F"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El ISSEG es un organismo público descentralizado con personalidad jurídica y patrimonio propio, que tiene a su cargo la administración de los seguros y prestaciones. Es un sistema de seguridad social de beneficio definido que opera con un fondo solidario, es decir que establece las pensiones de forma predeterminada y las contribuciones de nuestros trabajadores activos sustentan el pago de los pensionados actuales. Dicho fondo está integrado por las cuotas de los trabajadores y las aportaciones de los patrones, así como por los rendimientos generados de las inversiones financieras, comerciales e inmobiliarias de este</w:t>
      </w:r>
      <w:r w:rsidR="00DC0C4E" w:rsidRPr="00D03950">
        <w:rPr>
          <w:rFonts w:ascii="Century Gothic" w:hAnsi="Century Gothic" w:cs="Arial"/>
          <w:i/>
          <w:iCs/>
          <w:sz w:val="20"/>
          <w:szCs w:val="20"/>
        </w:rPr>
        <w:t>.</w:t>
      </w:r>
    </w:p>
    <w:p w14:paraId="4D48FA43" w14:textId="77777777" w:rsidR="00C821B2" w:rsidRPr="00D03950" w:rsidRDefault="00C821B2" w:rsidP="0099093C">
      <w:pPr>
        <w:ind w:left="567" w:right="474"/>
        <w:jc w:val="both"/>
        <w:rPr>
          <w:rFonts w:ascii="Century Gothic" w:hAnsi="Century Gothic" w:cs="Arial"/>
          <w:i/>
          <w:iCs/>
          <w:sz w:val="20"/>
          <w:szCs w:val="20"/>
        </w:rPr>
      </w:pPr>
    </w:p>
    <w:p w14:paraId="4CAFC04E" w14:textId="590AE4CD" w:rsidR="00F9759F" w:rsidRPr="00D03950" w:rsidRDefault="00F9759F"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 xml:space="preserve">Con datos a abril del presente año se tiene un total de asegurados y pensionados de 83 mil 461 personas, de las cuales 18 mil 971 son jubilados y pensionados, cerrando su valor de patrimonio con 29 mil 921 millones de pesos. El fondo de Pensiones considera un rendimiento real del 4% anual. Para que los rendimientos se fueran a un 8%, el 29 de diciembre de 2018, se autorizó </w:t>
      </w:r>
      <w:r w:rsidRPr="00D03950">
        <w:rPr>
          <w:rFonts w:ascii="Century Gothic" w:eastAsia="Times New Roman" w:hAnsi="Century Gothic" w:cs="Arial"/>
          <w:i/>
          <w:iCs/>
          <w:sz w:val="20"/>
          <w:szCs w:val="20"/>
        </w:rPr>
        <w:t xml:space="preserve">́ </w:t>
      </w:r>
      <w:r w:rsidRPr="00D03950">
        <w:rPr>
          <w:rFonts w:ascii="Century Gothic" w:hAnsi="Century Gothic" w:cs="Arial"/>
          <w:i/>
          <w:iCs/>
          <w:sz w:val="20"/>
          <w:szCs w:val="20"/>
        </w:rPr>
        <w:t xml:space="preserve">la participación del ISSEG en la creación de una arrendadora financiera. En esta empresa el ISSEG tendría una participación accionaria mayoritaria de origen, que se reducirá </w:t>
      </w:r>
      <w:r w:rsidRPr="00D03950">
        <w:rPr>
          <w:rFonts w:ascii="Century Gothic" w:eastAsia="Times New Roman" w:hAnsi="Century Gothic" w:cs="Arial"/>
          <w:i/>
          <w:iCs/>
          <w:sz w:val="20"/>
          <w:szCs w:val="20"/>
        </w:rPr>
        <w:t xml:space="preserve">́ </w:t>
      </w:r>
      <w:r w:rsidRPr="00D03950">
        <w:rPr>
          <w:rFonts w:ascii="Century Gothic" w:hAnsi="Century Gothic" w:cs="Arial"/>
          <w:i/>
          <w:iCs/>
          <w:sz w:val="20"/>
          <w:szCs w:val="20"/>
        </w:rPr>
        <w:t xml:space="preserve">a través de la incorporación de nuevos socios de la iniciativa privada, hasta quedar en 49.5% del ISSEG, lo equivalente a 242 mil 500 millones de pesos y 50.5% de la iniciativa privada. Un negocio público-privado. </w:t>
      </w:r>
    </w:p>
    <w:p w14:paraId="6F3CFBCF" w14:textId="77777777" w:rsidR="00C821B2" w:rsidRPr="00D03950" w:rsidRDefault="00C821B2" w:rsidP="0099093C">
      <w:pPr>
        <w:ind w:left="567" w:right="474"/>
        <w:jc w:val="both"/>
        <w:rPr>
          <w:rFonts w:ascii="Century Gothic" w:hAnsi="Century Gothic" w:cs="Arial"/>
          <w:i/>
          <w:iCs/>
          <w:sz w:val="20"/>
          <w:szCs w:val="20"/>
        </w:rPr>
      </w:pPr>
    </w:p>
    <w:p w14:paraId="76B87DE6" w14:textId="77777777" w:rsidR="005D4388" w:rsidRPr="00D03950" w:rsidRDefault="00F9759F"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lastRenderedPageBreak/>
        <w:t xml:space="preserve">Así, en cumplimiento a lo acordado por su Consejo Directivo, el 30 de julio de 2019, el ISSEG dio de alta en el Registro Público de la Propiedad y el Comercio la sociedad anónima promotora de inversión de capital variable y al mismo tiempo sociedad financiera de objeto múltiple denominada GTO Leasing </w:t>
      </w:r>
      <w:proofErr w:type="spellStart"/>
      <w:r w:rsidRPr="00D03950">
        <w:rPr>
          <w:rFonts w:ascii="Century Gothic" w:hAnsi="Century Gothic" w:cs="Arial"/>
          <w:i/>
          <w:iCs/>
          <w:sz w:val="20"/>
          <w:szCs w:val="20"/>
        </w:rPr>
        <w:t>Services</w:t>
      </w:r>
      <w:proofErr w:type="spellEnd"/>
      <w:r w:rsidRPr="00D03950">
        <w:rPr>
          <w:rFonts w:ascii="Century Gothic" w:hAnsi="Century Gothic" w:cs="Arial"/>
          <w:i/>
          <w:iCs/>
          <w:sz w:val="20"/>
          <w:szCs w:val="20"/>
        </w:rPr>
        <w:t xml:space="preserve">. Seis meses después, el 21 de enero de 2020, el gobernador presentó el proyecto GTO Leasing </w:t>
      </w:r>
      <w:proofErr w:type="spellStart"/>
      <w:r w:rsidRPr="00D03950">
        <w:rPr>
          <w:rFonts w:ascii="Century Gothic" w:hAnsi="Century Gothic" w:cs="Arial"/>
          <w:i/>
          <w:iCs/>
          <w:sz w:val="20"/>
          <w:szCs w:val="20"/>
        </w:rPr>
        <w:t>Services</w:t>
      </w:r>
      <w:proofErr w:type="spellEnd"/>
      <w:r w:rsidRPr="00D03950">
        <w:rPr>
          <w:rFonts w:ascii="Century Gothic" w:hAnsi="Century Gothic" w:cs="Arial"/>
          <w:i/>
          <w:iCs/>
          <w:sz w:val="20"/>
          <w:szCs w:val="20"/>
        </w:rPr>
        <w:t xml:space="preserve"> en un evento en León, donde habló de que el objetivo de la nueva entidad era "fortalecer las finanzas del ISSEG". </w:t>
      </w:r>
    </w:p>
    <w:p w14:paraId="05152579" w14:textId="77777777" w:rsidR="0099093C" w:rsidRPr="00D03950" w:rsidRDefault="0099093C" w:rsidP="0099093C">
      <w:pPr>
        <w:ind w:left="567" w:right="474"/>
        <w:jc w:val="both"/>
        <w:rPr>
          <w:rFonts w:ascii="Century Gothic" w:hAnsi="Century Gothic" w:cs="Arial"/>
          <w:i/>
          <w:iCs/>
          <w:sz w:val="20"/>
          <w:szCs w:val="20"/>
        </w:rPr>
      </w:pPr>
    </w:p>
    <w:p w14:paraId="40719A26" w14:textId="01F6285B" w:rsidR="00F9759F" w:rsidRPr="00D03950" w:rsidRDefault="00F9759F"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Añadió que es la primera agencia de servicios en su tipo, creada por un estado en la República Mexicana, traída de Singapur y California. Esta agencia contar</w:t>
      </w:r>
      <w:r w:rsidR="008A0042" w:rsidRPr="00D03950">
        <w:rPr>
          <w:rFonts w:ascii="Century Gothic" w:hAnsi="Century Gothic" w:cs="Arial"/>
          <w:i/>
          <w:iCs/>
          <w:sz w:val="20"/>
          <w:szCs w:val="20"/>
        </w:rPr>
        <w:t>á</w:t>
      </w:r>
      <w:r w:rsidRPr="00D03950">
        <w:rPr>
          <w:rFonts w:ascii="Century Gothic" w:hAnsi="Century Gothic" w:cs="Arial"/>
          <w:i/>
          <w:iCs/>
          <w:sz w:val="20"/>
          <w:szCs w:val="20"/>
        </w:rPr>
        <w:t xml:space="preserve"> con servicio de arrendamiento que proveerá automóviles, además, ofrecerá maquinaria que requieran las organizaciones que buscan llegar a México y a Guanajuato, sin una inversión tan grande y con la garantía que brinda la conectividad, ubicación y logística que ofrece el estado. Aseguro que su re</w:t>
      </w:r>
      <w:r w:rsidR="003A6B71" w:rsidRPr="00D03950">
        <w:rPr>
          <w:rFonts w:ascii="Century Gothic" w:hAnsi="Century Gothic" w:cs="Arial"/>
          <w:i/>
          <w:iCs/>
          <w:sz w:val="20"/>
          <w:szCs w:val="20"/>
        </w:rPr>
        <w:t>n</w:t>
      </w:r>
      <w:r w:rsidRPr="00D03950">
        <w:rPr>
          <w:rFonts w:ascii="Century Gothic" w:hAnsi="Century Gothic" w:cs="Arial"/>
          <w:i/>
          <w:iCs/>
          <w:sz w:val="20"/>
          <w:szCs w:val="20"/>
        </w:rPr>
        <w:t>dimiento sería del 8% y que no había ningún riesgo, que era una apuesta segura. Al menos para los privados.</w:t>
      </w:r>
    </w:p>
    <w:p w14:paraId="3F3B7217" w14:textId="77777777" w:rsidR="0099093C" w:rsidRPr="00D03950" w:rsidRDefault="0099093C" w:rsidP="0099093C">
      <w:pPr>
        <w:ind w:left="567" w:right="474"/>
        <w:jc w:val="both"/>
        <w:rPr>
          <w:rFonts w:ascii="Century Gothic" w:hAnsi="Century Gothic" w:cs="Arial"/>
          <w:i/>
          <w:iCs/>
          <w:sz w:val="20"/>
          <w:szCs w:val="20"/>
        </w:rPr>
      </w:pPr>
    </w:p>
    <w:p w14:paraId="0AC86838" w14:textId="174B4FA7" w:rsidR="008F12C6" w:rsidRPr="00D03950" w:rsidRDefault="008F12C6"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 xml:space="preserve">Hoy sabemos que no se tiene el rendimiento esperado y que el ISSEG tiene el 76.1% de acciones, lo equivalente a 143 millones de pesos públicos, que no se llegó a la meta de los 500 millones de pesos de inversión, y que no se está arrendando a ninguna empresa maquinaria, no se sabe con certeza los rendimientos, las perdidas o ganancias, TODO SE OCULTA.  </w:t>
      </w:r>
    </w:p>
    <w:p w14:paraId="325E1BF2" w14:textId="77777777" w:rsidR="005D4388" w:rsidRPr="00D03950" w:rsidRDefault="005D4388" w:rsidP="0099093C">
      <w:pPr>
        <w:ind w:left="567" w:right="474"/>
        <w:jc w:val="both"/>
        <w:rPr>
          <w:rFonts w:ascii="Century Gothic" w:hAnsi="Century Gothic" w:cs="Arial"/>
          <w:i/>
          <w:iCs/>
          <w:sz w:val="20"/>
          <w:szCs w:val="20"/>
        </w:rPr>
      </w:pPr>
    </w:p>
    <w:p w14:paraId="4552F4B9" w14:textId="0C949515" w:rsidR="008F12C6" w:rsidRPr="00D03950" w:rsidRDefault="008F12C6"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 xml:space="preserve">Lo que sí se sabe es que los únicos negocios de la nueva empresa han ocurrido con el Poder Ejecutivo, al que le han financiado adquisición de vehículos nuevos, utilitarios y ejecutivos. Un buen negocio no solo para el ISSEG sino para los inversionistas privados de los que no se conoce la identidad, pese a tratarse de una entidad de carácter público. No queremos pensar en corrupción ni conflicto de interés, sin embargo, cuando se solicita las actas del consejo y la información financiera o cualquier información referente a esta empresa público-privada mediante transparencia, se clasifica como reservado. Solamente mencionan que el proceso fue acompañado por Transparencia Mexicana.  </w:t>
      </w:r>
    </w:p>
    <w:p w14:paraId="71C55269" w14:textId="77777777" w:rsidR="005D4388" w:rsidRPr="00D03950" w:rsidRDefault="005D4388" w:rsidP="0099093C">
      <w:pPr>
        <w:ind w:left="567" w:right="474"/>
        <w:jc w:val="both"/>
        <w:rPr>
          <w:rFonts w:ascii="Century Gothic" w:hAnsi="Century Gothic" w:cs="Arial"/>
          <w:i/>
          <w:iCs/>
          <w:sz w:val="20"/>
          <w:szCs w:val="20"/>
        </w:rPr>
      </w:pPr>
    </w:p>
    <w:p w14:paraId="12FFE28A" w14:textId="77777777" w:rsidR="005815F8" w:rsidRPr="00D03950" w:rsidRDefault="008F12C6"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Lo que no se menciona, es que Transparencia Mexicana solamente realiza observaciones, recomendaciones y sugerencias que el Instituto puede atender o desechar. Aclara que tampoco formó parte, ni interviene en el proceso de formalización de inversiones de la arrendadora. Es responsabilidad exclusiva del ISSEG, en su carácter de socio fundador. Durante el Informe de Transparencia Mexicana correspondiente al proceso de levantamiento de capital, realizo observaciones e irregularidades, donde me permitiré mencionar una importante:</w:t>
      </w:r>
    </w:p>
    <w:p w14:paraId="4F979859" w14:textId="30285910" w:rsidR="008F12C6" w:rsidRPr="00D03950" w:rsidRDefault="008F12C6" w:rsidP="0099093C">
      <w:pPr>
        <w:ind w:left="567" w:right="474" w:firstLine="567"/>
        <w:jc w:val="both"/>
        <w:rPr>
          <w:rFonts w:ascii="Century Gothic" w:hAnsi="Century Gothic" w:cs="Arial"/>
          <w:i/>
          <w:iCs/>
          <w:sz w:val="20"/>
          <w:szCs w:val="20"/>
        </w:rPr>
      </w:pPr>
      <w:r w:rsidRPr="00D03950">
        <w:rPr>
          <w:rFonts w:ascii="Century Gothic" w:eastAsia="Segoe UI Symbol" w:hAnsi="Century Gothic" w:cs="Arial"/>
          <w:i/>
          <w:iCs/>
          <w:sz w:val="20"/>
          <w:szCs w:val="20"/>
        </w:rPr>
        <w:t>•</w:t>
      </w:r>
      <w:r w:rsidRPr="00D03950">
        <w:rPr>
          <w:rFonts w:ascii="Century Gothic" w:eastAsia="Arial" w:hAnsi="Century Gothic" w:cs="Arial"/>
          <w:i/>
          <w:iCs/>
          <w:sz w:val="20"/>
          <w:szCs w:val="20"/>
        </w:rPr>
        <w:t xml:space="preserve"> </w:t>
      </w:r>
      <w:r w:rsidRPr="00D03950">
        <w:rPr>
          <w:rFonts w:ascii="Century Gothic" w:hAnsi="Century Gothic" w:cs="Arial"/>
          <w:i/>
          <w:iCs/>
          <w:sz w:val="20"/>
          <w:szCs w:val="20"/>
        </w:rPr>
        <w:t xml:space="preserve">Se solicita Justificación que permita dar certeza de que no existe conflicto de interés para participar en procesos de licitación del Gobierno del Estado para el arrendamiento de autos utilitarios, al contar con un socio accionista que forma parte del Gobierno del Estado, y pudiera tener acceso a información privilegiada que le permita participar en condiciones de ventaja respecto de los demás </w:t>
      </w:r>
      <w:r w:rsidRPr="00D03950">
        <w:rPr>
          <w:rFonts w:ascii="Century Gothic" w:hAnsi="Century Gothic" w:cs="Arial"/>
          <w:i/>
          <w:iCs/>
          <w:sz w:val="20"/>
          <w:szCs w:val="20"/>
        </w:rPr>
        <w:lastRenderedPageBreak/>
        <w:t xml:space="preserve">participantes, o se propicien licitaciones a modo que favorezcan a la Arrendadora. </w:t>
      </w:r>
    </w:p>
    <w:p w14:paraId="16ED7D6D" w14:textId="77777777" w:rsidR="005815F8" w:rsidRPr="00D03950" w:rsidRDefault="005815F8" w:rsidP="0099093C">
      <w:pPr>
        <w:ind w:left="567" w:right="474" w:firstLine="567"/>
        <w:jc w:val="both"/>
        <w:rPr>
          <w:rFonts w:ascii="Century Gothic" w:eastAsiaTheme="minorEastAsia" w:hAnsi="Century Gothic" w:cs="Arial"/>
          <w:i/>
          <w:iCs/>
          <w:sz w:val="20"/>
          <w:szCs w:val="20"/>
        </w:rPr>
      </w:pPr>
    </w:p>
    <w:p w14:paraId="05BC6EC5" w14:textId="2C881295" w:rsidR="008F12C6" w:rsidRPr="00D03950" w:rsidRDefault="008F12C6"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Durante la comparecencia del titular del ISSEG se cuestionó sobre los empresarios que participan como socios en GTO Leasing, donde solo mencion</w:t>
      </w:r>
      <w:r w:rsidR="005815F8" w:rsidRPr="00D03950">
        <w:rPr>
          <w:rFonts w:ascii="Century Gothic" w:hAnsi="Century Gothic" w:cs="Arial"/>
          <w:i/>
          <w:iCs/>
          <w:sz w:val="20"/>
          <w:szCs w:val="20"/>
        </w:rPr>
        <w:t>ó</w:t>
      </w:r>
      <w:r w:rsidRPr="00D03950">
        <w:rPr>
          <w:rFonts w:ascii="Century Gothic" w:hAnsi="Century Gothic" w:cs="Arial"/>
          <w:i/>
          <w:iCs/>
          <w:sz w:val="20"/>
          <w:szCs w:val="20"/>
        </w:rPr>
        <w:t xml:space="preserve"> que tiene el carácter de información confidencial al igual que toda la información de la empresa, esto con el objeto de garantizar el adecuado funcionamiento de esta y proteger la información estratégica de la empresa, que incluye algunas de sus ventajas competitivas. El acuerdo de reserva está en el resolutivo de fecha 13 de mayo del 2022, tan solo 9 días antes de la comparecencia.  </w:t>
      </w:r>
    </w:p>
    <w:p w14:paraId="7B3DA768" w14:textId="77777777" w:rsidR="00D3318D" w:rsidRPr="00D03950" w:rsidRDefault="00D3318D" w:rsidP="0099093C">
      <w:pPr>
        <w:ind w:left="567" w:right="474"/>
        <w:jc w:val="both"/>
        <w:rPr>
          <w:rFonts w:ascii="Century Gothic" w:hAnsi="Century Gothic" w:cs="Arial"/>
          <w:i/>
          <w:iCs/>
          <w:sz w:val="20"/>
          <w:szCs w:val="20"/>
        </w:rPr>
      </w:pPr>
    </w:p>
    <w:p w14:paraId="28F22647" w14:textId="3D3CEA41" w:rsidR="008F12C6" w:rsidRPr="00D03950" w:rsidRDefault="008F12C6"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 xml:space="preserve">Si bien entendemos que el dar esta información reservada representa un riesgo, no podemos hacernos de la vista gorda, ni dejar de hacer nuestro trabajo como legisladores, el cual es fiscalizar y dar seguimiento al gasto público. De igual manera entendemos que el ISSEG puede dar un informe detallado a los diputados sin poner en riesgo el adecuado funcionamiento de la empresa, ¿o se tiene desconfianza en los representantes del legislativo? ¿Qué información quieren ocultar a este poder? Seamos claros con los ciudadanos, a ellos rendimos cuentas. </w:t>
      </w:r>
    </w:p>
    <w:p w14:paraId="64F383A6" w14:textId="77777777" w:rsidR="00600183" w:rsidRPr="00D03950" w:rsidRDefault="00600183" w:rsidP="0099093C">
      <w:pPr>
        <w:ind w:left="567" w:right="474"/>
        <w:jc w:val="both"/>
        <w:rPr>
          <w:rFonts w:ascii="Century Gothic" w:hAnsi="Century Gothic" w:cs="Arial"/>
          <w:i/>
          <w:iCs/>
          <w:sz w:val="20"/>
          <w:szCs w:val="20"/>
        </w:rPr>
      </w:pPr>
    </w:p>
    <w:p w14:paraId="6CB339CC" w14:textId="14C811B4" w:rsidR="008F12C6" w:rsidRPr="00D03950" w:rsidRDefault="008F12C6"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 xml:space="preserve">El instituto tiene la obligación de rendirnos cuentas y darnos a conocer, entre otra información, la Administración de sus activos, el Importe de gastos capitalizados, tipo de interés de las inversiones, desmantelamiento de activos, procedimientos, fideicomisos, reporte de recaudación, indemnizaciones por terminación, activos diferidos e Inversiones financieras a largo plazo. Esto de conformidad con el Manual de Contabilidad Gubernamental emitido por el Consejo Nacional de Armonización Contable y adoptado por el Consejo de Armonización Contable del Estado de Guanajuato, dicha normatividad requiere la preparación de estados financieros contables y estados financieros presupuestarios. </w:t>
      </w:r>
    </w:p>
    <w:p w14:paraId="5A5BDE5C" w14:textId="77777777" w:rsidR="00954270" w:rsidRPr="00D03950" w:rsidRDefault="00954270" w:rsidP="0099093C">
      <w:pPr>
        <w:ind w:left="567" w:right="474"/>
        <w:jc w:val="both"/>
        <w:rPr>
          <w:rFonts w:ascii="Century Gothic" w:hAnsi="Century Gothic" w:cs="Arial"/>
          <w:i/>
          <w:iCs/>
          <w:sz w:val="20"/>
          <w:szCs w:val="20"/>
        </w:rPr>
      </w:pPr>
    </w:p>
    <w:p w14:paraId="52EE539E" w14:textId="5F43E375" w:rsidR="00954270" w:rsidRPr="00D03950" w:rsidRDefault="008F12C6" w:rsidP="0099093C">
      <w:pPr>
        <w:ind w:left="567" w:right="474"/>
        <w:jc w:val="both"/>
        <w:rPr>
          <w:rFonts w:ascii="Century Gothic" w:hAnsi="Century Gothic" w:cs="Arial"/>
          <w:i/>
          <w:iCs/>
          <w:sz w:val="20"/>
          <w:szCs w:val="20"/>
        </w:rPr>
      </w:pPr>
      <w:r w:rsidRPr="00D03950">
        <w:rPr>
          <w:rFonts w:ascii="Century Gothic" w:hAnsi="Century Gothic" w:cs="Arial"/>
          <w:i/>
          <w:iCs/>
          <w:sz w:val="20"/>
          <w:szCs w:val="20"/>
        </w:rPr>
        <w:t xml:space="preserve">Al final, esta propuesta de Punto de Acuerdo lo que busca es lo mismo que quiere el gobierno del estado: ver que el fondo de pensiones del ISSEG aumente, queremos verificar y acompañar para que este objetivo se logre, no es una cuestión partidaria, es una cuestión de transparencia y fiscalización en los recursos públicos, es seguir fortaleciendo las finanzas del ISSEG. Es indispensable realizar acciones tendientes a fortalecer y preservar el Fondo de Pensiones.  </w:t>
      </w:r>
    </w:p>
    <w:p w14:paraId="4A79EE9F" w14:textId="77777777" w:rsidR="0099093C" w:rsidRPr="00D03950" w:rsidRDefault="0099093C" w:rsidP="0099093C">
      <w:pPr>
        <w:ind w:left="567" w:right="474"/>
        <w:jc w:val="both"/>
        <w:rPr>
          <w:rFonts w:ascii="Century Gothic" w:hAnsi="Century Gothic" w:cs="Arial"/>
          <w:i/>
          <w:iCs/>
          <w:sz w:val="20"/>
          <w:szCs w:val="20"/>
        </w:rPr>
      </w:pPr>
    </w:p>
    <w:p w14:paraId="11473F48" w14:textId="6694AD93" w:rsidR="00D91076" w:rsidRPr="00D03950" w:rsidRDefault="008F12C6" w:rsidP="0099093C">
      <w:pPr>
        <w:ind w:left="567" w:right="474"/>
        <w:jc w:val="both"/>
        <w:rPr>
          <w:rFonts w:ascii="Century Gothic" w:eastAsia="Times New Roman" w:hAnsi="Century Gothic" w:cs="Arial"/>
          <w:sz w:val="20"/>
          <w:szCs w:val="20"/>
          <w:lang w:eastAsia="es-MX"/>
        </w:rPr>
      </w:pPr>
      <w:r w:rsidRPr="00D03950">
        <w:rPr>
          <w:rFonts w:ascii="Century Gothic" w:hAnsi="Century Gothic" w:cs="Arial"/>
          <w:i/>
          <w:iCs/>
          <w:sz w:val="20"/>
          <w:szCs w:val="20"/>
        </w:rPr>
        <w:t xml:space="preserve">Lo que buscamos es verificar que el modelo va por buen camino. No hay que mentirles a los pensionados, no es una apuesta segura, existe un riesgo de pérdidas de liquidez de nuestros jubilados, nos preocupa los conflictos de interés que se pueden estar dando, nos preocupan que sin un informe detallado podemos pensar lo peor, no se puede jugar con los recursos públicos y esconder con tecnicismos la información. Tenemos que saber cuestiones básicas como cuanto capital ha invertido el ISSEG, existen garantías, cuanto ha sido el </w:t>
      </w:r>
      <w:r w:rsidRPr="00D03950">
        <w:rPr>
          <w:rFonts w:ascii="Century Gothic" w:hAnsi="Century Gothic" w:cs="Arial"/>
          <w:i/>
          <w:iCs/>
          <w:sz w:val="20"/>
          <w:szCs w:val="20"/>
        </w:rPr>
        <w:lastRenderedPageBreak/>
        <w:t>rendimiento o perdidas, cuanto se ha recapitalizado, cuantos son los dividendos, entre otros</w:t>
      </w:r>
      <w:r w:rsidR="00954270" w:rsidRPr="00D03950">
        <w:rPr>
          <w:rFonts w:ascii="Century Gothic" w:hAnsi="Century Gothic" w:cs="Arial"/>
          <w:i/>
          <w:iCs/>
          <w:sz w:val="20"/>
          <w:szCs w:val="20"/>
        </w:rPr>
        <w:t>.</w:t>
      </w:r>
      <w:r w:rsidR="00D91076" w:rsidRPr="00D03950">
        <w:rPr>
          <w:rFonts w:ascii="Century Gothic" w:eastAsia="Times New Roman" w:hAnsi="Century Gothic" w:cs="Arial"/>
          <w:i/>
          <w:iCs/>
          <w:sz w:val="20"/>
          <w:szCs w:val="20"/>
          <w:lang w:eastAsia="es-MX"/>
        </w:rPr>
        <w:t>”</w:t>
      </w:r>
      <w:r w:rsidR="1E5BE4FF" w:rsidRPr="00D03950">
        <w:rPr>
          <w:rFonts w:ascii="Century Gothic" w:eastAsia="Times New Roman" w:hAnsi="Century Gothic" w:cs="Arial"/>
          <w:sz w:val="20"/>
          <w:szCs w:val="20"/>
          <w:lang w:eastAsia="es-MX"/>
        </w:rPr>
        <w:t xml:space="preserve"> </w:t>
      </w:r>
    </w:p>
    <w:p w14:paraId="70D3DCB5" w14:textId="46EC55C6" w:rsidR="0099093C" w:rsidRDefault="0099093C" w:rsidP="0099093C">
      <w:pPr>
        <w:ind w:left="567" w:right="474"/>
        <w:jc w:val="both"/>
        <w:rPr>
          <w:rFonts w:ascii="Century Gothic" w:eastAsia="Times New Roman" w:hAnsi="Century Gothic" w:cs="Arial"/>
          <w:lang w:eastAsia="es-MX"/>
        </w:rPr>
      </w:pPr>
    </w:p>
    <w:p w14:paraId="73A37753" w14:textId="6125A8A8" w:rsidR="009B2515" w:rsidRDefault="009B2515" w:rsidP="0099093C">
      <w:pPr>
        <w:ind w:left="567" w:right="474"/>
        <w:jc w:val="both"/>
        <w:rPr>
          <w:rFonts w:ascii="Century Gothic" w:eastAsia="Times New Roman" w:hAnsi="Century Gothic" w:cs="Arial"/>
          <w:lang w:eastAsia="es-MX"/>
        </w:rPr>
      </w:pPr>
    </w:p>
    <w:p w14:paraId="21150215" w14:textId="7966CAF7" w:rsidR="0034384C" w:rsidRPr="0034384C" w:rsidRDefault="1E5BE4FF" w:rsidP="0034384C">
      <w:pPr>
        <w:spacing w:line="276" w:lineRule="auto"/>
        <w:ind w:right="49" w:firstLine="335"/>
        <w:jc w:val="both"/>
        <w:rPr>
          <w:rFonts w:ascii="Century Gothic" w:hAnsi="Century Gothic" w:cs="Arial"/>
        </w:rPr>
      </w:pPr>
      <w:r w:rsidRPr="00947482">
        <w:rPr>
          <w:rFonts w:ascii="Century Gothic" w:eastAsia="Times New Roman" w:hAnsi="Century Gothic" w:cs="Arial"/>
          <w:lang w:eastAsia="es-MX"/>
        </w:rPr>
        <w:t>E</w:t>
      </w:r>
      <w:r w:rsidR="00EA652D">
        <w:rPr>
          <w:rFonts w:ascii="Century Gothic" w:eastAsia="Times New Roman" w:hAnsi="Century Gothic" w:cs="Arial"/>
          <w:lang w:eastAsia="es-MX"/>
        </w:rPr>
        <w:t xml:space="preserve">n fecha </w:t>
      </w:r>
      <w:r w:rsidR="007149B0">
        <w:rPr>
          <w:rFonts w:ascii="Century Gothic" w:eastAsia="Times New Roman" w:hAnsi="Century Gothic" w:cs="Arial"/>
          <w:lang w:eastAsia="es-MX"/>
        </w:rPr>
        <w:t>2</w:t>
      </w:r>
      <w:r w:rsidR="00F801E0">
        <w:rPr>
          <w:rFonts w:ascii="Century Gothic" w:eastAsia="Times New Roman" w:hAnsi="Century Gothic" w:cs="Arial"/>
          <w:lang w:eastAsia="es-MX"/>
        </w:rPr>
        <w:t xml:space="preserve">1 de junio </w:t>
      </w:r>
      <w:r w:rsidRPr="00947482">
        <w:rPr>
          <w:rFonts w:ascii="Century Gothic" w:eastAsia="Times New Roman" w:hAnsi="Century Gothic" w:cs="Arial"/>
          <w:lang w:eastAsia="es-MX"/>
        </w:rPr>
        <w:t xml:space="preserve">del año en curso 2022, </w:t>
      </w:r>
      <w:r w:rsidR="00B534C6">
        <w:rPr>
          <w:rFonts w:ascii="Century Gothic" w:eastAsia="Times New Roman" w:hAnsi="Century Gothic" w:cs="Arial"/>
          <w:lang w:eastAsia="es-MX"/>
        </w:rPr>
        <w:t xml:space="preserve">a través de la presidencia de la Comisión de Hacienda y Fiscalización </w:t>
      </w:r>
      <w:r w:rsidR="00D84EE1" w:rsidRPr="00D84EE1">
        <w:rPr>
          <w:rFonts w:ascii="Century Gothic" w:eastAsia="Times New Roman" w:hAnsi="Century Gothic" w:cs="Arial"/>
          <w:lang w:eastAsia="es-MX"/>
        </w:rPr>
        <w:t>y con la anuencia otorgada por la Junta de Gobierno y Coordinación Política</w:t>
      </w:r>
      <w:r w:rsidR="00D84EE1">
        <w:rPr>
          <w:rFonts w:ascii="Century Gothic" w:eastAsia="Times New Roman" w:hAnsi="Century Gothic" w:cs="Arial"/>
          <w:lang w:eastAsia="es-MX"/>
        </w:rPr>
        <w:t xml:space="preserve">, </w:t>
      </w:r>
      <w:r w:rsidR="0057192C">
        <w:rPr>
          <w:rFonts w:ascii="Century Gothic" w:eastAsia="Times New Roman" w:hAnsi="Century Gothic" w:cs="Arial"/>
          <w:lang w:eastAsia="es-MX"/>
        </w:rPr>
        <w:t xml:space="preserve">fue invitado </w:t>
      </w:r>
      <w:r w:rsidR="00116F63">
        <w:rPr>
          <w:rFonts w:ascii="Century Gothic" w:eastAsia="Times New Roman" w:hAnsi="Century Gothic" w:cs="Arial"/>
          <w:lang w:eastAsia="es-MX"/>
        </w:rPr>
        <w:t xml:space="preserve">al recinto del Congreso del Estado, </w:t>
      </w:r>
      <w:r w:rsidR="0057192C">
        <w:rPr>
          <w:rFonts w:ascii="Century Gothic" w:eastAsia="Times New Roman" w:hAnsi="Century Gothic" w:cs="Arial"/>
          <w:lang w:eastAsia="es-MX"/>
        </w:rPr>
        <w:t xml:space="preserve">el titular del Instituto de Seguridad </w:t>
      </w:r>
      <w:r w:rsidR="00116F63">
        <w:rPr>
          <w:rFonts w:ascii="Century Gothic" w:eastAsia="Times New Roman" w:hAnsi="Century Gothic" w:cs="Arial"/>
          <w:lang w:eastAsia="es-MX"/>
        </w:rPr>
        <w:t xml:space="preserve">Social </w:t>
      </w:r>
      <w:r w:rsidR="00AF2199">
        <w:rPr>
          <w:rFonts w:ascii="Century Gothic" w:eastAsia="Times New Roman" w:hAnsi="Century Gothic" w:cs="Arial"/>
          <w:lang w:eastAsia="es-MX"/>
        </w:rPr>
        <w:t>de</w:t>
      </w:r>
      <w:r w:rsidR="000467AA">
        <w:rPr>
          <w:rFonts w:ascii="Century Gothic" w:eastAsia="Times New Roman" w:hAnsi="Century Gothic" w:cs="Arial"/>
          <w:lang w:eastAsia="es-MX"/>
        </w:rPr>
        <w:t>l Estado de Guanajuato</w:t>
      </w:r>
      <w:r w:rsidR="00116F63">
        <w:rPr>
          <w:rFonts w:ascii="Century Gothic" w:eastAsia="Times New Roman" w:hAnsi="Century Gothic" w:cs="Arial"/>
          <w:lang w:eastAsia="es-MX"/>
        </w:rPr>
        <w:t>,</w:t>
      </w:r>
      <w:r w:rsidR="002A60DC">
        <w:rPr>
          <w:rFonts w:ascii="Century Gothic" w:eastAsia="Times New Roman" w:hAnsi="Century Gothic" w:cs="Arial"/>
          <w:lang w:eastAsia="es-MX"/>
        </w:rPr>
        <w:t xml:space="preserve"> con el fin de entablar una </w:t>
      </w:r>
      <w:r w:rsidR="00267561">
        <w:rPr>
          <w:rFonts w:ascii="Century Gothic" w:eastAsia="Times New Roman" w:hAnsi="Century Gothic" w:cs="Arial"/>
          <w:lang w:eastAsia="es-MX"/>
        </w:rPr>
        <w:t xml:space="preserve">reunión </w:t>
      </w:r>
      <w:r w:rsidR="002A60DC">
        <w:rPr>
          <w:rFonts w:ascii="Century Gothic" w:eastAsia="Times New Roman" w:hAnsi="Century Gothic" w:cs="Arial"/>
          <w:lang w:eastAsia="es-MX"/>
        </w:rPr>
        <w:t>con</w:t>
      </w:r>
      <w:r w:rsidR="00267561">
        <w:rPr>
          <w:rFonts w:ascii="Century Gothic" w:eastAsia="Times New Roman" w:hAnsi="Century Gothic" w:cs="Arial"/>
          <w:lang w:eastAsia="es-MX"/>
        </w:rPr>
        <w:t xml:space="preserve"> l</w:t>
      </w:r>
      <w:r w:rsidR="00972967">
        <w:rPr>
          <w:rFonts w:ascii="Century Gothic" w:eastAsia="Times New Roman" w:hAnsi="Century Gothic" w:cs="Arial"/>
          <w:lang w:eastAsia="es-MX"/>
        </w:rPr>
        <w:t>a</w:t>
      </w:r>
      <w:r w:rsidR="00267561">
        <w:rPr>
          <w:rFonts w:ascii="Century Gothic" w:eastAsia="Times New Roman" w:hAnsi="Century Gothic" w:cs="Arial"/>
          <w:lang w:eastAsia="es-MX"/>
        </w:rPr>
        <w:t>s</w:t>
      </w:r>
      <w:r w:rsidR="00972967">
        <w:rPr>
          <w:rFonts w:ascii="Century Gothic" w:eastAsia="Times New Roman" w:hAnsi="Century Gothic" w:cs="Arial"/>
          <w:lang w:eastAsia="es-MX"/>
        </w:rPr>
        <w:t xml:space="preserve"> y los</w:t>
      </w:r>
      <w:r w:rsidR="00267561">
        <w:rPr>
          <w:rFonts w:ascii="Century Gothic" w:eastAsia="Times New Roman" w:hAnsi="Century Gothic" w:cs="Arial"/>
          <w:lang w:eastAsia="es-MX"/>
        </w:rPr>
        <w:t xml:space="preserve"> integrantes de dicha comisión, así como </w:t>
      </w:r>
      <w:r w:rsidR="00972967">
        <w:rPr>
          <w:rFonts w:ascii="Century Gothic" w:eastAsia="Times New Roman" w:hAnsi="Century Gothic" w:cs="Arial"/>
          <w:lang w:eastAsia="es-MX"/>
        </w:rPr>
        <w:t>legisladores</w:t>
      </w:r>
      <w:r w:rsidR="00267561">
        <w:rPr>
          <w:rFonts w:ascii="Century Gothic" w:eastAsia="Times New Roman" w:hAnsi="Century Gothic" w:cs="Arial"/>
          <w:lang w:eastAsia="es-MX"/>
        </w:rPr>
        <w:t xml:space="preserve"> invitados a la misma</w:t>
      </w:r>
      <w:r w:rsidR="00972967">
        <w:rPr>
          <w:rFonts w:ascii="Century Gothic" w:eastAsia="Times New Roman" w:hAnsi="Century Gothic" w:cs="Arial"/>
          <w:lang w:eastAsia="es-MX"/>
        </w:rPr>
        <w:t>, entre ellos el diputado presidente de esta comisión de Desarrollo Económico y Social, así como la proponente</w:t>
      </w:r>
      <w:r w:rsidR="00267561">
        <w:rPr>
          <w:rFonts w:ascii="Century Gothic" w:eastAsia="Times New Roman" w:hAnsi="Century Gothic" w:cs="Arial"/>
          <w:lang w:eastAsia="es-MX"/>
        </w:rPr>
        <w:t>,</w:t>
      </w:r>
      <w:r w:rsidR="0034384C">
        <w:rPr>
          <w:rFonts w:ascii="Century Gothic" w:eastAsia="Times New Roman" w:hAnsi="Century Gothic" w:cs="Arial"/>
          <w:lang w:eastAsia="es-MX"/>
        </w:rPr>
        <w:t xml:space="preserve"> </w:t>
      </w:r>
      <w:r w:rsidR="000750B0">
        <w:rPr>
          <w:rFonts w:ascii="Century Gothic" w:eastAsia="Times New Roman" w:hAnsi="Century Gothic" w:cs="Arial"/>
          <w:lang w:eastAsia="es-MX"/>
        </w:rPr>
        <w:t xml:space="preserve">con </w:t>
      </w:r>
      <w:r w:rsidR="00CB3A61">
        <w:rPr>
          <w:rFonts w:ascii="Century Gothic" w:eastAsia="Times New Roman" w:hAnsi="Century Gothic" w:cs="Arial"/>
          <w:lang w:eastAsia="es-MX"/>
        </w:rPr>
        <w:t>la finalidad</w:t>
      </w:r>
      <w:r w:rsidR="00267561">
        <w:rPr>
          <w:rFonts w:ascii="Century Gothic" w:eastAsia="Times New Roman" w:hAnsi="Century Gothic" w:cs="Arial"/>
          <w:lang w:eastAsia="es-MX"/>
        </w:rPr>
        <w:t xml:space="preserve"> </w:t>
      </w:r>
      <w:r w:rsidR="00C01EAC">
        <w:rPr>
          <w:rFonts w:ascii="Century Gothic" w:eastAsia="Times New Roman" w:hAnsi="Century Gothic" w:cs="Arial"/>
          <w:lang w:eastAsia="es-MX"/>
        </w:rPr>
        <w:t xml:space="preserve">de </w:t>
      </w:r>
      <w:r w:rsidR="003A0257" w:rsidRPr="0034384C">
        <w:rPr>
          <w:rFonts w:ascii="Century Gothic" w:eastAsia="Times New Roman" w:hAnsi="Century Gothic" w:cs="Arial"/>
          <w:lang w:eastAsia="es-MX"/>
        </w:rPr>
        <w:t>obtener</w:t>
      </w:r>
      <w:r w:rsidR="005521CA" w:rsidRPr="0034384C">
        <w:rPr>
          <w:rFonts w:ascii="Century Gothic" w:eastAsia="Times New Roman" w:hAnsi="Century Gothic" w:cs="Arial"/>
          <w:lang w:eastAsia="es-MX"/>
        </w:rPr>
        <w:t xml:space="preserve"> un informe</w:t>
      </w:r>
      <w:r w:rsidR="003A0257" w:rsidRPr="0034384C">
        <w:rPr>
          <w:rFonts w:ascii="Century Gothic" w:eastAsia="Times New Roman" w:hAnsi="Century Gothic" w:cs="Arial"/>
          <w:lang w:eastAsia="es-MX"/>
        </w:rPr>
        <w:t xml:space="preserve"> sobre la </w:t>
      </w:r>
      <w:r w:rsidR="003A0257" w:rsidRPr="0034384C">
        <w:rPr>
          <w:rFonts w:ascii="Century Gothic" w:hAnsi="Century Gothic" w:cs="Arial"/>
        </w:rPr>
        <w:t xml:space="preserve">sociedad financiera de objeto múltiple denominada GTO Leasing </w:t>
      </w:r>
      <w:proofErr w:type="spellStart"/>
      <w:r w:rsidR="003A0257" w:rsidRPr="0034384C">
        <w:rPr>
          <w:rFonts w:ascii="Century Gothic" w:hAnsi="Century Gothic" w:cs="Arial"/>
        </w:rPr>
        <w:t>Services</w:t>
      </w:r>
      <w:proofErr w:type="spellEnd"/>
      <w:r w:rsidR="005521CA" w:rsidRPr="0034384C">
        <w:rPr>
          <w:rFonts w:ascii="Century Gothic" w:hAnsi="Century Gothic" w:cs="Arial"/>
        </w:rPr>
        <w:t xml:space="preserve"> y en su caso resolver dudas relacionadas con </w:t>
      </w:r>
      <w:r w:rsidR="00002098" w:rsidRPr="0034384C">
        <w:rPr>
          <w:rFonts w:ascii="Century Gothic" w:hAnsi="Century Gothic" w:cs="Arial"/>
        </w:rPr>
        <w:t>é</w:t>
      </w:r>
      <w:r w:rsidR="005521CA" w:rsidRPr="0034384C">
        <w:rPr>
          <w:rFonts w:ascii="Century Gothic" w:hAnsi="Century Gothic" w:cs="Arial"/>
        </w:rPr>
        <w:t xml:space="preserve">sta. </w:t>
      </w:r>
    </w:p>
    <w:p w14:paraId="47290024" w14:textId="77777777" w:rsidR="0034384C" w:rsidRPr="0034384C" w:rsidRDefault="0034384C" w:rsidP="0034384C">
      <w:pPr>
        <w:spacing w:line="276" w:lineRule="auto"/>
        <w:ind w:right="49" w:firstLine="335"/>
        <w:jc w:val="both"/>
        <w:rPr>
          <w:rFonts w:ascii="Century Gothic" w:hAnsi="Century Gothic" w:cs="Arial"/>
        </w:rPr>
      </w:pPr>
    </w:p>
    <w:p w14:paraId="2F2EF700" w14:textId="016EF0C1" w:rsidR="00002098" w:rsidRDefault="00002098" w:rsidP="0034384C">
      <w:pPr>
        <w:spacing w:line="276" w:lineRule="auto"/>
        <w:ind w:right="49" w:firstLine="335"/>
        <w:jc w:val="both"/>
        <w:rPr>
          <w:rFonts w:ascii="Century Gothic" w:hAnsi="Century Gothic" w:cs="Arial"/>
        </w:rPr>
      </w:pPr>
      <w:r w:rsidRPr="0034384C">
        <w:rPr>
          <w:rFonts w:ascii="Century Gothic" w:hAnsi="Century Gothic" w:cs="Arial"/>
        </w:rPr>
        <w:t xml:space="preserve">En dicha sesión se presentó a </w:t>
      </w:r>
      <w:proofErr w:type="gramStart"/>
      <w:r w:rsidRPr="0034384C">
        <w:rPr>
          <w:rFonts w:ascii="Century Gothic" w:hAnsi="Century Gothic" w:cs="Arial"/>
        </w:rPr>
        <w:t>las</w:t>
      </w:r>
      <w:r w:rsidR="0034384C">
        <w:rPr>
          <w:rFonts w:ascii="Century Gothic" w:hAnsi="Century Gothic" w:cs="Arial"/>
        </w:rPr>
        <w:t xml:space="preserve"> diputadas</w:t>
      </w:r>
      <w:r w:rsidRPr="0034384C">
        <w:rPr>
          <w:rFonts w:ascii="Century Gothic" w:hAnsi="Century Gothic" w:cs="Arial"/>
        </w:rPr>
        <w:t xml:space="preserve"> y los diputados</w:t>
      </w:r>
      <w:proofErr w:type="gramEnd"/>
      <w:r w:rsidRPr="0034384C">
        <w:rPr>
          <w:rFonts w:ascii="Century Gothic" w:hAnsi="Century Gothic" w:cs="Arial"/>
        </w:rPr>
        <w:t xml:space="preserve"> detalles sobre la estrategia financiera y comercial del fondo de pensiones</w:t>
      </w:r>
      <w:r w:rsidR="007B0743" w:rsidRPr="0034384C">
        <w:rPr>
          <w:rFonts w:ascii="Century Gothic" w:hAnsi="Century Gothic" w:cs="Arial"/>
        </w:rPr>
        <w:t>, sus respectivos resultados que confirman la viabilidad de largo plazo del organismo</w:t>
      </w:r>
      <w:r w:rsidR="00454FCC" w:rsidRPr="0034384C">
        <w:rPr>
          <w:rFonts w:ascii="Century Gothic" w:hAnsi="Century Gothic" w:cs="Arial"/>
        </w:rPr>
        <w:t>, la relevancia de tener un portafolio de inversión diversificado</w:t>
      </w:r>
      <w:r w:rsidR="007B0743" w:rsidRPr="0034384C">
        <w:rPr>
          <w:rFonts w:ascii="Century Gothic" w:hAnsi="Century Gothic" w:cs="Arial"/>
        </w:rPr>
        <w:t xml:space="preserve"> </w:t>
      </w:r>
      <w:r w:rsidRPr="0034384C">
        <w:rPr>
          <w:rFonts w:ascii="Century Gothic" w:hAnsi="Century Gothic" w:cs="Arial"/>
        </w:rPr>
        <w:t>y, como parte de ello, las características, alcances y objeto de la línea de negocios enfocada en el fortalecimiento del fondo de pensiones a travé</w:t>
      </w:r>
      <w:r w:rsidR="007B0743" w:rsidRPr="0034384C">
        <w:rPr>
          <w:rFonts w:ascii="Century Gothic" w:hAnsi="Century Gothic" w:cs="Arial"/>
        </w:rPr>
        <w:t xml:space="preserve">s de GTO Leasing </w:t>
      </w:r>
      <w:proofErr w:type="spellStart"/>
      <w:r w:rsidR="007B0743" w:rsidRPr="0034384C">
        <w:rPr>
          <w:rFonts w:ascii="Century Gothic" w:hAnsi="Century Gothic" w:cs="Arial"/>
        </w:rPr>
        <w:t>Services</w:t>
      </w:r>
      <w:proofErr w:type="spellEnd"/>
      <w:r w:rsidR="007B0743" w:rsidRPr="0034384C">
        <w:rPr>
          <w:rFonts w:ascii="Century Gothic" w:hAnsi="Century Gothic" w:cs="Arial"/>
        </w:rPr>
        <w:t>.</w:t>
      </w:r>
      <w:r w:rsidR="007B0743">
        <w:rPr>
          <w:rFonts w:ascii="Century Gothic" w:hAnsi="Century Gothic" w:cs="Arial"/>
        </w:rPr>
        <w:t xml:space="preserve"> </w:t>
      </w:r>
    </w:p>
    <w:p w14:paraId="24108BBC" w14:textId="77777777" w:rsidR="005F4FE7" w:rsidRDefault="005F4FE7" w:rsidP="0099093C">
      <w:pPr>
        <w:spacing w:line="276" w:lineRule="auto"/>
        <w:ind w:right="49" w:firstLine="335"/>
        <w:jc w:val="both"/>
        <w:rPr>
          <w:rFonts w:ascii="Century Gothic" w:eastAsia="Times New Roman" w:hAnsi="Century Gothic" w:cs="Arial"/>
          <w:lang w:eastAsia="es-MX"/>
        </w:rPr>
      </w:pPr>
    </w:p>
    <w:p w14:paraId="78CF298E" w14:textId="22F105E8" w:rsidR="00B723B7" w:rsidRDefault="1E5BE4FF" w:rsidP="001477F2">
      <w:pPr>
        <w:spacing w:line="276" w:lineRule="auto"/>
        <w:ind w:right="49" w:firstLine="335"/>
        <w:jc w:val="both"/>
        <w:rPr>
          <w:rFonts w:ascii="Century Gothic" w:eastAsia="Times New Roman" w:hAnsi="Century Gothic" w:cs="Arial"/>
          <w:lang w:eastAsia="es-MX"/>
        </w:rPr>
      </w:pPr>
      <w:r w:rsidRPr="00947482">
        <w:rPr>
          <w:rFonts w:ascii="Century Gothic" w:eastAsia="Times New Roman" w:hAnsi="Century Gothic" w:cs="Arial"/>
          <w:lang w:eastAsia="es-MX"/>
        </w:rPr>
        <w:t xml:space="preserve">Por lo anteriormente </w:t>
      </w:r>
      <w:r w:rsidRPr="001E65D6">
        <w:rPr>
          <w:rFonts w:ascii="Century Gothic" w:eastAsia="Times New Roman" w:hAnsi="Century Gothic" w:cs="Arial"/>
          <w:lang w:eastAsia="es-MX"/>
        </w:rPr>
        <w:t xml:space="preserve">expuesto y con fundamento en los artículos 171 y 176 la Ley Orgánica del Poder Legislativo del Estado de Guanajuato, </w:t>
      </w:r>
      <w:proofErr w:type="gramStart"/>
      <w:r w:rsidR="009B2515" w:rsidRPr="001E65D6">
        <w:rPr>
          <w:rFonts w:ascii="Century Gothic" w:eastAsia="Times New Roman" w:hAnsi="Century Gothic" w:cs="Arial"/>
          <w:lang w:eastAsia="es-MX"/>
        </w:rPr>
        <w:t>en razón de</w:t>
      </w:r>
      <w:proofErr w:type="gramEnd"/>
      <w:r w:rsidR="009B2515" w:rsidRPr="001E65D6">
        <w:rPr>
          <w:rFonts w:ascii="Century Gothic" w:eastAsia="Times New Roman" w:hAnsi="Century Gothic" w:cs="Arial"/>
          <w:lang w:eastAsia="es-MX"/>
        </w:rPr>
        <w:t xml:space="preserve"> que este el informe que pretende la proponente del punto de acuerdo ya fue presentado en reunión celebrada el pasado 21 de junio del año en curso ante diputadas y diputados integrantes de esta Legislatura, </w:t>
      </w:r>
      <w:r w:rsidRPr="001E65D6">
        <w:rPr>
          <w:rFonts w:ascii="Century Gothic" w:eastAsia="Times New Roman" w:hAnsi="Century Gothic" w:cs="Arial"/>
          <w:lang w:eastAsia="es-MX"/>
        </w:rPr>
        <w:t>nos permitimos proponer a la Asamblea la aprobación del siguiente:</w:t>
      </w:r>
    </w:p>
    <w:p w14:paraId="306C711A" w14:textId="2486CF0D" w:rsidR="00B723B7" w:rsidRDefault="00B723B7" w:rsidP="00B723B7">
      <w:pPr>
        <w:spacing w:line="276" w:lineRule="auto"/>
        <w:ind w:right="474" w:firstLine="335"/>
        <w:jc w:val="center"/>
        <w:rPr>
          <w:rFonts w:ascii="Century Gothic" w:eastAsia="Times New Roman" w:hAnsi="Century Gothic" w:cs="Arial"/>
          <w:b/>
          <w:bCs/>
          <w:lang w:eastAsia="es-MX"/>
        </w:rPr>
      </w:pPr>
    </w:p>
    <w:p w14:paraId="62C1F897" w14:textId="466AB503" w:rsidR="009B2515" w:rsidRDefault="009B2515" w:rsidP="00B723B7">
      <w:pPr>
        <w:spacing w:line="276" w:lineRule="auto"/>
        <w:ind w:right="474" w:firstLine="335"/>
        <w:jc w:val="center"/>
        <w:rPr>
          <w:rFonts w:ascii="Century Gothic" w:eastAsia="Times New Roman" w:hAnsi="Century Gothic" w:cs="Arial"/>
          <w:b/>
          <w:bCs/>
          <w:lang w:eastAsia="es-MX"/>
        </w:rPr>
      </w:pPr>
    </w:p>
    <w:p w14:paraId="06AF0D1C" w14:textId="0496968F" w:rsidR="009B2515" w:rsidRDefault="009B2515" w:rsidP="00B723B7">
      <w:pPr>
        <w:spacing w:line="276" w:lineRule="auto"/>
        <w:ind w:right="474" w:firstLine="335"/>
        <w:jc w:val="center"/>
        <w:rPr>
          <w:rFonts w:ascii="Century Gothic" w:eastAsia="Times New Roman" w:hAnsi="Century Gothic" w:cs="Arial"/>
          <w:b/>
          <w:bCs/>
          <w:lang w:eastAsia="es-MX"/>
        </w:rPr>
      </w:pPr>
    </w:p>
    <w:p w14:paraId="201AA5F2" w14:textId="395CFF05" w:rsidR="009B2515" w:rsidRDefault="009B2515" w:rsidP="00B723B7">
      <w:pPr>
        <w:spacing w:line="276" w:lineRule="auto"/>
        <w:ind w:right="474" w:firstLine="335"/>
        <w:jc w:val="center"/>
        <w:rPr>
          <w:rFonts w:ascii="Century Gothic" w:eastAsia="Times New Roman" w:hAnsi="Century Gothic" w:cs="Arial"/>
          <w:b/>
          <w:bCs/>
          <w:lang w:eastAsia="es-MX"/>
        </w:rPr>
      </w:pPr>
    </w:p>
    <w:p w14:paraId="3FB02EF2" w14:textId="6505C25E" w:rsidR="009B2515" w:rsidRDefault="009B2515" w:rsidP="00B723B7">
      <w:pPr>
        <w:spacing w:line="276" w:lineRule="auto"/>
        <w:ind w:right="474" w:firstLine="335"/>
        <w:jc w:val="center"/>
        <w:rPr>
          <w:rFonts w:ascii="Century Gothic" w:eastAsia="Times New Roman" w:hAnsi="Century Gothic" w:cs="Arial"/>
          <w:b/>
          <w:bCs/>
          <w:lang w:eastAsia="es-MX"/>
        </w:rPr>
      </w:pPr>
    </w:p>
    <w:p w14:paraId="28FE82CA" w14:textId="77777777" w:rsidR="009B2515" w:rsidRDefault="009B2515" w:rsidP="00B723B7">
      <w:pPr>
        <w:spacing w:line="276" w:lineRule="auto"/>
        <w:ind w:right="474" w:firstLine="335"/>
        <w:jc w:val="center"/>
        <w:rPr>
          <w:rFonts w:ascii="Century Gothic" w:eastAsia="Times New Roman" w:hAnsi="Century Gothic" w:cs="Arial"/>
          <w:b/>
          <w:bCs/>
          <w:lang w:eastAsia="es-MX"/>
        </w:rPr>
      </w:pPr>
    </w:p>
    <w:p w14:paraId="1E67EF1C" w14:textId="04684D5C" w:rsidR="00581795" w:rsidRPr="00947482" w:rsidRDefault="00581795" w:rsidP="00B723B7">
      <w:pPr>
        <w:spacing w:line="276" w:lineRule="auto"/>
        <w:ind w:right="474" w:firstLine="335"/>
        <w:jc w:val="center"/>
        <w:rPr>
          <w:rFonts w:ascii="Century Gothic" w:eastAsia="Times New Roman" w:hAnsi="Century Gothic" w:cs="Arial"/>
          <w:b/>
          <w:bCs/>
          <w:lang w:eastAsia="es-MX"/>
        </w:rPr>
      </w:pPr>
      <w:r w:rsidRPr="00947482">
        <w:rPr>
          <w:rFonts w:ascii="Century Gothic" w:eastAsia="Times New Roman" w:hAnsi="Century Gothic" w:cs="Arial"/>
          <w:b/>
          <w:bCs/>
          <w:lang w:eastAsia="es-MX"/>
        </w:rPr>
        <w:t>ACUERDO</w:t>
      </w:r>
    </w:p>
    <w:p w14:paraId="2A7938BC" w14:textId="77777777" w:rsidR="005641B6" w:rsidRPr="00947482" w:rsidRDefault="005641B6" w:rsidP="00B723B7">
      <w:pPr>
        <w:spacing w:line="276" w:lineRule="auto"/>
        <w:jc w:val="both"/>
        <w:rPr>
          <w:rFonts w:ascii="Century Gothic" w:eastAsia="Times New Roman" w:hAnsi="Century Gothic" w:cs="Arial"/>
          <w:lang w:eastAsia="es-MX"/>
        </w:rPr>
      </w:pPr>
    </w:p>
    <w:p w14:paraId="2B6D4C8C" w14:textId="454EFE21" w:rsidR="00AD129B" w:rsidRPr="00116F63" w:rsidRDefault="009646EB" w:rsidP="00B723B7">
      <w:pPr>
        <w:spacing w:line="276" w:lineRule="auto"/>
        <w:jc w:val="both"/>
        <w:rPr>
          <w:rFonts w:ascii="Century Gothic" w:eastAsia="Times New Roman" w:hAnsi="Century Gothic" w:cs="Arial"/>
          <w:lang w:eastAsia="es-MX"/>
        </w:rPr>
      </w:pPr>
      <w:r w:rsidRPr="00947482">
        <w:rPr>
          <w:rFonts w:ascii="Century Gothic" w:eastAsia="Times New Roman" w:hAnsi="Century Gothic" w:cs="Arial"/>
          <w:lang w:eastAsia="es-MX"/>
        </w:rPr>
        <w:tab/>
      </w:r>
      <w:r w:rsidR="00581795" w:rsidRPr="00947482">
        <w:rPr>
          <w:rFonts w:ascii="Century Gothic" w:eastAsia="Times New Roman" w:hAnsi="Century Gothic" w:cs="Arial"/>
          <w:lang w:eastAsia="es-MX"/>
        </w:rPr>
        <w:t xml:space="preserve">Único. </w:t>
      </w:r>
      <w:r w:rsidR="00D117E4" w:rsidRPr="00947482">
        <w:rPr>
          <w:rFonts w:ascii="Century Gothic" w:eastAsia="Times New Roman" w:hAnsi="Century Gothic" w:cs="Arial"/>
          <w:lang w:eastAsia="es-MX"/>
        </w:rPr>
        <w:t xml:space="preserve">La Sexagésima Quinta Legislatura del Congreso del Estado Libre y Soberano de Guanajuato ordena se dé archivo definitivo </w:t>
      </w:r>
      <w:r w:rsidR="00FE0E81">
        <w:rPr>
          <w:rFonts w:ascii="Century Gothic" w:eastAsia="Times New Roman" w:hAnsi="Century Gothic" w:cs="Arial"/>
          <w:lang w:eastAsia="es-MX"/>
        </w:rPr>
        <w:t>del</w:t>
      </w:r>
      <w:r w:rsidR="00D117E4" w:rsidRPr="00947482">
        <w:rPr>
          <w:rFonts w:ascii="Century Gothic" w:eastAsia="Times New Roman" w:hAnsi="Century Gothic" w:cs="Arial"/>
          <w:lang w:eastAsia="es-MX"/>
        </w:rPr>
        <w:t xml:space="preserve"> punto de acuerdo con</w:t>
      </w:r>
      <w:r w:rsidR="00B723B7">
        <w:rPr>
          <w:rFonts w:ascii="Century Gothic" w:eastAsia="Times New Roman" w:hAnsi="Century Gothic" w:cs="Arial"/>
          <w:lang w:eastAsia="es-MX"/>
        </w:rPr>
        <w:t xml:space="preserve"> el</w:t>
      </w:r>
      <w:r w:rsidR="00D117E4" w:rsidRPr="00947482">
        <w:rPr>
          <w:rFonts w:ascii="Century Gothic" w:eastAsia="Times New Roman" w:hAnsi="Century Gothic" w:cs="Arial"/>
          <w:lang w:eastAsia="es-MX"/>
        </w:rPr>
        <w:t xml:space="preserve"> fin de </w:t>
      </w:r>
      <w:r w:rsidR="00190943" w:rsidRPr="00116F63">
        <w:rPr>
          <w:rFonts w:ascii="Century Gothic" w:eastAsia="Times New Roman" w:hAnsi="Century Gothic" w:cs="Arial"/>
          <w:lang w:eastAsia="es-MX"/>
        </w:rPr>
        <w:t xml:space="preserve">enviar un </w:t>
      </w:r>
      <w:r w:rsidR="00116F63" w:rsidRPr="00116F63">
        <w:rPr>
          <w:rFonts w:ascii="Century Gothic" w:eastAsia="Times New Roman" w:hAnsi="Century Gothic" w:cs="Arial"/>
          <w:lang w:eastAsia="es-MX"/>
        </w:rPr>
        <w:t xml:space="preserve">exhorto al </w:t>
      </w:r>
      <w:r w:rsidR="00116F63">
        <w:rPr>
          <w:rFonts w:ascii="Century Gothic" w:eastAsia="Times New Roman" w:hAnsi="Century Gothic" w:cs="Arial"/>
          <w:lang w:eastAsia="es-MX"/>
        </w:rPr>
        <w:t>t</w:t>
      </w:r>
      <w:r w:rsidR="00116F63" w:rsidRPr="00116F63">
        <w:rPr>
          <w:rFonts w:ascii="Century Gothic" w:eastAsia="Times New Roman" w:hAnsi="Century Gothic" w:cs="Arial"/>
          <w:lang w:eastAsia="es-MX"/>
        </w:rPr>
        <w:t xml:space="preserve">itular del Instituto de Seguridad Social del Estado de Guanajuato para dar un informe detallado de la sociedad anónima promotora de inversión de capital variable y al mismo tiempo sociedad financiera de objeto múltiple denominada GTO Leasing </w:t>
      </w:r>
      <w:proofErr w:type="spellStart"/>
      <w:r w:rsidR="00116F63" w:rsidRPr="00116F63">
        <w:rPr>
          <w:rFonts w:ascii="Century Gothic" w:eastAsia="Times New Roman" w:hAnsi="Century Gothic" w:cs="Arial"/>
          <w:lang w:eastAsia="es-MX"/>
        </w:rPr>
        <w:t>Services</w:t>
      </w:r>
      <w:proofErr w:type="spellEnd"/>
      <w:r w:rsidR="00972967">
        <w:rPr>
          <w:rFonts w:ascii="Century Gothic" w:eastAsia="Times New Roman" w:hAnsi="Century Gothic" w:cs="Arial"/>
          <w:lang w:eastAsia="es-MX"/>
        </w:rPr>
        <w:t>.</w:t>
      </w:r>
    </w:p>
    <w:p w14:paraId="1BDBB766" w14:textId="1B1E6BE8" w:rsidR="009646EB" w:rsidRPr="00947482" w:rsidRDefault="009646EB" w:rsidP="009646EB">
      <w:pPr>
        <w:spacing w:line="276" w:lineRule="auto"/>
        <w:jc w:val="both"/>
        <w:rPr>
          <w:rFonts w:ascii="Century Gothic" w:hAnsi="Century Gothic" w:cs="Arial"/>
        </w:rPr>
      </w:pPr>
    </w:p>
    <w:p w14:paraId="3ABFFDE7" w14:textId="00823876" w:rsidR="00581795" w:rsidRDefault="00581795" w:rsidP="00581795">
      <w:pPr>
        <w:spacing w:line="276" w:lineRule="auto"/>
        <w:jc w:val="both"/>
        <w:rPr>
          <w:rFonts w:ascii="Century Gothic" w:hAnsi="Century Gothic" w:cs="Arial"/>
          <w:b/>
          <w:bCs/>
        </w:rPr>
      </w:pPr>
    </w:p>
    <w:p w14:paraId="1EBCC91B" w14:textId="77777777" w:rsidR="007B0743" w:rsidRPr="00947482" w:rsidRDefault="007B0743" w:rsidP="00581795">
      <w:pPr>
        <w:spacing w:line="276" w:lineRule="auto"/>
        <w:jc w:val="both"/>
        <w:rPr>
          <w:rFonts w:ascii="Century Gothic" w:hAnsi="Century Gothic" w:cs="Arial"/>
          <w:b/>
          <w:bCs/>
        </w:rPr>
      </w:pPr>
    </w:p>
    <w:p w14:paraId="1329AAE9" w14:textId="0F61A7C9" w:rsidR="00581795" w:rsidRPr="00947482" w:rsidRDefault="00581795" w:rsidP="1E5BE4FF">
      <w:pPr>
        <w:pStyle w:val="Sinespaciado"/>
        <w:spacing w:line="276" w:lineRule="auto"/>
        <w:ind w:firstLine="708"/>
        <w:jc w:val="center"/>
        <w:rPr>
          <w:rFonts w:ascii="Century Gothic" w:eastAsia="Arial Unicode MS" w:hAnsi="Century Gothic" w:cs="Arial"/>
          <w:b/>
          <w:bCs/>
          <w:sz w:val="24"/>
          <w:szCs w:val="24"/>
        </w:rPr>
      </w:pPr>
      <w:r w:rsidRPr="00947482">
        <w:rPr>
          <w:rFonts w:ascii="Century Gothic" w:eastAsia="Arial Unicode MS" w:hAnsi="Century Gothic" w:cs="Arial"/>
          <w:b/>
          <w:bCs/>
          <w:sz w:val="24"/>
          <w:szCs w:val="24"/>
        </w:rPr>
        <w:t xml:space="preserve">Guanajuato, </w:t>
      </w:r>
      <w:proofErr w:type="spellStart"/>
      <w:r w:rsidRPr="00947482">
        <w:rPr>
          <w:rFonts w:ascii="Century Gothic" w:eastAsia="Arial Unicode MS" w:hAnsi="Century Gothic" w:cs="Arial"/>
          <w:b/>
          <w:bCs/>
          <w:sz w:val="24"/>
          <w:szCs w:val="24"/>
        </w:rPr>
        <w:t>Gto</w:t>
      </w:r>
      <w:proofErr w:type="spellEnd"/>
      <w:r w:rsidRPr="00947482">
        <w:rPr>
          <w:rFonts w:ascii="Century Gothic" w:eastAsia="Arial Unicode MS" w:hAnsi="Century Gothic" w:cs="Arial"/>
          <w:b/>
          <w:bCs/>
          <w:sz w:val="24"/>
          <w:szCs w:val="24"/>
        </w:rPr>
        <w:t xml:space="preserve">., </w:t>
      </w:r>
      <w:r w:rsidR="00702700">
        <w:rPr>
          <w:rFonts w:ascii="Century Gothic" w:eastAsia="Arial Unicode MS" w:hAnsi="Century Gothic" w:cs="Arial"/>
          <w:b/>
          <w:bCs/>
          <w:sz w:val="24"/>
          <w:szCs w:val="24"/>
        </w:rPr>
        <w:t>20 de julio</w:t>
      </w:r>
      <w:r w:rsidRPr="00947482">
        <w:rPr>
          <w:rFonts w:ascii="Century Gothic" w:eastAsia="Arial Unicode MS" w:hAnsi="Century Gothic" w:cs="Arial"/>
          <w:b/>
          <w:bCs/>
          <w:sz w:val="24"/>
          <w:szCs w:val="24"/>
        </w:rPr>
        <w:t xml:space="preserve"> de 2022</w:t>
      </w:r>
    </w:p>
    <w:p w14:paraId="3EBD65A9" w14:textId="77777777" w:rsidR="00581795" w:rsidRPr="00947482" w:rsidRDefault="00581795" w:rsidP="00581795">
      <w:pPr>
        <w:pStyle w:val="Sinespaciado"/>
        <w:spacing w:line="276" w:lineRule="auto"/>
        <w:ind w:firstLine="708"/>
        <w:jc w:val="center"/>
        <w:rPr>
          <w:rFonts w:ascii="Century Gothic" w:eastAsia="Arial Unicode MS" w:hAnsi="Century Gothic" w:cs="Arial"/>
          <w:b/>
          <w:bCs/>
          <w:sz w:val="24"/>
          <w:szCs w:val="24"/>
        </w:rPr>
      </w:pPr>
      <w:r w:rsidRPr="00947482">
        <w:rPr>
          <w:rFonts w:ascii="Century Gothic" w:eastAsia="Arial Unicode MS" w:hAnsi="Century Gothic" w:cs="Arial"/>
          <w:b/>
          <w:bCs/>
          <w:sz w:val="24"/>
          <w:szCs w:val="24"/>
        </w:rPr>
        <w:t>La Comisión de Desarrollo Económico y Social</w:t>
      </w:r>
    </w:p>
    <w:p w14:paraId="02F1E5F5" w14:textId="77777777" w:rsidR="00581795" w:rsidRPr="00947482" w:rsidRDefault="00581795" w:rsidP="00581795">
      <w:pPr>
        <w:pStyle w:val="Sinespaciado"/>
        <w:spacing w:line="276" w:lineRule="auto"/>
        <w:ind w:firstLine="708"/>
        <w:jc w:val="both"/>
        <w:rPr>
          <w:rFonts w:ascii="Century Gothic" w:eastAsia="Arial Unicode MS" w:hAnsi="Century Gothic" w:cs="Arial"/>
          <w:b/>
          <w:bCs/>
          <w:sz w:val="24"/>
          <w:szCs w:val="24"/>
        </w:rPr>
      </w:pPr>
    </w:p>
    <w:p w14:paraId="150F8827" w14:textId="77777777" w:rsidR="00581795" w:rsidRPr="00947482" w:rsidRDefault="00581795" w:rsidP="00581795">
      <w:pPr>
        <w:pStyle w:val="Sinespaciado"/>
        <w:spacing w:line="276" w:lineRule="auto"/>
        <w:ind w:firstLine="708"/>
        <w:jc w:val="both"/>
        <w:rPr>
          <w:rFonts w:ascii="Century Gothic" w:eastAsia="Arial Unicode MS" w:hAnsi="Century Gothic" w:cs="Arial"/>
          <w:b/>
          <w:bCs/>
          <w:sz w:val="24"/>
          <w:szCs w:val="24"/>
        </w:rPr>
      </w:pPr>
    </w:p>
    <w:tbl>
      <w:tblPr>
        <w:tblW w:w="0" w:type="auto"/>
        <w:tblLook w:val="04A0" w:firstRow="1" w:lastRow="0" w:firstColumn="1" w:lastColumn="0" w:noHBand="0" w:noVBand="1"/>
      </w:tblPr>
      <w:tblGrid>
        <w:gridCol w:w="4411"/>
        <w:gridCol w:w="4427"/>
      </w:tblGrid>
      <w:tr w:rsidR="00D84AAC" w:rsidRPr="00947482" w14:paraId="40BBF6E0" w14:textId="77777777" w:rsidTr="005957A3">
        <w:tc>
          <w:tcPr>
            <w:tcW w:w="8838" w:type="dxa"/>
            <w:gridSpan w:val="2"/>
          </w:tcPr>
          <w:p w14:paraId="6963AC8B"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Miguel Ángel Salim Alle</w:t>
            </w:r>
          </w:p>
          <w:p w14:paraId="2FDF3E91"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Presidente</w:t>
            </w:r>
          </w:p>
          <w:p w14:paraId="22701400" w14:textId="77777777" w:rsidR="00D84AAC" w:rsidRPr="00947482" w:rsidRDefault="00D84AAC" w:rsidP="005957A3">
            <w:pPr>
              <w:pStyle w:val="Sinespaciado"/>
              <w:spacing w:line="276" w:lineRule="auto"/>
              <w:ind w:firstLine="708"/>
              <w:jc w:val="center"/>
              <w:rPr>
                <w:rFonts w:ascii="Century Gothic" w:eastAsia="Arial Unicode MS" w:hAnsi="Century Gothic" w:cs="Arial"/>
                <w:b/>
                <w:sz w:val="24"/>
                <w:szCs w:val="24"/>
              </w:rPr>
            </w:pPr>
          </w:p>
        </w:tc>
      </w:tr>
      <w:tr w:rsidR="00D84AAC" w:rsidRPr="00947482" w14:paraId="600164AD" w14:textId="77777777" w:rsidTr="005957A3">
        <w:tc>
          <w:tcPr>
            <w:tcW w:w="4411" w:type="dxa"/>
          </w:tcPr>
          <w:p w14:paraId="02F19E8B" w14:textId="77777777" w:rsidR="00D84AAC" w:rsidRPr="00947482" w:rsidRDefault="00D84AAC" w:rsidP="00974C9A">
            <w:pPr>
              <w:pStyle w:val="Sinespaciado"/>
              <w:spacing w:line="276" w:lineRule="auto"/>
              <w:rPr>
                <w:rFonts w:ascii="Century Gothic" w:eastAsia="Arial Unicode MS" w:hAnsi="Century Gothic" w:cs="Arial"/>
                <w:b/>
                <w:sz w:val="24"/>
                <w:szCs w:val="24"/>
              </w:rPr>
            </w:pPr>
          </w:p>
          <w:p w14:paraId="0A5BDF5D" w14:textId="77777777" w:rsidR="00D84AAC" w:rsidRPr="00947482" w:rsidRDefault="00D84AAC" w:rsidP="005957A3">
            <w:pPr>
              <w:pStyle w:val="Sinespaciado"/>
              <w:spacing w:line="276" w:lineRule="auto"/>
              <w:ind w:hanging="9"/>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Alejandro Arias Ávila</w:t>
            </w:r>
          </w:p>
          <w:p w14:paraId="0194B45B"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Secretario</w:t>
            </w:r>
          </w:p>
          <w:p w14:paraId="2C6F6E3D" w14:textId="77777777" w:rsidR="00D84AAC" w:rsidRPr="00947482" w:rsidRDefault="00D84AAC" w:rsidP="005957A3">
            <w:pPr>
              <w:pStyle w:val="Sinespaciado"/>
              <w:spacing w:line="276" w:lineRule="auto"/>
              <w:rPr>
                <w:rFonts w:ascii="Century Gothic" w:eastAsia="Arial Unicode MS" w:hAnsi="Century Gothic" w:cs="Arial"/>
                <w:b/>
                <w:sz w:val="24"/>
                <w:szCs w:val="24"/>
              </w:rPr>
            </w:pPr>
          </w:p>
          <w:p w14:paraId="49E4F3B3"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p>
          <w:p w14:paraId="6F65F630"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Víctor Manuel Zanella Huerta</w:t>
            </w:r>
          </w:p>
          <w:p w14:paraId="35A27950"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Vocal</w:t>
            </w:r>
          </w:p>
        </w:tc>
        <w:tc>
          <w:tcPr>
            <w:tcW w:w="4427" w:type="dxa"/>
          </w:tcPr>
          <w:p w14:paraId="77EB0517" w14:textId="77777777" w:rsidR="00D84AAC" w:rsidRPr="00947482" w:rsidRDefault="00D84AAC" w:rsidP="00974C9A">
            <w:pPr>
              <w:pStyle w:val="Sinespaciado"/>
              <w:spacing w:line="276" w:lineRule="auto"/>
              <w:rPr>
                <w:rFonts w:ascii="Century Gothic" w:eastAsia="Arial Unicode MS" w:hAnsi="Century Gothic" w:cs="Arial"/>
                <w:b/>
                <w:sz w:val="24"/>
                <w:szCs w:val="24"/>
              </w:rPr>
            </w:pPr>
          </w:p>
          <w:p w14:paraId="0E2F3746" w14:textId="77777777" w:rsidR="00D84AAC" w:rsidRPr="00947482" w:rsidRDefault="00D84AAC" w:rsidP="005957A3">
            <w:pPr>
              <w:pStyle w:val="Sinespaciado"/>
              <w:spacing w:line="276" w:lineRule="auto"/>
              <w:ind w:hanging="9"/>
              <w:jc w:val="center"/>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Janet Melanie Murillo Chávez Vocal</w:t>
            </w:r>
          </w:p>
          <w:p w14:paraId="44682BE8" w14:textId="77777777" w:rsidR="00D84AAC" w:rsidRPr="00947482" w:rsidRDefault="00D84AAC" w:rsidP="005957A3">
            <w:pPr>
              <w:pStyle w:val="Sinespaciado"/>
              <w:spacing w:line="276" w:lineRule="auto"/>
              <w:ind w:hanging="9"/>
              <w:jc w:val="center"/>
              <w:rPr>
                <w:rFonts w:ascii="Century Gothic" w:eastAsia="Arial Unicode MS" w:hAnsi="Century Gothic" w:cs="Arial"/>
                <w:b/>
                <w:sz w:val="24"/>
                <w:szCs w:val="24"/>
              </w:rPr>
            </w:pPr>
          </w:p>
          <w:p w14:paraId="3E214E08" w14:textId="77777777" w:rsidR="00D84AAC" w:rsidRPr="00947482" w:rsidRDefault="00D84AAC" w:rsidP="005957A3">
            <w:pPr>
              <w:pStyle w:val="Sinespaciado"/>
              <w:spacing w:line="276" w:lineRule="auto"/>
              <w:rPr>
                <w:rFonts w:ascii="Century Gothic" w:eastAsia="Arial Unicode MS" w:hAnsi="Century Gothic" w:cs="Arial"/>
                <w:b/>
                <w:sz w:val="24"/>
                <w:szCs w:val="24"/>
              </w:rPr>
            </w:pPr>
          </w:p>
          <w:p w14:paraId="1EBB5735" w14:textId="77777777" w:rsidR="00D84AAC" w:rsidRPr="00947482" w:rsidRDefault="00D84AAC" w:rsidP="005957A3">
            <w:pPr>
              <w:pStyle w:val="Sinespaciado"/>
              <w:spacing w:line="276" w:lineRule="auto"/>
              <w:rPr>
                <w:rFonts w:ascii="Century Gothic" w:eastAsia="Arial Unicode MS" w:hAnsi="Century Gothic" w:cs="Arial"/>
                <w:b/>
                <w:sz w:val="24"/>
                <w:szCs w:val="24"/>
              </w:rPr>
            </w:pPr>
            <w:proofErr w:type="spellStart"/>
            <w:r w:rsidRPr="00947482">
              <w:rPr>
                <w:rFonts w:ascii="Century Gothic" w:eastAsia="Arial Unicode MS" w:hAnsi="Century Gothic" w:cs="Arial"/>
                <w:b/>
                <w:sz w:val="24"/>
                <w:szCs w:val="24"/>
              </w:rPr>
              <w:t>Dip</w:t>
            </w:r>
            <w:proofErr w:type="spellEnd"/>
            <w:r w:rsidRPr="00947482">
              <w:rPr>
                <w:rFonts w:ascii="Century Gothic" w:eastAsia="Arial Unicode MS" w:hAnsi="Century Gothic" w:cs="Arial"/>
                <w:b/>
                <w:sz w:val="24"/>
                <w:szCs w:val="24"/>
              </w:rPr>
              <w:t>. Martha Edith Moreno Valencia</w:t>
            </w:r>
          </w:p>
          <w:p w14:paraId="140D5EFA" w14:textId="77777777" w:rsidR="00D84AAC" w:rsidRPr="00947482" w:rsidRDefault="00D84AAC" w:rsidP="005957A3">
            <w:pPr>
              <w:pStyle w:val="Sinespaciado"/>
              <w:spacing w:line="276" w:lineRule="auto"/>
              <w:jc w:val="center"/>
              <w:rPr>
                <w:rFonts w:ascii="Century Gothic" w:eastAsia="Arial Unicode MS" w:hAnsi="Century Gothic" w:cs="Arial"/>
                <w:b/>
                <w:sz w:val="24"/>
                <w:szCs w:val="24"/>
              </w:rPr>
            </w:pPr>
            <w:r w:rsidRPr="00947482">
              <w:rPr>
                <w:rFonts w:ascii="Century Gothic" w:eastAsia="Arial Unicode MS" w:hAnsi="Century Gothic" w:cs="Arial"/>
                <w:b/>
                <w:sz w:val="24"/>
                <w:szCs w:val="24"/>
              </w:rPr>
              <w:t>Vocal</w:t>
            </w:r>
          </w:p>
        </w:tc>
      </w:tr>
    </w:tbl>
    <w:p w14:paraId="4A15375A" w14:textId="28D129CF" w:rsidR="001764D8" w:rsidRPr="00947482" w:rsidRDefault="001764D8" w:rsidP="007A549A">
      <w:pPr>
        <w:spacing w:line="276" w:lineRule="auto"/>
        <w:jc w:val="both"/>
        <w:rPr>
          <w:rFonts w:ascii="Century Gothic" w:hAnsi="Century Gothic" w:cs="Arial"/>
          <w:b/>
          <w:bCs/>
        </w:rPr>
      </w:pPr>
    </w:p>
    <w:sectPr w:rsidR="001764D8" w:rsidRPr="00947482" w:rsidSect="005641B6">
      <w:headerReference w:type="default" r:id="rId8"/>
      <w:footerReference w:type="default" r:id="rId9"/>
      <w:pgSz w:w="12240" w:h="15840"/>
      <w:pgMar w:top="2977" w:right="1701" w:bottom="1417"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B7918" w14:textId="77777777" w:rsidR="00034A68" w:rsidRDefault="00034A68" w:rsidP="008157F5">
      <w:r>
        <w:separator/>
      </w:r>
    </w:p>
  </w:endnote>
  <w:endnote w:type="continuationSeparator" w:id="0">
    <w:p w14:paraId="2587E7B9" w14:textId="77777777" w:rsidR="00034A68" w:rsidRDefault="00034A68"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3CFFD" w14:textId="77777777" w:rsidR="00034A68" w:rsidRDefault="00034A68" w:rsidP="008157F5">
      <w:r>
        <w:separator/>
      </w:r>
    </w:p>
  </w:footnote>
  <w:footnote w:type="continuationSeparator" w:id="0">
    <w:p w14:paraId="5FE09823" w14:textId="77777777" w:rsidR="00034A68" w:rsidRDefault="00034A68" w:rsidP="0081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E405" w14:textId="5B68C307" w:rsidR="00C55A4F" w:rsidRDefault="008157F5" w:rsidP="005641B6">
    <w:pPr>
      <w:jc w:val="center"/>
      <w:rPr>
        <w:b/>
        <w:bCs/>
        <w:i/>
        <w:iCs/>
        <w:sz w:val="14"/>
        <w:szCs w:val="14"/>
        <w:lang w:val="es-ES"/>
      </w:rPr>
    </w:pPr>
    <w:r>
      <w:rPr>
        <w:noProof/>
      </w:rPr>
      <w:drawing>
        <wp:anchor distT="0" distB="0" distL="114300" distR="114300" simplePos="0" relativeHeight="251658240" behindDoc="0" locked="0" layoutInCell="1" allowOverlap="1" wp14:anchorId="0CC2D033" wp14:editId="1E611AD1">
          <wp:simplePos x="0" y="0"/>
          <wp:positionH relativeFrom="margin">
            <wp:align>left</wp:align>
          </wp:positionH>
          <wp:positionV relativeFrom="paragraph">
            <wp:posOffset>15903</wp:posOffset>
          </wp:positionV>
          <wp:extent cx="1307432" cy="1265705"/>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07432" cy="1265705"/>
                  </a:xfrm>
                  <a:prstGeom prst="rect">
                    <a:avLst/>
                  </a:prstGeom>
                </pic:spPr>
              </pic:pic>
            </a:graphicData>
          </a:graphic>
        </wp:anchor>
      </w:drawing>
    </w:r>
  </w:p>
  <w:p w14:paraId="50326D0F" w14:textId="5D0ED788" w:rsidR="008157F5" w:rsidRDefault="005641B6" w:rsidP="008157F5">
    <w:pPr>
      <w:pStyle w:val="Encabezado"/>
      <w:ind w:left="-1134"/>
    </w:pPr>
    <w:r>
      <w:rPr>
        <w:noProof/>
      </w:rPr>
      <mc:AlternateContent>
        <mc:Choice Requires="wps">
          <w:drawing>
            <wp:anchor distT="45720" distB="45720" distL="114300" distR="114300" simplePos="0" relativeHeight="251660288" behindDoc="0" locked="0" layoutInCell="1" allowOverlap="1" wp14:anchorId="761278CA" wp14:editId="1D6F5D24">
              <wp:simplePos x="0" y="0"/>
              <wp:positionH relativeFrom="margin">
                <wp:align>right</wp:align>
              </wp:positionH>
              <wp:positionV relativeFrom="paragraph">
                <wp:posOffset>472081</wp:posOffset>
              </wp:positionV>
              <wp:extent cx="4150360" cy="34925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349250"/>
                      </a:xfrm>
                      <a:prstGeom prst="rect">
                        <a:avLst/>
                      </a:prstGeom>
                      <a:noFill/>
                      <a:ln w="9525">
                        <a:noFill/>
                        <a:miter lim="800000"/>
                        <a:headEnd/>
                        <a:tailEnd/>
                      </a:ln>
                    </wps:spPr>
                    <wps:txbx>
                      <w:txbxContent>
                        <w:p w14:paraId="101FED20" w14:textId="77777777" w:rsidR="005641B6" w:rsidRPr="00C20C18" w:rsidRDefault="005641B6" w:rsidP="005641B6">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33D89FBF" w14:textId="77777777" w:rsidR="005641B6" w:rsidRPr="00C20C18" w:rsidRDefault="005641B6" w:rsidP="005641B6">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278CA" id="_x0000_t202" coordsize="21600,21600" o:spt="202" path="m,l,21600r21600,l21600,xe">
              <v:stroke joinstyle="miter"/>
              <v:path gradientshapeok="t" o:connecttype="rect"/>
            </v:shapetype>
            <v:shape id="Cuadro de texto 2" o:spid="_x0000_s1026" type="#_x0000_t202" style="position:absolute;left:0;text-align:left;margin-left:275.6pt;margin-top:37.15pt;width:326.8pt;height:27.5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t9+gEAAM0DAAAOAAAAZHJzL2Uyb0RvYy54bWysU8tu2zAQvBfoPxC815IdO40Fy0Ga1EWB&#10;9AGk/QCaoiyiJJfl0pbcr++SchyjvRXVgVhqydmd2eHqdrCGHVRADa7m00nJmXISGu12Nf/+bfPm&#10;hjOMwjXCgFM1Pyrkt+vXr1a9r9QMOjCNCoxAHFa9r3kXo6+KAmWnrMAJeOUo2UKwItI27IomiJ7Q&#10;rSlmZXld9BAaH0AqRPr7MCb5OuO3rZLxS9uiiszUnHqLeQ153aa1WK9EtQvCd1qe2hD/0IUV2lHR&#10;M9SDiILtg/4LymoZAKGNEwm2gLbVUmUOxGZa/sHmqRNeZS4kDvqzTPj/YOXnw5P/Glgc3sFAA8wk&#10;0D+C/IHMwX0n3E7dhQB9p0RDhadJsqL3WJ2uJqmxwgSy7T9BQ0MW+wgZaGiDTaoQT0boNIDjWXQ1&#10;RCbp53y6KK+uKSUpdzVfzhZ5KoWonm/7gPGDAstSUPNAQ83o4vCIMXUjqucjqZiDjTYmD9Y41td8&#10;uZgt8oWLjNWRfGe0rflNmb7RCYnke9fky1FoM8ZUwLgT60R0pByH7UAHE/stNEfiH2D0F70HCjoI&#10;vzjryVs1x597ERRn5qMjDZfT+TyZMW/mi7cz2oTLzPYyI5wkqJpHzsbwPmYDJ67o70jrjc4yvHRy&#10;6pU8k9U5+TuZ8nKfT728wvVvAAAA//8DAFBLAwQUAAYACAAAACEAofb+QtwAAAAHAQAADwAAAGRy&#10;cy9kb3ducmV2LnhtbEyPwU7DMBBE70j8g7VI3KhDAimEOFWF2nIslIizGy9JRLyObDcNf89yguNo&#10;RjNvytVsBzGhD70jBbeLBARS40xPrYL6fXvzACJETUYPjlDBNwZYVZcXpS6MO9MbTofYCi6hUGgF&#10;XYxjIWVoOrQ6LNyIxN6n81ZHlr6Vxuszl9tBpkmSS6t74oVOj/jcYfN1OFkFYxx3yxe/f11vtlNS&#10;f+zqtG83Sl1fzesnEBHn+BeGX3xGh4qZju5EJohBAR+JCpZ3GQh28/ssB3HkWPqYgaxK+Z+/+gEA&#10;AP//AwBQSwECLQAUAAYACAAAACEAtoM4kv4AAADhAQAAEwAAAAAAAAAAAAAAAAAAAAAAW0NvbnRl&#10;bnRfVHlwZXNdLnhtbFBLAQItABQABgAIAAAAIQA4/SH/1gAAAJQBAAALAAAAAAAAAAAAAAAAAC8B&#10;AABfcmVscy8ucmVsc1BLAQItABQABgAIAAAAIQD8gCt9+gEAAM0DAAAOAAAAAAAAAAAAAAAAAC4C&#10;AABkcnMvZTJvRG9jLnhtbFBLAQItABQABgAIAAAAIQCh9v5C3AAAAAcBAAAPAAAAAAAAAAAAAAAA&#10;AFQEAABkcnMvZG93bnJldi54bWxQSwUGAAAAAAQABADzAAAAXQUAAAAA&#10;" filled="f" stroked="f">
              <v:textbox style="mso-fit-shape-to-text:t">
                <w:txbxContent>
                  <w:p w14:paraId="101FED20" w14:textId="77777777" w:rsidR="005641B6" w:rsidRPr="00C20C18" w:rsidRDefault="005641B6" w:rsidP="005641B6">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33D89FBF" w14:textId="77777777" w:rsidR="005641B6" w:rsidRPr="00C20C18" w:rsidRDefault="005641B6" w:rsidP="005641B6">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E6F"/>
    <w:multiLevelType w:val="multilevel"/>
    <w:tmpl w:val="026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20726D77"/>
    <w:multiLevelType w:val="hybridMultilevel"/>
    <w:tmpl w:val="2A72E1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B10509"/>
    <w:multiLevelType w:val="multilevel"/>
    <w:tmpl w:val="B452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5" w15:restartNumberingAfterBreak="0">
    <w:nsid w:val="51543DFA"/>
    <w:multiLevelType w:val="hybridMultilevel"/>
    <w:tmpl w:val="C8448406"/>
    <w:lvl w:ilvl="0" w:tplc="7CA2B656">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4FCCF28">
      <w:start w:val="1"/>
      <w:numFmt w:val="lowerLetter"/>
      <w:lvlText w:val="%2"/>
      <w:lvlJc w:val="left"/>
      <w:pPr>
        <w:ind w:left="12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C5D05330">
      <w:start w:val="1"/>
      <w:numFmt w:val="lowerRoman"/>
      <w:lvlText w:val="%3"/>
      <w:lvlJc w:val="left"/>
      <w:pPr>
        <w:ind w:left="1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6DEC3E0">
      <w:start w:val="1"/>
      <w:numFmt w:val="decimal"/>
      <w:lvlText w:val="%4"/>
      <w:lvlJc w:val="left"/>
      <w:pPr>
        <w:ind w:left="27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58A037E">
      <w:start w:val="1"/>
      <w:numFmt w:val="lowerLetter"/>
      <w:lvlText w:val="%5"/>
      <w:lvlJc w:val="left"/>
      <w:pPr>
        <w:ind w:left="34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3C0B0AE">
      <w:start w:val="1"/>
      <w:numFmt w:val="lowerRoman"/>
      <w:lvlText w:val="%6"/>
      <w:lvlJc w:val="left"/>
      <w:pPr>
        <w:ind w:left="4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7DC4A6A">
      <w:start w:val="1"/>
      <w:numFmt w:val="decimal"/>
      <w:lvlText w:val="%7"/>
      <w:lvlJc w:val="left"/>
      <w:pPr>
        <w:ind w:left="4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5C26A75A">
      <w:start w:val="1"/>
      <w:numFmt w:val="lowerLetter"/>
      <w:lvlText w:val="%8"/>
      <w:lvlJc w:val="left"/>
      <w:pPr>
        <w:ind w:left="5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5665850">
      <w:start w:val="1"/>
      <w:numFmt w:val="lowerRoman"/>
      <w:lvlText w:val="%9"/>
      <w:lvlJc w:val="left"/>
      <w:pPr>
        <w:ind w:left="6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D3A25D3"/>
    <w:multiLevelType w:val="hybridMultilevel"/>
    <w:tmpl w:val="825806F4"/>
    <w:lvl w:ilvl="0" w:tplc="11625C70">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C740624E">
      <w:start w:val="1"/>
      <w:numFmt w:val="lowerLetter"/>
      <w:lvlText w:val="%2"/>
      <w:lvlJc w:val="left"/>
      <w:pPr>
        <w:ind w:left="12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3C0D15E">
      <w:start w:val="1"/>
      <w:numFmt w:val="lowerRoman"/>
      <w:lvlText w:val="%3"/>
      <w:lvlJc w:val="left"/>
      <w:pPr>
        <w:ind w:left="19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D14E128">
      <w:start w:val="1"/>
      <w:numFmt w:val="decimal"/>
      <w:lvlText w:val="%4"/>
      <w:lvlJc w:val="left"/>
      <w:pPr>
        <w:ind w:left="27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FCE4076">
      <w:start w:val="1"/>
      <w:numFmt w:val="lowerLetter"/>
      <w:lvlText w:val="%5"/>
      <w:lvlJc w:val="left"/>
      <w:pPr>
        <w:ind w:left="34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5622DDE">
      <w:start w:val="1"/>
      <w:numFmt w:val="lowerRoman"/>
      <w:lvlText w:val="%6"/>
      <w:lvlJc w:val="left"/>
      <w:pPr>
        <w:ind w:left="41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78C8062">
      <w:start w:val="1"/>
      <w:numFmt w:val="decimal"/>
      <w:lvlText w:val="%7"/>
      <w:lvlJc w:val="left"/>
      <w:pPr>
        <w:ind w:left="48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D08ADD46">
      <w:start w:val="1"/>
      <w:numFmt w:val="lowerLetter"/>
      <w:lvlText w:val="%8"/>
      <w:lvlJc w:val="left"/>
      <w:pPr>
        <w:ind w:left="55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42CE14">
      <w:start w:val="1"/>
      <w:numFmt w:val="lowerRoman"/>
      <w:lvlText w:val="%9"/>
      <w:lvlJc w:val="left"/>
      <w:pPr>
        <w:ind w:left="63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65310624">
    <w:abstractNumId w:val="8"/>
  </w:num>
  <w:num w:numId="2" w16cid:durableId="1052388910">
    <w:abstractNumId w:val="9"/>
  </w:num>
  <w:num w:numId="3" w16cid:durableId="673604408">
    <w:abstractNumId w:val="6"/>
  </w:num>
  <w:num w:numId="4" w16cid:durableId="2049336500">
    <w:abstractNumId w:val="11"/>
  </w:num>
  <w:num w:numId="5" w16cid:durableId="1577980060">
    <w:abstractNumId w:val="7"/>
  </w:num>
  <w:num w:numId="6" w16cid:durableId="1571693393">
    <w:abstractNumId w:val="4"/>
  </w:num>
  <w:num w:numId="7" w16cid:durableId="249854163">
    <w:abstractNumId w:val="1"/>
  </w:num>
  <w:num w:numId="8" w16cid:durableId="1572228941">
    <w:abstractNumId w:val="2"/>
  </w:num>
  <w:num w:numId="9" w16cid:durableId="227496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8247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025546">
    <w:abstractNumId w:val="3"/>
  </w:num>
  <w:num w:numId="12" w16cid:durableId="35003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05A2"/>
    <w:rsid w:val="00001054"/>
    <w:rsid w:val="00002098"/>
    <w:rsid w:val="00005FD0"/>
    <w:rsid w:val="00023E22"/>
    <w:rsid w:val="00032554"/>
    <w:rsid w:val="00032A9C"/>
    <w:rsid w:val="00034A68"/>
    <w:rsid w:val="000467AA"/>
    <w:rsid w:val="00063ABF"/>
    <w:rsid w:val="00073468"/>
    <w:rsid w:val="000750B0"/>
    <w:rsid w:val="00075973"/>
    <w:rsid w:val="0008001E"/>
    <w:rsid w:val="00082D29"/>
    <w:rsid w:val="00090202"/>
    <w:rsid w:val="000906DF"/>
    <w:rsid w:val="000C3E28"/>
    <w:rsid w:val="000D199B"/>
    <w:rsid w:val="000D1D8B"/>
    <w:rsid w:val="000D76C8"/>
    <w:rsid w:val="000E06CC"/>
    <w:rsid w:val="000E602C"/>
    <w:rsid w:val="00115073"/>
    <w:rsid w:val="00116F63"/>
    <w:rsid w:val="00120F19"/>
    <w:rsid w:val="00123093"/>
    <w:rsid w:val="00126223"/>
    <w:rsid w:val="001477F2"/>
    <w:rsid w:val="00151C02"/>
    <w:rsid w:val="001712A8"/>
    <w:rsid w:val="00171965"/>
    <w:rsid w:val="00174778"/>
    <w:rsid w:val="001764D8"/>
    <w:rsid w:val="00190943"/>
    <w:rsid w:val="001D78F0"/>
    <w:rsid w:val="001E23FE"/>
    <w:rsid w:val="001E379A"/>
    <w:rsid w:val="001E65D6"/>
    <w:rsid w:val="001F4C3F"/>
    <w:rsid w:val="0020154B"/>
    <w:rsid w:val="002137D9"/>
    <w:rsid w:val="00214E88"/>
    <w:rsid w:val="0023628B"/>
    <w:rsid w:val="00236A92"/>
    <w:rsid w:val="002638AE"/>
    <w:rsid w:val="00267561"/>
    <w:rsid w:val="002707EE"/>
    <w:rsid w:val="002A60DC"/>
    <w:rsid w:val="002A7502"/>
    <w:rsid w:val="002B599E"/>
    <w:rsid w:val="002B6F5A"/>
    <w:rsid w:val="002C1749"/>
    <w:rsid w:val="002D6684"/>
    <w:rsid w:val="002E0209"/>
    <w:rsid w:val="002E0A1A"/>
    <w:rsid w:val="003116E3"/>
    <w:rsid w:val="003223DE"/>
    <w:rsid w:val="00327BB0"/>
    <w:rsid w:val="0033688B"/>
    <w:rsid w:val="00337CFE"/>
    <w:rsid w:val="0034384C"/>
    <w:rsid w:val="0037048F"/>
    <w:rsid w:val="00373791"/>
    <w:rsid w:val="00386433"/>
    <w:rsid w:val="003A0257"/>
    <w:rsid w:val="003A186F"/>
    <w:rsid w:val="003A6B71"/>
    <w:rsid w:val="003B41B4"/>
    <w:rsid w:val="003C1D35"/>
    <w:rsid w:val="003C233C"/>
    <w:rsid w:val="003F6A69"/>
    <w:rsid w:val="00403813"/>
    <w:rsid w:val="00403E53"/>
    <w:rsid w:val="004147F8"/>
    <w:rsid w:val="004162EA"/>
    <w:rsid w:val="004239CD"/>
    <w:rsid w:val="004303D2"/>
    <w:rsid w:val="00444326"/>
    <w:rsid w:val="004549B1"/>
    <w:rsid w:val="00454FCC"/>
    <w:rsid w:val="0046552F"/>
    <w:rsid w:val="0047270E"/>
    <w:rsid w:val="00492AAC"/>
    <w:rsid w:val="00494304"/>
    <w:rsid w:val="00495F66"/>
    <w:rsid w:val="004E24CE"/>
    <w:rsid w:val="004E74BC"/>
    <w:rsid w:val="00512CD4"/>
    <w:rsid w:val="00516652"/>
    <w:rsid w:val="00516A17"/>
    <w:rsid w:val="00525D9E"/>
    <w:rsid w:val="005346CF"/>
    <w:rsid w:val="00535404"/>
    <w:rsid w:val="00542C8F"/>
    <w:rsid w:val="0054559D"/>
    <w:rsid w:val="005521CA"/>
    <w:rsid w:val="00554523"/>
    <w:rsid w:val="00557B8E"/>
    <w:rsid w:val="005641B6"/>
    <w:rsid w:val="0057192C"/>
    <w:rsid w:val="00575506"/>
    <w:rsid w:val="00575E10"/>
    <w:rsid w:val="0058123F"/>
    <w:rsid w:val="005815F8"/>
    <w:rsid w:val="00581795"/>
    <w:rsid w:val="005864EB"/>
    <w:rsid w:val="00592EFC"/>
    <w:rsid w:val="00593C69"/>
    <w:rsid w:val="005B100B"/>
    <w:rsid w:val="005C2E2A"/>
    <w:rsid w:val="005D4388"/>
    <w:rsid w:val="005F2F4C"/>
    <w:rsid w:val="005F4FE7"/>
    <w:rsid w:val="005F53DB"/>
    <w:rsid w:val="00600183"/>
    <w:rsid w:val="00625FFD"/>
    <w:rsid w:val="00632DCA"/>
    <w:rsid w:val="006368F4"/>
    <w:rsid w:val="006A0695"/>
    <w:rsid w:val="006A43F2"/>
    <w:rsid w:val="006B169E"/>
    <w:rsid w:val="006C01F7"/>
    <w:rsid w:val="006C352B"/>
    <w:rsid w:val="006D67BC"/>
    <w:rsid w:val="00701785"/>
    <w:rsid w:val="00702700"/>
    <w:rsid w:val="007149B0"/>
    <w:rsid w:val="00715548"/>
    <w:rsid w:val="00721BD9"/>
    <w:rsid w:val="00722925"/>
    <w:rsid w:val="007328E1"/>
    <w:rsid w:val="007A549A"/>
    <w:rsid w:val="007B0743"/>
    <w:rsid w:val="007C1A38"/>
    <w:rsid w:val="007C428E"/>
    <w:rsid w:val="00800B3B"/>
    <w:rsid w:val="00801FC0"/>
    <w:rsid w:val="00814A3C"/>
    <w:rsid w:val="00815524"/>
    <w:rsid w:val="008157F5"/>
    <w:rsid w:val="00817AED"/>
    <w:rsid w:val="00824F0E"/>
    <w:rsid w:val="00852A81"/>
    <w:rsid w:val="0086271D"/>
    <w:rsid w:val="008908AA"/>
    <w:rsid w:val="008A0042"/>
    <w:rsid w:val="008A1707"/>
    <w:rsid w:val="008B07E6"/>
    <w:rsid w:val="008B7357"/>
    <w:rsid w:val="008C54C0"/>
    <w:rsid w:val="008C5FF1"/>
    <w:rsid w:val="008D5196"/>
    <w:rsid w:val="008F0524"/>
    <w:rsid w:val="008F12C6"/>
    <w:rsid w:val="008F2462"/>
    <w:rsid w:val="00925C2A"/>
    <w:rsid w:val="009339DD"/>
    <w:rsid w:val="00937211"/>
    <w:rsid w:val="00947482"/>
    <w:rsid w:val="00954270"/>
    <w:rsid w:val="0095470A"/>
    <w:rsid w:val="009646EB"/>
    <w:rsid w:val="00972967"/>
    <w:rsid w:val="0097476C"/>
    <w:rsid w:val="00974C9A"/>
    <w:rsid w:val="0099093C"/>
    <w:rsid w:val="009B2515"/>
    <w:rsid w:val="009B582B"/>
    <w:rsid w:val="009C194C"/>
    <w:rsid w:val="009E282D"/>
    <w:rsid w:val="009F1772"/>
    <w:rsid w:val="00A1343D"/>
    <w:rsid w:val="00A21694"/>
    <w:rsid w:val="00A24710"/>
    <w:rsid w:val="00A50A29"/>
    <w:rsid w:val="00A521B2"/>
    <w:rsid w:val="00A7578A"/>
    <w:rsid w:val="00A77FAD"/>
    <w:rsid w:val="00A858D5"/>
    <w:rsid w:val="00A96752"/>
    <w:rsid w:val="00A9719E"/>
    <w:rsid w:val="00A97ECA"/>
    <w:rsid w:val="00AA6092"/>
    <w:rsid w:val="00AC40F4"/>
    <w:rsid w:val="00AD129B"/>
    <w:rsid w:val="00AD51F2"/>
    <w:rsid w:val="00AE0C09"/>
    <w:rsid w:val="00AF2199"/>
    <w:rsid w:val="00B0237A"/>
    <w:rsid w:val="00B3692B"/>
    <w:rsid w:val="00B52B4F"/>
    <w:rsid w:val="00B534C6"/>
    <w:rsid w:val="00B66D8E"/>
    <w:rsid w:val="00B723B7"/>
    <w:rsid w:val="00B7491D"/>
    <w:rsid w:val="00B777C4"/>
    <w:rsid w:val="00B84D37"/>
    <w:rsid w:val="00B91E3C"/>
    <w:rsid w:val="00BD460A"/>
    <w:rsid w:val="00BE3AD2"/>
    <w:rsid w:val="00BE7599"/>
    <w:rsid w:val="00BF5436"/>
    <w:rsid w:val="00C01EAC"/>
    <w:rsid w:val="00C12240"/>
    <w:rsid w:val="00C43EE6"/>
    <w:rsid w:val="00C53926"/>
    <w:rsid w:val="00C55A4F"/>
    <w:rsid w:val="00C601D1"/>
    <w:rsid w:val="00C6274D"/>
    <w:rsid w:val="00C73393"/>
    <w:rsid w:val="00C75348"/>
    <w:rsid w:val="00C821B2"/>
    <w:rsid w:val="00CA1085"/>
    <w:rsid w:val="00CA6634"/>
    <w:rsid w:val="00CB10CC"/>
    <w:rsid w:val="00CB1E9C"/>
    <w:rsid w:val="00CB3A61"/>
    <w:rsid w:val="00CC2C77"/>
    <w:rsid w:val="00CE7355"/>
    <w:rsid w:val="00D03950"/>
    <w:rsid w:val="00D117E4"/>
    <w:rsid w:val="00D3318D"/>
    <w:rsid w:val="00D61C81"/>
    <w:rsid w:val="00D72DF3"/>
    <w:rsid w:val="00D84AAC"/>
    <w:rsid w:val="00D84EE1"/>
    <w:rsid w:val="00D872B5"/>
    <w:rsid w:val="00D9083B"/>
    <w:rsid w:val="00D91076"/>
    <w:rsid w:val="00D91591"/>
    <w:rsid w:val="00DA117E"/>
    <w:rsid w:val="00DA1AC1"/>
    <w:rsid w:val="00DA318B"/>
    <w:rsid w:val="00DB0641"/>
    <w:rsid w:val="00DB3F6B"/>
    <w:rsid w:val="00DB5ACE"/>
    <w:rsid w:val="00DC04A9"/>
    <w:rsid w:val="00DC0C4E"/>
    <w:rsid w:val="00DC50C5"/>
    <w:rsid w:val="00DC7F98"/>
    <w:rsid w:val="00E2749A"/>
    <w:rsid w:val="00E61F88"/>
    <w:rsid w:val="00E65972"/>
    <w:rsid w:val="00E8494B"/>
    <w:rsid w:val="00E85AB8"/>
    <w:rsid w:val="00E95643"/>
    <w:rsid w:val="00EA50A7"/>
    <w:rsid w:val="00EA652D"/>
    <w:rsid w:val="00EE03B7"/>
    <w:rsid w:val="00F03ACA"/>
    <w:rsid w:val="00F12B1D"/>
    <w:rsid w:val="00F25623"/>
    <w:rsid w:val="00F307BF"/>
    <w:rsid w:val="00F466CF"/>
    <w:rsid w:val="00F622F9"/>
    <w:rsid w:val="00F801E0"/>
    <w:rsid w:val="00F82996"/>
    <w:rsid w:val="00F861FC"/>
    <w:rsid w:val="00F9759F"/>
    <w:rsid w:val="00FB0FFB"/>
    <w:rsid w:val="00FB649B"/>
    <w:rsid w:val="00FD4654"/>
    <w:rsid w:val="00FD6237"/>
    <w:rsid w:val="00FD74E8"/>
    <w:rsid w:val="00FE0E81"/>
    <w:rsid w:val="03A1CDB0"/>
    <w:rsid w:val="04DB83B1"/>
    <w:rsid w:val="054AC033"/>
    <w:rsid w:val="06775412"/>
    <w:rsid w:val="15316D76"/>
    <w:rsid w:val="162E5C71"/>
    <w:rsid w:val="162EBB23"/>
    <w:rsid w:val="1704A1E4"/>
    <w:rsid w:val="17813ACF"/>
    <w:rsid w:val="18C1DA4C"/>
    <w:rsid w:val="1DF07C53"/>
    <w:rsid w:val="1E5BE4FF"/>
    <w:rsid w:val="210EF4B8"/>
    <w:rsid w:val="235C7F85"/>
    <w:rsid w:val="27E83E22"/>
    <w:rsid w:val="2CCB8266"/>
    <w:rsid w:val="2FFB369D"/>
    <w:rsid w:val="3230DF7A"/>
    <w:rsid w:val="34CEA7C0"/>
    <w:rsid w:val="35B98703"/>
    <w:rsid w:val="379E0704"/>
    <w:rsid w:val="39ED9B97"/>
    <w:rsid w:val="3A84A6F4"/>
    <w:rsid w:val="3BC99C8F"/>
    <w:rsid w:val="3C207755"/>
    <w:rsid w:val="3C39AA4A"/>
    <w:rsid w:val="3E597F5A"/>
    <w:rsid w:val="3FB50183"/>
    <w:rsid w:val="407A0681"/>
    <w:rsid w:val="40E56F2D"/>
    <w:rsid w:val="4182EFCD"/>
    <w:rsid w:val="42063B35"/>
    <w:rsid w:val="45135CA3"/>
    <w:rsid w:val="484AFD65"/>
    <w:rsid w:val="48EF204C"/>
    <w:rsid w:val="4928F1FA"/>
    <w:rsid w:val="4D55C10D"/>
    <w:rsid w:val="4E7FAE85"/>
    <w:rsid w:val="51480BD5"/>
    <w:rsid w:val="56BC78B1"/>
    <w:rsid w:val="57504B58"/>
    <w:rsid w:val="5781345C"/>
    <w:rsid w:val="5EB34FCF"/>
    <w:rsid w:val="5EF942DD"/>
    <w:rsid w:val="61FAD53A"/>
    <w:rsid w:val="6396623D"/>
    <w:rsid w:val="643661D7"/>
    <w:rsid w:val="64C831A8"/>
    <w:rsid w:val="6776433E"/>
    <w:rsid w:val="68D4140C"/>
    <w:rsid w:val="6C49B461"/>
    <w:rsid w:val="6FB3E840"/>
    <w:rsid w:val="73EF51E7"/>
    <w:rsid w:val="786EF519"/>
    <w:rsid w:val="788029FB"/>
    <w:rsid w:val="7B96BBCA"/>
    <w:rsid w:val="7FA4A1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07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next w:val="Normal"/>
    <w:link w:val="Ttulo2Car"/>
    <w:uiPriority w:val="9"/>
    <w:semiHidden/>
    <w:unhideWhenUsed/>
    <w:qFormat/>
    <w:rsid w:val="00F03ACA"/>
    <w:pPr>
      <w:keepNext/>
      <w:keepLines/>
      <w:spacing w:after="711" w:line="256" w:lineRule="auto"/>
      <w:ind w:right="432"/>
      <w:jc w:val="center"/>
      <w:outlineLvl w:val="1"/>
    </w:pPr>
    <w:rPr>
      <w:rFonts w:ascii="Calibri" w:eastAsia="Calibri" w:hAnsi="Calibri" w:cs="Calibri"/>
      <w:color w:val="000000"/>
      <w:sz w:val="40"/>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character" w:customStyle="1" w:styleId="Ttulo2Car">
    <w:name w:val="Título 2 Car"/>
    <w:basedOn w:val="Fuentedeprrafopredeter"/>
    <w:link w:val="Ttulo2"/>
    <w:uiPriority w:val="9"/>
    <w:semiHidden/>
    <w:rsid w:val="00F03ACA"/>
    <w:rPr>
      <w:rFonts w:ascii="Calibri" w:eastAsia="Calibri" w:hAnsi="Calibri" w:cs="Calibri"/>
      <w:color w:val="000000"/>
      <w:sz w:val="40"/>
      <w:szCs w:val="22"/>
      <w:lang w:eastAsia="es-MX"/>
    </w:rPr>
  </w:style>
  <w:style w:type="table" w:customStyle="1" w:styleId="TableGrid">
    <w:name w:val="TableGrid"/>
    <w:rsid w:val="002D6684"/>
    <w:rPr>
      <w:rFonts w:eastAsiaTheme="minorEastAsia"/>
      <w:sz w:val="22"/>
      <w:szCs w:val="22"/>
      <w:lang w:eastAsia="es-MX"/>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2D6684"/>
    <w:rPr>
      <w:rFonts w:ascii="Calibri" w:eastAsia="Calibri" w:hAnsi="Calibri" w:cs="Calibri"/>
      <w:color w:val="000000"/>
      <w:sz w:val="20"/>
    </w:rPr>
  </w:style>
  <w:style w:type="paragraph" w:customStyle="1" w:styleId="footnotedescription">
    <w:name w:val="footnote description"/>
    <w:next w:val="Normal"/>
    <w:link w:val="footnotedescriptionChar"/>
    <w:rsid w:val="002D6684"/>
    <w:pPr>
      <w:spacing w:line="256" w:lineRule="auto"/>
    </w:pPr>
    <w:rPr>
      <w:rFonts w:ascii="Calibri" w:eastAsia="Calibri" w:hAnsi="Calibri" w:cs="Calibri"/>
      <w:color w:val="000000"/>
      <w:sz w:val="20"/>
    </w:rPr>
  </w:style>
  <w:style w:type="character" w:customStyle="1" w:styleId="footnotemark">
    <w:name w:val="footnote mark"/>
    <w:rsid w:val="002D6684"/>
    <w:rPr>
      <w:rFonts w:ascii="Calibri" w:eastAsia="Calibri" w:hAnsi="Calibri" w:cs="Calibri" w:hint="default"/>
      <w:color w:val="000000"/>
      <w:sz w:val="20"/>
      <w:vertAlign w:val="superscript"/>
    </w:rPr>
  </w:style>
  <w:style w:type="character" w:customStyle="1" w:styleId="Ttulo1Car">
    <w:name w:val="Título 1 Car"/>
    <w:basedOn w:val="Fuentedeprrafopredeter"/>
    <w:link w:val="Ttulo1"/>
    <w:uiPriority w:val="9"/>
    <w:rsid w:val="008B07E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5852">
      <w:bodyDiv w:val="1"/>
      <w:marLeft w:val="0"/>
      <w:marRight w:val="0"/>
      <w:marTop w:val="0"/>
      <w:marBottom w:val="0"/>
      <w:divBdr>
        <w:top w:val="none" w:sz="0" w:space="0" w:color="auto"/>
        <w:left w:val="none" w:sz="0" w:space="0" w:color="auto"/>
        <w:bottom w:val="none" w:sz="0" w:space="0" w:color="auto"/>
        <w:right w:val="none" w:sz="0" w:space="0" w:color="auto"/>
      </w:divBdr>
    </w:div>
    <w:div w:id="93792461">
      <w:bodyDiv w:val="1"/>
      <w:marLeft w:val="0"/>
      <w:marRight w:val="0"/>
      <w:marTop w:val="0"/>
      <w:marBottom w:val="0"/>
      <w:divBdr>
        <w:top w:val="none" w:sz="0" w:space="0" w:color="auto"/>
        <w:left w:val="none" w:sz="0" w:space="0" w:color="auto"/>
        <w:bottom w:val="none" w:sz="0" w:space="0" w:color="auto"/>
        <w:right w:val="none" w:sz="0" w:space="0" w:color="auto"/>
      </w:divBdr>
    </w:div>
    <w:div w:id="119687823">
      <w:bodyDiv w:val="1"/>
      <w:marLeft w:val="0"/>
      <w:marRight w:val="0"/>
      <w:marTop w:val="0"/>
      <w:marBottom w:val="0"/>
      <w:divBdr>
        <w:top w:val="none" w:sz="0" w:space="0" w:color="auto"/>
        <w:left w:val="none" w:sz="0" w:space="0" w:color="auto"/>
        <w:bottom w:val="none" w:sz="0" w:space="0" w:color="auto"/>
        <w:right w:val="none" w:sz="0" w:space="0" w:color="auto"/>
      </w:divBdr>
    </w:div>
    <w:div w:id="450784470">
      <w:bodyDiv w:val="1"/>
      <w:marLeft w:val="0"/>
      <w:marRight w:val="0"/>
      <w:marTop w:val="0"/>
      <w:marBottom w:val="0"/>
      <w:divBdr>
        <w:top w:val="none" w:sz="0" w:space="0" w:color="auto"/>
        <w:left w:val="none" w:sz="0" w:space="0" w:color="auto"/>
        <w:bottom w:val="none" w:sz="0" w:space="0" w:color="auto"/>
        <w:right w:val="none" w:sz="0" w:space="0" w:color="auto"/>
      </w:divBdr>
    </w:div>
    <w:div w:id="517238858">
      <w:bodyDiv w:val="1"/>
      <w:marLeft w:val="0"/>
      <w:marRight w:val="0"/>
      <w:marTop w:val="0"/>
      <w:marBottom w:val="0"/>
      <w:divBdr>
        <w:top w:val="none" w:sz="0" w:space="0" w:color="auto"/>
        <w:left w:val="none" w:sz="0" w:space="0" w:color="auto"/>
        <w:bottom w:val="none" w:sz="0" w:space="0" w:color="auto"/>
        <w:right w:val="none" w:sz="0" w:space="0" w:color="auto"/>
      </w:divBdr>
    </w:div>
    <w:div w:id="651835735">
      <w:bodyDiv w:val="1"/>
      <w:marLeft w:val="0"/>
      <w:marRight w:val="0"/>
      <w:marTop w:val="0"/>
      <w:marBottom w:val="0"/>
      <w:divBdr>
        <w:top w:val="none" w:sz="0" w:space="0" w:color="auto"/>
        <w:left w:val="none" w:sz="0" w:space="0" w:color="auto"/>
        <w:bottom w:val="none" w:sz="0" w:space="0" w:color="auto"/>
        <w:right w:val="none" w:sz="0" w:space="0" w:color="auto"/>
      </w:divBdr>
    </w:div>
    <w:div w:id="972901409">
      <w:bodyDiv w:val="1"/>
      <w:marLeft w:val="0"/>
      <w:marRight w:val="0"/>
      <w:marTop w:val="0"/>
      <w:marBottom w:val="0"/>
      <w:divBdr>
        <w:top w:val="none" w:sz="0" w:space="0" w:color="auto"/>
        <w:left w:val="none" w:sz="0" w:space="0" w:color="auto"/>
        <w:bottom w:val="none" w:sz="0" w:space="0" w:color="auto"/>
        <w:right w:val="none" w:sz="0" w:space="0" w:color="auto"/>
      </w:divBdr>
    </w:div>
    <w:div w:id="1037043359">
      <w:bodyDiv w:val="1"/>
      <w:marLeft w:val="0"/>
      <w:marRight w:val="0"/>
      <w:marTop w:val="0"/>
      <w:marBottom w:val="0"/>
      <w:divBdr>
        <w:top w:val="none" w:sz="0" w:space="0" w:color="auto"/>
        <w:left w:val="none" w:sz="0" w:space="0" w:color="auto"/>
        <w:bottom w:val="none" w:sz="0" w:space="0" w:color="auto"/>
        <w:right w:val="none" w:sz="0" w:space="0" w:color="auto"/>
      </w:divBdr>
    </w:div>
    <w:div w:id="1285117719">
      <w:bodyDiv w:val="1"/>
      <w:marLeft w:val="0"/>
      <w:marRight w:val="0"/>
      <w:marTop w:val="0"/>
      <w:marBottom w:val="0"/>
      <w:divBdr>
        <w:top w:val="none" w:sz="0" w:space="0" w:color="auto"/>
        <w:left w:val="none" w:sz="0" w:space="0" w:color="auto"/>
        <w:bottom w:val="none" w:sz="0" w:space="0" w:color="auto"/>
        <w:right w:val="none" w:sz="0" w:space="0" w:color="auto"/>
      </w:divBdr>
    </w:div>
    <w:div w:id="1429424304">
      <w:bodyDiv w:val="1"/>
      <w:marLeft w:val="0"/>
      <w:marRight w:val="0"/>
      <w:marTop w:val="0"/>
      <w:marBottom w:val="0"/>
      <w:divBdr>
        <w:top w:val="none" w:sz="0" w:space="0" w:color="auto"/>
        <w:left w:val="none" w:sz="0" w:space="0" w:color="auto"/>
        <w:bottom w:val="none" w:sz="0" w:space="0" w:color="auto"/>
        <w:right w:val="none" w:sz="0" w:space="0" w:color="auto"/>
      </w:divBdr>
    </w:div>
    <w:div w:id="1452820539">
      <w:bodyDiv w:val="1"/>
      <w:marLeft w:val="0"/>
      <w:marRight w:val="0"/>
      <w:marTop w:val="0"/>
      <w:marBottom w:val="0"/>
      <w:divBdr>
        <w:top w:val="none" w:sz="0" w:space="0" w:color="auto"/>
        <w:left w:val="none" w:sz="0" w:space="0" w:color="auto"/>
        <w:bottom w:val="none" w:sz="0" w:space="0" w:color="auto"/>
        <w:right w:val="none" w:sz="0" w:space="0" w:color="auto"/>
      </w:divBdr>
    </w:div>
    <w:div w:id="1582057949">
      <w:bodyDiv w:val="1"/>
      <w:marLeft w:val="0"/>
      <w:marRight w:val="0"/>
      <w:marTop w:val="0"/>
      <w:marBottom w:val="0"/>
      <w:divBdr>
        <w:top w:val="none" w:sz="0" w:space="0" w:color="auto"/>
        <w:left w:val="none" w:sz="0" w:space="0" w:color="auto"/>
        <w:bottom w:val="none" w:sz="0" w:space="0" w:color="auto"/>
        <w:right w:val="none" w:sz="0" w:space="0" w:color="auto"/>
      </w:divBdr>
    </w:div>
    <w:div w:id="1613636132">
      <w:bodyDiv w:val="1"/>
      <w:marLeft w:val="0"/>
      <w:marRight w:val="0"/>
      <w:marTop w:val="0"/>
      <w:marBottom w:val="0"/>
      <w:divBdr>
        <w:top w:val="none" w:sz="0" w:space="0" w:color="auto"/>
        <w:left w:val="none" w:sz="0" w:space="0" w:color="auto"/>
        <w:bottom w:val="none" w:sz="0" w:space="0" w:color="auto"/>
        <w:right w:val="none" w:sz="0" w:space="0" w:color="auto"/>
      </w:divBdr>
    </w:div>
    <w:div w:id="18719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1887</Words>
  <Characters>10379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4</cp:revision>
  <cp:lastPrinted>2021-08-24T14:38:00Z</cp:lastPrinted>
  <dcterms:created xsi:type="dcterms:W3CDTF">2022-07-19T18:30:00Z</dcterms:created>
  <dcterms:modified xsi:type="dcterms:W3CDTF">2022-07-19T18:31:00Z</dcterms:modified>
</cp:coreProperties>
</file>