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8D8F6" w14:textId="1333C060" w:rsidR="00581795" w:rsidRPr="00D40304" w:rsidRDefault="00581795" w:rsidP="009B04A7">
      <w:pPr>
        <w:spacing w:line="276" w:lineRule="auto"/>
        <w:jc w:val="both"/>
        <w:rPr>
          <w:rFonts w:ascii="Century Gothic" w:hAnsi="Century Gothic" w:cs="Arial"/>
          <w:b/>
        </w:rPr>
      </w:pPr>
      <w:r w:rsidRPr="00D40304">
        <w:rPr>
          <w:rFonts w:ascii="Century Gothic" w:hAnsi="Century Gothic" w:cs="Arial"/>
          <w:b/>
        </w:rPr>
        <w:t>Presiden</w:t>
      </w:r>
      <w:r w:rsidR="009C07D8" w:rsidRPr="00D40304">
        <w:rPr>
          <w:rFonts w:ascii="Century Gothic" w:hAnsi="Century Gothic" w:cs="Arial"/>
          <w:b/>
        </w:rPr>
        <w:t>cia</w:t>
      </w:r>
      <w:r w:rsidRPr="00D40304">
        <w:rPr>
          <w:rFonts w:ascii="Century Gothic" w:hAnsi="Century Gothic" w:cs="Arial"/>
          <w:b/>
        </w:rPr>
        <w:t xml:space="preserve"> del Congreso del Estado</w:t>
      </w:r>
    </w:p>
    <w:p w14:paraId="48683473" w14:textId="77777777" w:rsidR="00581795" w:rsidRPr="00D40304" w:rsidRDefault="00581795" w:rsidP="009B04A7">
      <w:pPr>
        <w:spacing w:line="276" w:lineRule="auto"/>
        <w:jc w:val="both"/>
        <w:rPr>
          <w:rFonts w:ascii="Century Gothic" w:hAnsi="Century Gothic" w:cs="Arial"/>
          <w:b/>
        </w:rPr>
      </w:pPr>
      <w:r w:rsidRPr="00D40304">
        <w:rPr>
          <w:rFonts w:ascii="Century Gothic" w:hAnsi="Century Gothic" w:cs="Arial"/>
          <w:b/>
        </w:rPr>
        <w:t>P r e s e n t e.</w:t>
      </w:r>
    </w:p>
    <w:p w14:paraId="60B10CDF" w14:textId="2CBBC688" w:rsidR="00581795" w:rsidRPr="00D40304" w:rsidRDefault="00581795" w:rsidP="009B04A7">
      <w:pPr>
        <w:spacing w:line="276" w:lineRule="auto"/>
        <w:jc w:val="both"/>
        <w:rPr>
          <w:rFonts w:ascii="Century Gothic" w:hAnsi="Century Gothic" w:cs="Arial"/>
        </w:rPr>
      </w:pPr>
    </w:p>
    <w:p w14:paraId="3ABC2A38" w14:textId="77777777" w:rsidR="000A23B0" w:rsidRPr="00D40304" w:rsidRDefault="000A23B0" w:rsidP="009B04A7">
      <w:pPr>
        <w:spacing w:line="276" w:lineRule="auto"/>
        <w:jc w:val="both"/>
        <w:rPr>
          <w:rFonts w:ascii="Century Gothic" w:hAnsi="Century Gothic" w:cs="Arial"/>
        </w:rPr>
      </w:pPr>
    </w:p>
    <w:p w14:paraId="593F9261" w14:textId="423D44C0" w:rsidR="00B66D8E" w:rsidRPr="00D40304" w:rsidRDefault="00ED470B" w:rsidP="009B04A7">
      <w:pPr>
        <w:spacing w:line="276" w:lineRule="auto"/>
        <w:ind w:right="78"/>
        <w:jc w:val="both"/>
        <w:rPr>
          <w:rFonts w:ascii="Century Gothic" w:hAnsi="Century Gothic" w:cs="Arial"/>
        </w:rPr>
      </w:pPr>
      <w:r w:rsidRPr="00D40304">
        <w:rPr>
          <w:rFonts w:ascii="Century Gothic" w:hAnsi="Century Gothic" w:cs="Arial"/>
        </w:rPr>
        <w:tab/>
      </w:r>
      <w:r w:rsidR="00585A6B" w:rsidRPr="00D40304">
        <w:rPr>
          <w:rFonts w:ascii="Century Gothic" w:hAnsi="Century Gothic" w:cs="Arial"/>
        </w:rPr>
        <w:t>Las diputadas y l</w:t>
      </w:r>
      <w:r w:rsidR="00D40304">
        <w:rPr>
          <w:rFonts w:ascii="Century Gothic" w:hAnsi="Century Gothic" w:cs="Arial"/>
        </w:rPr>
        <w:t>os</w:t>
      </w:r>
      <w:r w:rsidR="00585A6B" w:rsidRPr="00D40304">
        <w:rPr>
          <w:rFonts w:ascii="Century Gothic" w:hAnsi="Century Gothic" w:cs="Arial"/>
        </w:rPr>
        <w:t xml:space="preserve"> diputado</w:t>
      </w:r>
      <w:r w:rsidR="00D40304">
        <w:rPr>
          <w:rFonts w:ascii="Century Gothic" w:hAnsi="Century Gothic" w:cs="Arial"/>
        </w:rPr>
        <w:t>s</w:t>
      </w:r>
      <w:r w:rsidR="00585A6B" w:rsidRPr="00D40304">
        <w:rPr>
          <w:rFonts w:ascii="Century Gothic" w:hAnsi="Century Gothic" w:cs="Arial"/>
        </w:rPr>
        <w:t xml:space="preserve"> que integramos la </w:t>
      </w:r>
      <w:r w:rsidRPr="00D40304">
        <w:rPr>
          <w:rFonts w:ascii="Century Gothic" w:hAnsi="Century Gothic" w:cs="Arial"/>
        </w:rPr>
        <w:t xml:space="preserve">Comisión de Desarrollo Económico y Social de la Sexagésima Quinta Legislatura, </w:t>
      </w:r>
      <w:bookmarkStart w:id="0" w:name="_Hlk86839282"/>
      <w:r w:rsidR="003B6D79" w:rsidRPr="00D40304">
        <w:rPr>
          <w:rFonts w:ascii="Century Gothic" w:hAnsi="Century Gothic" w:cs="Arial"/>
        </w:rPr>
        <w:t xml:space="preserve">recibimos </w:t>
      </w:r>
      <w:r w:rsidR="001256C7" w:rsidRPr="00D40304">
        <w:rPr>
          <w:rFonts w:ascii="Century Gothic" w:hAnsi="Century Gothic" w:cs="Arial"/>
        </w:rPr>
        <w:t xml:space="preserve">la </w:t>
      </w:r>
      <w:bookmarkStart w:id="1" w:name="_Hlk63767858"/>
      <w:bookmarkEnd w:id="0"/>
      <w:r w:rsidR="008365CD" w:rsidRPr="00D40304">
        <w:rPr>
          <w:rFonts w:ascii="Century Gothic" w:hAnsi="Century Gothic" w:cs="Arial"/>
        </w:rPr>
        <w:t>iniciativa formulada por el diputado David Martínez Mendizábal integrante del Grupo Parlamentario del Partido MORENA a efecto de reformar y adicionar diversas disposiciones a la Ley de Desarrollo Social y Humano para el Estado y los Municipios de Guanajuato</w:t>
      </w:r>
      <w:r w:rsidR="008B59C5" w:rsidRPr="00D40304">
        <w:rPr>
          <w:rFonts w:ascii="Century Gothic" w:hAnsi="Century Gothic" w:cs="Arial"/>
          <w:bCs/>
        </w:rPr>
        <w:t>.</w:t>
      </w:r>
    </w:p>
    <w:p w14:paraId="2D708E65" w14:textId="77777777" w:rsidR="00B66D8E" w:rsidRPr="00D40304" w:rsidRDefault="00B66D8E" w:rsidP="009B04A7">
      <w:pPr>
        <w:spacing w:line="276" w:lineRule="auto"/>
        <w:jc w:val="both"/>
        <w:rPr>
          <w:rFonts w:ascii="Century Gothic" w:hAnsi="Century Gothic" w:cs="Arial"/>
        </w:rPr>
      </w:pPr>
    </w:p>
    <w:bookmarkEnd w:id="1"/>
    <w:p w14:paraId="717C0FCC" w14:textId="7E5442AD" w:rsidR="00581795" w:rsidRPr="00D40304" w:rsidRDefault="00581795" w:rsidP="009B04A7">
      <w:pPr>
        <w:spacing w:line="276" w:lineRule="auto"/>
        <w:jc w:val="both"/>
        <w:rPr>
          <w:rFonts w:ascii="Century Gothic" w:hAnsi="Century Gothic" w:cs="Arial"/>
        </w:rPr>
      </w:pPr>
      <w:r w:rsidRPr="00D40304">
        <w:rPr>
          <w:rFonts w:ascii="Century Gothic" w:hAnsi="Century Gothic" w:cs="Arial"/>
        </w:rPr>
        <w:tab/>
      </w:r>
      <w:r w:rsidR="00512CD4" w:rsidRPr="00D40304">
        <w:rPr>
          <w:rFonts w:ascii="Century Gothic" w:hAnsi="Century Gothic" w:cs="Arial"/>
        </w:rPr>
        <w:t>De conformidad con</w:t>
      </w:r>
      <w:r w:rsidRPr="00D40304">
        <w:rPr>
          <w:rFonts w:ascii="Century Gothic" w:hAnsi="Century Gothic" w:cs="Arial"/>
        </w:rPr>
        <w:t xml:space="preserve"> los artículos 89, fracción V; 107, fracción I</w:t>
      </w:r>
      <w:r w:rsidR="00DE7750" w:rsidRPr="00D40304">
        <w:rPr>
          <w:rFonts w:ascii="Century Gothic" w:hAnsi="Century Gothic" w:cs="Arial"/>
        </w:rPr>
        <w:t xml:space="preserve"> y </w:t>
      </w:r>
      <w:r w:rsidRPr="00D40304">
        <w:rPr>
          <w:rFonts w:ascii="Century Gothic" w:hAnsi="Century Gothic" w:cs="Arial"/>
        </w:rPr>
        <w:t>171</w:t>
      </w:r>
      <w:r w:rsidR="00ED470B" w:rsidRPr="00D40304">
        <w:rPr>
          <w:rFonts w:ascii="Century Gothic" w:hAnsi="Century Gothic" w:cs="Arial"/>
        </w:rPr>
        <w:t xml:space="preserve"> </w:t>
      </w:r>
      <w:r w:rsidRPr="00D40304">
        <w:rPr>
          <w:rFonts w:ascii="Century Gothic" w:hAnsi="Century Gothic" w:cs="Arial"/>
        </w:rPr>
        <w:t>de la Ley Orgánica del Poder Legislativo del Estado de Guanajuato, sometemos a la consideración de la Asamblea el presente dictamen, con base en las siguientes:</w:t>
      </w:r>
    </w:p>
    <w:p w14:paraId="3F76F786" w14:textId="740175EA" w:rsidR="00581795" w:rsidRPr="00D40304" w:rsidRDefault="00581795" w:rsidP="009B04A7">
      <w:pPr>
        <w:pStyle w:val="Sinespaciado"/>
        <w:spacing w:line="276" w:lineRule="auto"/>
        <w:jc w:val="both"/>
        <w:rPr>
          <w:rFonts w:ascii="Century Gothic" w:hAnsi="Century Gothic" w:cs="Arial"/>
          <w:szCs w:val="24"/>
        </w:rPr>
      </w:pPr>
    </w:p>
    <w:p w14:paraId="77158AA4" w14:textId="77777777" w:rsidR="002E0FBA" w:rsidRPr="00D40304" w:rsidRDefault="002E0FBA" w:rsidP="009B04A7">
      <w:pPr>
        <w:pStyle w:val="Sinespaciado"/>
        <w:spacing w:line="276" w:lineRule="auto"/>
        <w:jc w:val="both"/>
        <w:rPr>
          <w:rFonts w:ascii="Century Gothic" w:hAnsi="Century Gothic" w:cs="Arial"/>
          <w:szCs w:val="24"/>
        </w:rPr>
      </w:pPr>
    </w:p>
    <w:p w14:paraId="5202B79B" w14:textId="77777777" w:rsidR="00581795" w:rsidRPr="00D40304" w:rsidRDefault="00581795" w:rsidP="009B04A7">
      <w:pPr>
        <w:pStyle w:val="Sinespaciado"/>
        <w:spacing w:line="276" w:lineRule="auto"/>
        <w:jc w:val="center"/>
        <w:rPr>
          <w:rFonts w:ascii="Century Gothic" w:hAnsi="Century Gothic" w:cs="Arial"/>
          <w:b/>
          <w:sz w:val="24"/>
          <w:szCs w:val="24"/>
        </w:rPr>
      </w:pPr>
      <w:r w:rsidRPr="00D40304">
        <w:rPr>
          <w:rFonts w:ascii="Century Gothic" w:hAnsi="Century Gothic" w:cs="Arial"/>
          <w:b/>
          <w:sz w:val="24"/>
          <w:szCs w:val="24"/>
        </w:rPr>
        <w:t>Consideraciones</w:t>
      </w:r>
    </w:p>
    <w:p w14:paraId="4D4A8CAD" w14:textId="77777777" w:rsidR="00581795" w:rsidRPr="00D40304" w:rsidRDefault="00581795" w:rsidP="009B04A7">
      <w:pPr>
        <w:pStyle w:val="Sinespaciado"/>
        <w:spacing w:line="276" w:lineRule="auto"/>
        <w:jc w:val="both"/>
        <w:rPr>
          <w:rFonts w:ascii="Century Gothic" w:hAnsi="Century Gothic" w:cs="Arial"/>
          <w:sz w:val="24"/>
          <w:szCs w:val="24"/>
        </w:rPr>
      </w:pPr>
    </w:p>
    <w:p w14:paraId="40039ABF" w14:textId="0E0F47EA" w:rsidR="00581795" w:rsidRPr="00D40304" w:rsidRDefault="00581795" w:rsidP="009B04A7">
      <w:pPr>
        <w:pStyle w:val="Sinespaciado"/>
        <w:numPr>
          <w:ilvl w:val="0"/>
          <w:numId w:val="16"/>
        </w:numPr>
        <w:spacing w:line="276" w:lineRule="auto"/>
        <w:jc w:val="both"/>
        <w:rPr>
          <w:rFonts w:ascii="Century Gothic" w:hAnsi="Century Gothic" w:cs="Arial"/>
          <w:b/>
          <w:sz w:val="24"/>
          <w:szCs w:val="24"/>
        </w:rPr>
      </w:pPr>
      <w:r w:rsidRPr="00D40304">
        <w:rPr>
          <w:rFonts w:ascii="Century Gothic" w:hAnsi="Century Gothic" w:cs="Arial"/>
          <w:b/>
          <w:sz w:val="24"/>
          <w:szCs w:val="24"/>
        </w:rPr>
        <w:t>Antecedentes</w:t>
      </w:r>
    </w:p>
    <w:p w14:paraId="65545951" w14:textId="77777777" w:rsidR="00581795" w:rsidRPr="00D40304" w:rsidRDefault="00581795" w:rsidP="009B04A7">
      <w:pPr>
        <w:pStyle w:val="Sinespaciado"/>
        <w:spacing w:line="276" w:lineRule="auto"/>
        <w:jc w:val="both"/>
        <w:rPr>
          <w:rFonts w:ascii="Century Gothic" w:hAnsi="Century Gothic" w:cs="Arial"/>
          <w:sz w:val="24"/>
          <w:szCs w:val="24"/>
        </w:rPr>
      </w:pPr>
    </w:p>
    <w:p w14:paraId="7A071BAA" w14:textId="0652DF5E" w:rsidR="000B7CBB" w:rsidRPr="00D40304" w:rsidRDefault="00581795" w:rsidP="009B04A7">
      <w:pPr>
        <w:spacing w:line="276" w:lineRule="auto"/>
        <w:jc w:val="both"/>
        <w:rPr>
          <w:rFonts w:ascii="Century Gothic" w:hAnsi="Century Gothic" w:cs="Arial"/>
        </w:rPr>
      </w:pPr>
      <w:r w:rsidRPr="00D40304">
        <w:rPr>
          <w:rFonts w:ascii="Century Gothic" w:hAnsi="Century Gothic" w:cs="Arial"/>
        </w:rPr>
        <w:tab/>
      </w:r>
      <w:r w:rsidR="000B7CBB" w:rsidRPr="00D40304">
        <w:rPr>
          <w:rFonts w:ascii="Century Gothic" w:hAnsi="Century Gothic" w:cs="Arial"/>
        </w:rPr>
        <w:t xml:space="preserve">El </w:t>
      </w:r>
      <w:r w:rsidR="00A36648" w:rsidRPr="00D40304">
        <w:rPr>
          <w:rFonts w:ascii="Century Gothic" w:hAnsi="Century Gothic" w:cs="Arial"/>
        </w:rPr>
        <w:t xml:space="preserve">28 de octubre </w:t>
      </w:r>
      <w:r w:rsidR="00CA4EC9" w:rsidRPr="00D40304">
        <w:rPr>
          <w:rFonts w:ascii="Century Gothic" w:hAnsi="Century Gothic" w:cs="Arial"/>
        </w:rPr>
        <w:t xml:space="preserve">del </w:t>
      </w:r>
      <w:r w:rsidR="0092427D" w:rsidRPr="00D40304">
        <w:rPr>
          <w:rFonts w:ascii="Century Gothic" w:hAnsi="Century Gothic" w:cs="Arial"/>
        </w:rPr>
        <w:t xml:space="preserve">año </w:t>
      </w:r>
      <w:r w:rsidR="00CA4EC9" w:rsidRPr="00D40304">
        <w:rPr>
          <w:rFonts w:ascii="Century Gothic" w:hAnsi="Century Gothic" w:cs="Arial"/>
        </w:rPr>
        <w:t>202</w:t>
      </w:r>
      <w:r w:rsidR="004F65DE" w:rsidRPr="00D40304">
        <w:rPr>
          <w:rFonts w:ascii="Century Gothic" w:hAnsi="Century Gothic" w:cs="Arial"/>
        </w:rPr>
        <w:t>2</w:t>
      </w:r>
      <w:r w:rsidR="000B7CBB" w:rsidRPr="00D40304">
        <w:rPr>
          <w:rFonts w:ascii="Century Gothic" w:hAnsi="Century Gothic" w:cs="Arial"/>
        </w:rPr>
        <w:t xml:space="preserve"> </w:t>
      </w:r>
      <w:r w:rsidR="005D3069" w:rsidRPr="00D40304">
        <w:rPr>
          <w:rFonts w:ascii="Century Gothic" w:hAnsi="Century Gothic" w:cs="Arial"/>
        </w:rPr>
        <w:t>la presidencia de la</w:t>
      </w:r>
      <w:r w:rsidR="000B7CBB" w:rsidRPr="00D40304">
        <w:rPr>
          <w:rFonts w:ascii="Century Gothic" w:hAnsi="Century Gothic" w:cs="Arial"/>
        </w:rPr>
        <w:t xml:space="preserve"> Mesa Directiva de la Sexagésima </w:t>
      </w:r>
      <w:r w:rsidR="00A03A6B" w:rsidRPr="00D40304">
        <w:rPr>
          <w:rFonts w:ascii="Century Gothic" w:hAnsi="Century Gothic" w:cs="Arial"/>
        </w:rPr>
        <w:t>Cuarta</w:t>
      </w:r>
      <w:r w:rsidR="000B7CBB" w:rsidRPr="00D40304">
        <w:rPr>
          <w:rFonts w:ascii="Century Gothic" w:hAnsi="Century Gothic" w:cs="Arial"/>
        </w:rPr>
        <w:t xml:space="preserve"> Legislatura, </w:t>
      </w:r>
      <w:r w:rsidR="00364368" w:rsidRPr="00D40304">
        <w:rPr>
          <w:rFonts w:ascii="Century Gothic" w:hAnsi="Century Gothic" w:cs="Arial"/>
        </w:rPr>
        <w:t>para efectos de su estudio y dictamen</w:t>
      </w:r>
      <w:r w:rsidR="00DA3661" w:rsidRPr="00D40304">
        <w:rPr>
          <w:rFonts w:ascii="Century Gothic" w:hAnsi="Century Gothic" w:cs="Arial"/>
        </w:rPr>
        <w:t xml:space="preserve"> turnó a esta comisión,</w:t>
      </w:r>
      <w:r w:rsidR="00364368" w:rsidRPr="00D40304">
        <w:rPr>
          <w:rFonts w:ascii="Century Gothic" w:hAnsi="Century Gothic" w:cs="Arial"/>
        </w:rPr>
        <w:t xml:space="preserve"> la </w:t>
      </w:r>
      <w:r w:rsidR="004F65DE" w:rsidRPr="00D40304">
        <w:rPr>
          <w:rFonts w:ascii="Century Gothic" w:hAnsi="Century Gothic" w:cs="Arial"/>
        </w:rPr>
        <w:t xml:space="preserve">iniciativa </w:t>
      </w:r>
      <w:r w:rsidR="00364368" w:rsidRPr="00D40304">
        <w:rPr>
          <w:rFonts w:ascii="Century Gothic" w:hAnsi="Century Gothic" w:cs="Arial"/>
        </w:rPr>
        <w:t>referid</w:t>
      </w:r>
      <w:r w:rsidR="004F65DE" w:rsidRPr="00D40304">
        <w:rPr>
          <w:rFonts w:ascii="Century Gothic" w:hAnsi="Century Gothic" w:cs="Arial"/>
        </w:rPr>
        <w:t>a</w:t>
      </w:r>
      <w:r w:rsidR="00364368" w:rsidRPr="00D40304">
        <w:rPr>
          <w:rFonts w:ascii="Century Gothic" w:hAnsi="Century Gothic" w:cs="Arial"/>
        </w:rPr>
        <w:t xml:space="preserve"> en el proemio del presente dictamen, con fundamento en el artículo 107 fracción I de la Ley Orgánica del Poder Legislativo del Estado de Guanajuato</w:t>
      </w:r>
      <w:r w:rsidR="000B7CBB" w:rsidRPr="00D40304">
        <w:rPr>
          <w:rFonts w:ascii="Century Gothic" w:hAnsi="Century Gothic" w:cs="Arial"/>
        </w:rPr>
        <w:t>.</w:t>
      </w:r>
    </w:p>
    <w:p w14:paraId="1D01AF7E" w14:textId="316A81C8" w:rsidR="000B7CBB" w:rsidRPr="00D40304" w:rsidRDefault="000B7CBB" w:rsidP="009B04A7">
      <w:pPr>
        <w:spacing w:line="276" w:lineRule="auto"/>
        <w:jc w:val="both"/>
        <w:rPr>
          <w:rFonts w:ascii="Century Gothic" w:hAnsi="Century Gothic" w:cs="Arial"/>
        </w:rPr>
      </w:pPr>
    </w:p>
    <w:p w14:paraId="4E95E67B" w14:textId="6854C362" w:rsidR="0043061A" w:rsidRPr="00D40304" w:rsidRDefault="000B7CBB" w:rsidP="009B04A7">
      <w:pPr>
        <w:pStyle w:val="Sinespaciado"/>
        <w:spacing w:line="276" w:lineRule="auto"/>
        <w:jc w:val="both"/>
        <w:rPr>
          <w:rFonts w:ascii="Century Gothic" w:eastAsiaTheme="minorHAnsi" w:hAnsi="Century Gothic" w:cs="Arial"/>
          <w:sz w:val="24"/>
          <w:szCs w:val="24"/>
          <w:lang w:eastAsia="en-US"/>
        </w:rPr>
      </w:pPr>
      <w:r w:rsidRPr="00D40304">
        <w:rPr>
          <w:rFonts w:ascii="Century Gothic" w:eastAsia="Arial Unicode MS" w:hAnsi="Century Gothic" w:cs="Arial"/>
        </w:rPr>
        <w:t xml:space="preserve"> </w:t>
      </w:r>
      <w:r w:rsidRPr="00D40304">
        <w:rPr>
          <w:rFonts w:ascii="Century Gothic" w:eastAsia="Arial Unicode MS" w:hAnsi="Century Gothic" w:cs="Arial"/>
        </w:rPr>
        <w:tab/>
      </w:r>
      <w:r w:rsidR="0043061A" w:rsidRPr="00D40304">
        <w:rPr>
          <w:rFonts w:ascii="Century Gothic" w:eastAsiaTheme="minorHAnsi" w:hAnsi="Century Gothic" w:cs="Arial"/>
          <w:sz w:val="24"/>
          <w:szCs w:val="24"/>
          <w:lang w:eastAsia="en-US"/>
        </w:rPr>
        <w:t xml:space="preserve">Posteriormente, el </w:t>
      </w:r>
      <w:r w:rsidR="00BC3DEE" w:rsidRPr="00D40304">
        <w:rPr>
          <w:rFonts w:ascii="Century Gothic" w:eastAsiaTheme="minorHAnsi" w:hAnsi="Century Gothic" w:cs="Arial"/>
          <w:sz w:val="24"/>
          <w:szCs w:val="24"/>
          <w:lang w:eastAsia="en-US"/>
        </w:rPr>
        <w:t>02 de febrero</w:t>
      </w:r>
      <w:r w:rsidR="0044738E" w:rsidRPr="00D40304">
        <w:rPr>
          <w:rFonts w:ascii="Century Gothic" w:eastAsiaTheme="minorHAnsi" w:hAnsi="Century Gothic" w:cs="Arial"/>
          <w:sz w:val="24"/>
          <w:szCs w:val="24"/>
          <w:lang w:eastAsia="en-US"/>
        </w:rPr>
        <w:t xml:space="preserve"> del año 202</w:t>
      </w:r>
      <w:r w:rsidR="008F4E16" w:rsidRPr="00D40304">
        <w:rPr>
          <w:rFonts w:ascii="Century Gothic" w:eastAsiaTheme="minorHAnsi" w:hAnsi="Century Gothic" w:cs="Arial"/>
          <w:sz w:val="24"/>
          <w:szCs w:val="24"/>
          <w:lang w:eastAsia="en-US"/>
        </w:rPr>
        <w:t>2</w:t>
      </w:r>
      <w:r w:rsidR="0043061A" w:rsidRPr="00D40304">
        <w:rPr>
          <w:rFonts w:ascii="Century Gothic" w:eastAsiaTheme="minorHAnsi" w:hAnsi="Century Gothic" w:cs="Arial"/>
          <w:sz w:val="24"/>
          <w:szCs w:val="24"/>
          <w:lang w:eastAsia="en-US"/>
        </w:rPr>
        <w:t xml:space="preserve">, la comisión dictaminadora radicó la propuesta de punto </w:t>
      </w:r>
      <w:r w:rsidR="00A43002" w:rsidRPr="00D40304">
        <w:rPr>
          <w:rFonts w:ascii="Century Gothic" w:eastAsiaTheme="minorHAnsi" w:hAnsi="Century Gothic" w:cs="Arial"/>
          <w:sz w:val="24"/>
          <w:szCs w:val="24"/>
          <w:lang w:eastAsia="en-US"/>
        </w:rPr>
        <w:t xml:space="preserve">y </w:t>
      </w:r>
      <w:r w:rsidR="0043061A" w:rsidRPr="00D40304">
        <w:rPr>
          <w:rFonts w:ascii="Century Gothic" w:eastAsiaTheme="minorHAnsi" w:hAnsi="Century Gothic" w:cs="Arial"/>
          <w:sz w:val="24"/>
          <w:szCs w:val="24"/>
          <w:lang w:eastAsia="en-US"/>
        </w:rPr>
        <w:t>acordó la metodología para su estudio y dictamen</w:t>
      </w:r>
      <w:r w:rsidR="00490C26" w:rsidRPr="00D40304">
        <w:rPr>
          <w:rFonts w:ascii="Century Gothic" w:eastAsiaTheme="minorHAnsi" w:hAnsi="Century Gothic" w:cs="Arial"/>
          <w:sz w:val="24"/>
          <w:szCs w:val="24"/>
          <w:lang w:eastAsia="en-US"/>
        </w:rPr>
        <w:t>.</w:t>
      </w:r>
    </w:p>
    <w:p w14:paraId="1022FFF3" w14:textId="29C1D0A4" w:rsidR="008411B1" w:rsidRPr="00D40304" w:rsidRDefault="008411B1" w:rsidP="009B04A7">
      <w:pPr>
        <w:pStyle w:val="Sinespaciado"/>
        <w:spacing w:line="276" w:lineRule="auto"/>
        <w:jc w:val="both"/>
        <w:rPr>
          <w:rFonts w:ascii="Century Gothic" w:eastAsiaTheme="minorHAnsi" w:hAnsi="Century Gothic" w:cs="Arial"/>
          <w:sz w:val="24"/>
          <w:szCs w:val="24"/>
          <w:lang w:eastAsia="en-US"/>
        </w:rPr>
      </w:pPr>
    </w:p>
    <w:p w14:paraId="0B6DE25F" w14:textId="4840DCCC" w:rsidR="008411B1" w:rsidRPr="00D40304" w:rsidRDefault="0009164A" w:rsidP="009B04A7">
      <w:pPr>
        <w:pStyle w:val="Sinespaciado"/>
        <w:spacing w:line="276" w:lineRule="auto"/>
        <w:ind w:firstLine="709"/>
        <w:jc w:val="both"/>
        <w:rPr>
          <w:rFonts w:ascii="Century Gothic" w:eastAsiaTheme="minorHAnsi" w:hAnsi="Century Gothic" w:cs="Arial"/>
          <w:sz w:val="24"/>
          <w:szCs w:val="24"/>
          <w:lang w:eastAsia="en-US"/>
        </w:rPr>
      </w:pPr>
      <w:r w:rsidRPr="00D40304">
        <w:rPr>
          <w:rFonts w:ascii="Century Gothic" w:hAnsi="Century Gothic" w:cs="Arial"/>
          <w:sz w:val="24"/>
          <w:szCs w:val="24"/>
        </w:rPr>
        <w:lastRenderedPageBreak/>
        <w:t>Ahora bien, l</w:t>
      </w:r>
      <w:r w:rsidR="008411B1" w:rsidRPr="00D40304">
        <w:rPr>
          <w:rFonts w:ascii="Century Gothic" w:hAnsi="Century Gothic" w:cs="Arial"/>
          <w:sz w:val="24"/>
          <w:szCs w:val="24"/>
        </w:rPr>
        <w:t xml:space="preserve">a presidencia de esta Comisión </w:t>
      </w:r>
      <w:r w:rsidRPr="00D40304">
        <w:rPr>
          <w:rFonts w:ascii="Century Gothic" w:hAnsi="Century Gothic" w:cs="Arial"/>
          <w:sz w:val="24"/>
          <w:szCs w:val="24"/>
        </w:rPr>
        <w:t xml:space="preserve">de Desarrollo Económico y Social, </w:t>
      </w:r>
      <w:r w:rsidR="008411B1" w:rsidRPr="00D40304">
        <w:rPr>
          <w:rFonts w:ascii="Century Gothic" w:hAnsi="Century Gothic" w:cs="Arial"/>
          <w:sz w:val="24"/>
          <w:szCs w:val="24"/>
        </w:rPr>
        <w:t>con fundamento en los artículos 94 fracción VII y 272 fracción VIII inciso e) de la Ley Orgánica del Poder Legislativo del Estado de Guanajuato instruyó a la Secretaría Técnica para que elaborara el proyecto de dictamen, mismo que fue materia de revisión por quienes integran esta comisión</w:t>
      </w:r>
      <w:r w:rsidRPr="00D40304">
        <w:rPr>
          <w:rFonts w:ascii="Century Gothic" w:hAnsi="Century Gothic" w:cs="Arial"/>
          <w:sz w:val="24"/>
          <w:szCs w:val="24"/>
        </w:rPr>
        <w:t>.</w:t>
      </w:r>
    </w:p>
    <w:p w14:paraId="509FE09B" w14:textId="77777777" w:rsidR="009422CC" w:rsidRPr="00D40304" w:rsidRDefault="009422CC" w:rsidP="009B04A7">
      <w:pPr>
        <w:pStyle w:val="Sinespaciado"/>
        <w:spacing w:line="276" w:lineRule="auto"/>
        <w:ind w:firstLine="709"/>
        <w:jc w:val="both"/>
        <w:rPr>
          <w:rFonts w:ascii="Century Gothic" w:eastAsiaTheme="minorHAnsi" w:hAnsi="Century Gothic" w:cs="Arial"/>
          <w:b/>
          <w:bCs/>
          <w:sz w:val="24"/>
          <w:szCs w:val="24"/>
          <w:lang w:eastAsia="en-US"/>
        </w:rPr>
      </w:pPr>
    </w:p>
    <w:p w14:paraId="1376E6C4" w14:textId="54E72FB8" w:rsidR="0043061A" w:rsidRPr="00D40304" w:rsidRDefault="0043061A" w:rsidP="009B04A7">
      <w:pPr>
        <w:pStyle w:val="Sinespaciado"/>
        <w:numPr>
          <w:ilvl w:val="1"/>
          <w:numId w:val="16"/>
        </w:numPr>
        <w:spacing w:line="276" w:lineRule="auto"/>
        <w:jc w:val="both"/>
        <w:rPr>
          <w:rFonts w:ascii="Century Gothic" w:eastAsiaTheme="minorHAnsi" w:hAnsi="Century Gothic" w:cs="Arial"/>
          <w:b/>
          <w:bCs/>
          <w:sz w:val="24"/>
          <w:szCs w:val="24"/>
          <w:lang w:eastAsia="en-US"/>
        </w:rPr>
      </w:pPr>
      <w:r w:rsidRPr="00D40304">
        <w:rPr>
          <w:rFonts w:ascii="Century Gothic" w:eastAsiaTheme="minorHAnsi" w:hAnsi="Century Gothic" w:cs="Arial"/>
          <w:b/>
          <w:bCs/>
          <w:sz w:val="24"/>
          <w:szCs w:val="24"/>
          <w:lang w:eastAsia="en-US"/>
        </w:rPr>
        <w:t xml:space="preserve">Metodología de trabajo </w:t>
      </w:r>
    </w:p>
    <w:p w14:paraId="537FAAA5" w14:textId="77777777" w:rsidR="0043061A" w:rsidRPr="00D40304" w:rsidRDefault="0043061A" w:rsidP="009B04A7">
      <w:pPr>
        <w:pStyle w:val="Sinespaciado"/>
        <w:spacing w:line="276" w:lineRule="auto"/>
        <w:jc w:val="both"/>
        <w:rPr>
          <w:rFonts w:ascii="Century Gothic" w:eastAsiaTheme="minorHAnsi" w:hAnsi="Century Gothic" w:cs="Arial"/>
          <w:sz w:val="24"/>
          <w:szCs w:val="24"/>
          <w:lang w:eastAsia="en-US"/>
        </w:rPr>
      </w:pPr>
    </w:p>
    <w:p w14:paraId="63C253AE" w14:textId="40BE61F5" w:rsidR="0043061A" w:rsidRPr="00D40304" w:rsidRDefault="0043061A" w:rsidP="009B04A7">
      <w:pPr>
        <w:pStyle w:val="Sinespaciado"/>
        <w:spacing w:line="276" w:lineRule="auto"/>
        <w:ind w:firstLine="709"/>
        <w:jc w:val="both"/>
        <w:rPr>
          <w:rFonts w:ascii="Century Gothic" w:eastAsiaTheme="minorHAnsi" w:hAnsi="Century Gothic" w:cs="Arial"/>
          <w:sz w:val="24"/>
          <w:szCs w:val="24"/>
          <w:lang w:eastAsia="en-US"/>
        </w:rPr>
      </w:pPr>
      <w:r w:rsidRPr="00D40304">
        <w:rPr>
          <w:rFonts w:ascii="Century Gothic" w:eastAsiaTheme="minorHAnsi" w:hAnsi="Century Gothic" w:cs="Arial"/>
          <w:sz w:val="24"/>
          <w:szCs w:val="24"/>
          <w:lang w:eastAsia="en-US"/>
        </w:rPr>
        <w:t xml:space="preserve">La metodología de trabajo aprobada se </w:t>
      </w:r>
      <w:r w:rsidR="00DD6B17" w:rsidRPr="00D40304">
        <w:rPr>
          <w:rFonts w:ascii="Century Gothic" w:eastAsiaTheme="minorHAnsi" w:hAnsi="Century Gothic" w:cs="Arial"/>
          <w:sz w:val="24"/>
          <w:szCs w:val="24"/>
          <w:lang w:eastAsia="en-US"/>
        </w:rPr>
        <w:t>estableció lo siguiente</w:t>
      </w:r>
      <w:r w:rsidRPr="00D40304">
        <w:rPr>
          <w:rFonts w:ascii="Century Gothic" w:eastAsiaTheme="minorHAnsi" w:hAnsi="Century Gothic" w:cs="Arial"/>
          <w:sz w:val="24"/>
          <w:szCs w:val="24"/>
          <w:lang w:eastAsia="en-US"/>
        </w:rPr>
        <w:t>:</w:t>
      </w:r>
    </w:p>
    <w:p w14:paraId="31112EF3" w14:textId="77777777" w:rsidR="0043061A" w:rsidRPr="00D40304" w:rsidRDefault="0043061A" w:rsidP="009B04A7">
      <w:pPr>
        <w:pStyle w:val="Sinespaciado"/>
        <w:spacing w:line="276" w:lineRule="auto"/>
        <w:ind w:left="1985"/>
        <w:jc w:val="both"/>
        <w:rPr>
          <w:rFonts w:ascii="Century Gothic" w:eastAsiaTheme="minorHAnsi" w:hAnsi="Century Gothic" w:cs="Arial"/>
          <w:sz w:val="24"/>
          <w:szCs w:val="24"/>
          <w:lang w:eastAsia="en-US"/>
        </w:rPr>
      </w:pPr>
    </w:p>
    <w:p w14:paraId="5EA62107" w14:textId="77777777" w:rsidR="00C95AFC" w:rsidRPr="00C95AFC" w:rsidRDefault="00C95AFC" w:rsidP="009B04A7">
      <w:pPr>
        <w:shd w:val="clear" w:color="auto" w:fill="FFFFFF"/>
        <w:spacing w:after="100" w:afterAutospacing="1" w:line="276" w:lineRule="auto"/>
        <w:ind w:left="709"/>
        <w:rPr>
          <w:rFonts w:ascii="Century Gothic" w:eastAsia="Times New Roman" w:hAnsi="Century Gothic" w:cs="Arial"/>
          <w:sz w:val="22"/>
          <w:szCs w:val="22"/>
          <w:lang w:eastAsia="es-MX"/>
        </w:rPr>
      </w:pPr>
      <w:r w:rsidRPr="00C95AFC">
        <w:rPr>
          <w:rFonts w:ascii="Century Gothic" w:eastAsia="Times New Roman" w:hAnsi="Century Gothic" w:cs="Arial"/>
          <w:sz w:val="22"/>
          <w:szCs w:val="22"/>
          <w:lang w:eastAsia="es-MX"/>
        </w:rPr>
        <w:t>1. Remitir la iniciativa para efectos de su consulta, por un término de 20 días hábiles a:</w:t>
      </w:r>
      <w:r w:rsidRPr="00C95AFC">
        <w:rPr>
          <w:rFonts w:ascii="Century Gothic" w:eastAsia="Times New Roman" w:hAnsi="Century Gothic" w:cs="Arial"/>
          <w:sz w:val="22"/>
          <w:szCs w:val="22"/>
          <w:lang w:eastAsia="es-MX"/>
        </w:rPr>
        <w:br/>
        <w:t>• La Secretaría de Desarrollo de Desarrollo Social y Humano, y</w:t>
      </w:r>
      <w:r w:rsidRPr="00C95AFC">
        <w:rPr>
          <w:rFonts w:ascii="Century Gothic" w:eastAsia="Times New Roman" w:hAnsi="Century Gothic" w:cs="Arial"/>
          <w:sz w:val="22"/>
          <w:szCs w:val="22"/>
          <w:lang w:eastAsia="es-MX"/>
        </w:rPr>
        <w:br/>
        <w:t>• La Coordinación General Jurídica.</w:t>
      </w:r>
    </w:p>
    <w:p w14:paraId="264DF6DE" w14:textId="77777777" w:rsidR="00C95AFC" w:rsidRPr="00C95AFC" w:rsidRDefault="00C95AFC" w:rsidP="009B04A7">
      <w:pPr>
        <w:shd w:val="clear" w:color="auto" w:fill="FFFFFF"/>
        <w:spacing w:after="100" w:afterAutospacing="1" w:line="276" w:lineRule="auto"/>
        <w:ind w:left="709"/>
        <w:jc w:val="both"/>
        <w:rPr>
          <w:rFonts w:ascii="Century Gothic" w:eastAsia="Times New Roman" w:hAnsi="Century Gothic" w:cs="Arial"/>
          <w:sz w:val="22"/>
          <w:szCs w:val="22"/>
          <w:lang w:eastAsia="es-MX"/>
        </w:rPr>
      </w:pPr>
      <w:r w:rsidRPr="00C95AFC">
        <w:rPr>
          <w:rFonts w:ascii="Century Gothic" w:eastAsia="Times New Roman" w:hAnsi="Century Gothic" w:cs="Arial"/>
          <w:sz w:val="22"/>
          <w:szCs w:val="22"/>
          <w:lang w:eastAsia="es-MX"/>
        </w:rPr>
        <w:t>2. Establecer un micrositio en la página web del Congreso del Estado para consulta ciudadana de la iniciativa, por un término de 20 días hábiles.</w:t>
      </w:r>
    </w:p>
    <w:p w14:paraId="180456A7" w14:textId="77777777" w:rsidR="00C95AFC" w:rsidRPr="00C95AFC" w:rsidRDefault="00C95AFC" w:rsidP="009B04A7">
      <w:pPr>
        <w:shd w:val="clear" w:color="auto" w:fill="FFFFFF"/>
        <w:spacing w:after="100" w:afterAutospacing="1" w:line="276" w:lineRule="auto"/>
        <w:ind w:left="709"/>
        <w:jc w:val="both"/>
        <w:rPr>
          <w:rFonts w:ascii="Century Gothic" w:eastAsia="Times New Roman" w:hAnsi="Century Gothic" w:cs="Arial"/>
          <w:sz w:val="22"/>
          <w:szCs w:val="22"/>
          <w:lang w:eastAsia="es-MX"/>
        </w:rPr>
      </w:pPr>
      <w:r w:rsidRPr="00C95AFC">
        <w:rPr>
          <w:rFonts w:ascii="Century Gothic" w:eastAsia="Times New Roman" w:hAnsi="Century Gothic" w:cs="Arial"/>
          <w:sz w:val="22"/>
          <w:szCs w:val="22"/>
          <w:lang w:eastAsia="es-MX"/>
        </w:rPr>
        <w:t>3. Elaborar comparativo con las respuestas derivadas de la consulta de la iniciativa, por parte de la secretaría técnica.</w:t>
      </w:r>
    </w:p>
    <w:p w14:paraId="797CFA63" w14:textId="079E4B60" w:rsidR="00C95AFC" w:rsidRPr="00C95AFC" w:rsidRDefault="00C95AFC" w:rsidP="009B04A7">
      <w:pPr>
        <w:shd w:val="clear" w:color="auto" w:fill="FFFFFF"/>
        <w:spacing w:after="100" w:afterAutospacing="1" w:line="276" w:lineRule="auto"/>
        <w:ind w:left="709"/>
        <w:jc w:val="both"/>
        <w:rPr>
          <w:rFonts w:ascii="Century Gothic" w:eastAsia="Times New Roman" w:hAnsi="Century Gothic" w:cs="Arial"/>
          <w:sz w:val="22"/>
          <w:szCs w:val="22"/>
          <w:lang w:eastAsia="es-MX"/>
        </w:rPr>
      </w:pPr>
      <w:r w:rsidRPr="00C95AFC">
        <w:rPr>
          <w:rFonts w:ascii="Century Gothic" w:eastAsia="Times New Roman" w:hAnsi="Century Gothic" w:cs="Arial"/>
          <w:sz w:val="22"/>
          <w:szCs w:val="22"/>
          <w:lang w:eastAsia="es-MX"/>
        </w:rPr>
        <w:t>4. Mesa de trabajo en las que participarán la</w:t>
      </w:r>
      <w:r w:rsidR="00C025AD" w:rsidRPr="00D40304">
        <w:rPr>
          <w:rFonts w:ascii="Century Gothic" w:eastAsia="Times New Roman" w:hAnsi="Century Gothic" w:cs="Arial"/>
          <w:sz w:val="22"/>
          <w:szCs w:val="22"/>
          <w:lang w:eastAsia="es-MX"/>
        </w:rPr>
        <w:t>s</w:t>
      </w:r>
      <w:r w:rsidRPr="00C95AFC">
        <w:rPr>
          <w:rFonts w:ascii="Century Gothic" w:eastAsia="Times New Roman" w:hAnsi="Century Gothic" w:cs="Arial"/>
          <w:sz w:val="22"/>
          <w:szCs w:val="22"/>
          <w:lang w:eastAsia="es-MX"/>
        </w:rPr>
        <w:t xml:space="preserve"> diputada</w:t>
      </w:r>
      <w:r w:rsidR="00C025AD" w:rsidRPr="00D40304">
        <w:rPr>
          <w:rFonts w:ascii="Century Gothic" w:eastAsia="Times New Roman" w:hAnsi="Century Gothic" w:cs="Arial"/>
          <w:sz w:val="22"/>
          <w:szCs w:val="22"/>
          <w:lang w:eastAsia="es-MX"/>
        </w:rPr>
        <w:t>s</w:t>
      </w:r>
      <w:r w:rsidRPr="00C95AFC">
        <w:rPr>
          <w:rFonts w:ascii="Century Gothic" w:eastAsia="Times New Roman" w:hAnsi="Century Gothic" w:cs="Arial"/>
          <w:sz w:val="22"/>
          <w:szCs w:val="22"/>
          <w:lang w:eastAsia="es-MX"/>
        </w:rPr>
        <w:t xml:space="preserve"> y los diputados integrantes de la comisión, representantes de la Secretaría de Desarrollo Social y Humano y de la Coordinación General Jurídica; así como los asesores de los grupos representados en la comisión y la secretaría técnica.</w:t>
      </w:r>
    </w:p>
    <w:p w14:paraId="4A9EB13C" w14:textId="77777777" w:rsidR="00C95AFC" w:rsidRPr="00C95AFC" w:rsidRDefault="00C95AFC" w:rsidP="009B04A7">
      <w:pPr>
        <w:shd w:val="clear" w:color="auto" w:fill="FFFFFF"/>
        <w:spacing w:after="100" w:afterAutospacing="1" w:line="276" w:lineRule="auto"/>
        <w:ind w:left="709"/>
        <w:jc w:val="both"/>
        <w:rPr>
          <w:rFonts w:ascii="Century Gothic" w:eastAsia="Times New Roman" w:hAnsi="Century Gothic" w:cs="Arial"/>
          <w:sz w:val="22"/>
          <w:szCs w:val="22"/>
          <w:lang w:eastAsia="es-MX"/>
        </w:rPr>
      </w:pPr>
      <w:r w:rsidRPr="00C95AFC">
        <w:rPr>
          <w:rFonts w:ascii="Century Gothic" w:eastAsia="Times New Roman" w:hAnsi="Century Gothic" w:cs="Arial"/>
          <w:sz w:val="22"/>
          <w:szCs w:val="22"/>
          <w:lang w:eastAsia="es-MX"/>
        </w:rPr>
        <w:t>5. Solicitar a la Unidad de Estudios de las Finanzas Públicas del Congreso del Estado, elabore un estudio de impacto presupuestal conforme a la estructura y necesidad del organismo que se pretende crear en la iniciativa, con un término de 20 días hábiles.</w:t>
      </w:r>
    </w:p>
    <w:p w14:paraId="45021BA5" w14:textId="77777777" w:rsidR="00C95AFC" w:rsidRPr="00C95AFC" w:rsidRDefault="00C95AFC" w:rsidP="009B04A7">
      <w:pPr>
        <w:shd w:val="clear" w:color="auto" w:fill="FFFFFF"/>
        <w:spacing w:after="100" w:afterAutospacing="1" w:line="276" w:lineRule="auto"/>
        <w:ind w:left="709"/>
        <w:jc w:val="both"/>
        <w:rPr>
          <w:rFonts w:ascii="Century Gothic" w:eastAsia="Times New Roman" w:hAnsi="Century Gothic" w:cs="Arial"/>
          <w:sz w:val="22"/>
          <w:szCs w:val="22"/>
          <w:lang w:eastAsia="es-MX"/>
        </w:rPr>
      </w:pPr>
      <w:r w:rsidRPr="00C95AFC">
        <w:rPr>
          <w:rFonts w:ascii="Century Gothic" w:eastAsia="Times New Roman" w:hAnsi="Century Gothic" w:cs="Arial"/>
          <w:sz w:val="22"/>
          <w:szCs w:val="22"/>
          <w:lang w:eastAsia="es-MX"/>
        </w:rPr>
        <w:t xml:space="preserve">6. Remitir la iniciativa al Instituto de Investigaciones Legislativas para que realice un análisis de la propuesta considerando el impacto jurídico y social </w:t>
      </w:r>
      <w:r w:rsidRPr="00C95AFC">
        <w:rPr>
          <w:rFonts w:ascii="Century Gothic" w:eastAsia="Times New Roman" w:hAnsi="Century Gothic" w:cs="Arial"/>
          <w:sz w:val="22"/>
          <w:szCs w:val="22"/>
          <w:lang w:eastAsia="es-MX"/>
        </w:rPr>
        <w:lastRenderedPageBreak/>
        <w:t>de la creación del organismo que se pretende crear en la iniciativa, con un término de 20 días hábiles.</w:t>
      </w:r>
    </w:p>
    <w:p w14:paraId="4B129DCC" w14:textId="7C6AB241" w:rsidR="00C025AD" w:rsidRPr="00D40304" w:rsidRDefault="00C95AFC" w:rsidP="00572648">
      <w:pPr>
        <w:shd w:val="clear" w:color="auto" w:fill="FFFFFF"/>
        <w:spacing w:after="100" w:afterAutospacing="1" w:line="276" w:lineRule="auto"/>
        <w:ind w:left="709"/>
        <w:jc w:val="both"/>
        <w:rPr>
          <w:rFonts w:ascii="Century Gothic" w:hAnsi="Century Gothic" w:cs="Arial"/>
        </w:rPr>
      </w:pPr>
      <w:r w:rsidRPr="00C95AFC">
        <w:rPr>
          <w:rFonts w:ascii="Century Gothic" w:eastAsia="Times New Roman" w:hAnsi="Century Gothic" w:cs="Arial"/>
          <w:sz w:val="22"/>
          <w:szCs w:val="22"/>
          <w:lang w:eastAsia="es-MX"/>
        </w:rPr>
        <w:t>7. Reunión de la Comisión de Desarrollo Económico y Social para la discusión y, en su caso, aprobación del dictamen.</w:t>
      </w:r>
      <w:bookmarkStart w:id="2" w:name="_Hlk8030224"/>
    </w:p>
    <w:p w14:paraId="11DE16D6" w14:textId="2833E008" w:rsidR="009B0695" w:rsidRPr="00D40304" w:rsidRDefault="009B0695" w:rsidP="009B04A7">
      <w:pPr>
        <w:spacing w:line="276" w:lineRule="auto"/>
        <w:ind w:firstLine="426"/>
        <w:jc w:val="both"/>
        <w:rPr>
          <w:rFonts w:ascii="Century Gothic" w:hAnsi="Century Gothic" w:cs="Arial"/>
        </w:rPr>
      </w:pPr>
      <w:r w:rsidRPr="00D40304">
        <w:rPr>
          <w:rFonts w:ascii="Century Gothic" w:hAnsi="Century Gothic" w:cs="Arial"/>
        </w:rPr>
        <w:t xml:space="preserve">En fecha 14 de junio del año en curso, se llevó a cabo la mesa de trabajo en las que participaron integrantes de la comisión, </w:t>
      </w:r>
      <w:r w:rsidR="00266C19" w:rsidRPr="00D40304">
        <w:rPr>
          <w:rFonts w:ascii="Century Gothic" w:hAnsi="Century Gothic" w:cs="Arial"/>
        </w:rPr>
        <w:t>representantes de la Secretaría de Desarrollo Social y Humano y de la Coordinación General Jurídica</w:t>
      </w:r>
      <w:r w:rsidR="00F03FCB" w:rsidRPr="00D40304">
        <w:rPr>
          <w:rFonts w:ascii="Century Gothic" w:hAnsi="Century Gothic" w:cs="Arial"/>
        </w:rPr>
        <w:t>, la Unidad de Estudios de la Fi</w:t>
      </w:r>
      <w:r w:rsidR="00462771" w:rsidRPr="00D40304">
        <w:rPr>
          <w:rFonts w:ascii="Century Gothic" w:hAnsi="Century Gothic" w:cs="Arial"/>
        </w:rPr>
        <w:t xml:space="preserve">nanzas Públicas del Congreso, </w:t>
      </w:r>
      <w:r w:rsidRPr="00D40304">
        <w:rPr>
          <w:rFonts w:ascii="Century Gothic" w:hAnsi="Century Gothic" w:cs="Arial"/>
        </w:rPr>
        <w:t>así como los asesores de los grupos representados en la comisión y la secretaría técnica</w:t>
      </w:r>
      <w:r w:rsidR="00F03FCB" w:rsidRPr="00D40304">
        <w:rPr>
          <w:rFonts w:ascii="Century Gothic" w:hAnsi="Century Gothic" w:cs="Arial"/>
        </w:rPr>
        <w:t>.</w:t>
      </w:r>
    </w:p>
    <w:p w14:paraId="02180A1F" w14:textId="6F490A65" w:rsidR="00F03FCB" w:rsidRPr="00D40304" w:rsidRDefault="00F03FCB" w:rsidP="009B04A7">
      <w:pPr>
        <w:spacing w:line="276" w:lineRule="auto"/>
        <w:ind w:firstLine="426"/>
        <w:jc w:val="both"/>
        <w:rPr>
          <w:rFonts w:ascii="Century Gothic" w:hAnsi="Century Gothic" w:cs="Arial"/>
        </w:rPr>
      </w:pPr>
    </w:p>
    <w:p w14:paraId="6020BB4E" w14:textId="7FDE4112" w:rsidR="00F03FCB" w:rsidRPr="00D40304" w:rsidRDefault="00126D44" w:rsidP="009B04A7">
      <w:pPr>
        <w:spacing w:line="276" w:lineRule="auto"/>
        <w:ind w:firstLine="426"/>
        <w:jc w:val="both"/>
        <w:rPr>
          <w:rFonts w:ascii="Century Gothic" w:hAnsi="Century Gothic" w:cs="Arial"/>
        </w:rPr>
      </w:pPr>
      <w:r w:rsidRPr="00D40304">
        <w:rPr>
          <w:rFonts w:ascii="Century Gothic" w:hAnsi="Century Gothic" w:cs="Arial"/>
        </w:rPr>
        <w:t xml:space="preserve">Se recibieron las </w:t>
      </w:r>
      <w:r w:rsidR="00E527F9" w:rsidRPr="00D40304">
        <w:rPr>
          <w:rFonts w:ascii="Century Gothic" w:hAnsi="Century Gothic" w:cs="Arial"/>
        </w:rPr>
        <w:t>opiniones y comentarios p</w:t>
      </w:r>
      <w:r w:rsidR="00F03FCB" w:rsidRPr="00D40304">
        <w:rPr>
          <w:rFonts w:ascii="Century Gothic" w:hAnsi="Century Gothic" w:cs="Arial"/>
        </w:rPr>
        <w:t>or par</w:t>
      </w:r>
      <w:r w:rsidR="00462771" w:rsidRPr="00D40304">
        <w:rPr>
          <w:rFonts w:ascii="Century Gothic" w:hAnsi="Century Gothic" w:cs="Arial"/>
        </w:rPr>
        <w:t>te de las dependencias del Ejecutivo del Estado</w:t>
      </w:r>
      <w:r w:rsidR="00E527F9" w:rsidRPr="00D40304">
        <w:rPr>
          <w:rFonts w:ascii="Century Gothic" w:hAnsi="Century Gothic" w:cs="Arial"/>
        </w:rPr>
        <w:t xml:space="preserve"> consultadas, las cuales fueron consolidadas por la Coordinación General Jurídica de la Secretaría de Gobierno</w:t>
      </w:r>
      <w:r w:rsidR="00884FE7" w:rsidRPr="00D40304">
        <w:rPr>
          <w:rFonts w:ascii="Century Gothic" w:hAnsi="Century Gothic" w:cs="Arial"/>
        </w:rPr>
        <w:t xml:space="preserve"> del Estado</w:t>
      </w:r>
      <w:r w:rsidR="0079114F" w:rsidRPr="00D40304">
        <w:rPr>
          <w:rFonts w:ascii="Century Gothic" w:hAnsi="Century Gothic" w:cs="Arial"/>
        </w:rPr>
        <w:t>; de igual</w:t>
      </w:r>
      <w:r w:rsidR="00884FE7" w:rsidRPr="00D40304">
        <w:rPr>
          <w:rFonts w:ascii="Century Gothic" w:hAnsi="Century Gothic" w:cs="Arial"/>
        </w:rPr>
        <w:t xml:space="preserve"> forma fue</w:t>
      </w:r>
      <w:r w:rsidR="00E04C6E" w:rsidRPr="00D40304">
        <w:rPr>
          <w:rFonts w:ascii="Century Gothic" w:hAnsi="Century Gothic" w:cs="Arial"/>
        </w:rPr>
        <w:t>ron</w:t>
      </w:r>
      <w:r w:rsidR="00884FE7" w:rsidRPr="00D40304">
        <w:rPr>
          <w:rFonts w:ascii="Century Gothic" w:hAnsi="Century Gothic" w:cs="Arial"/>
        </w:rPr>
        <w:t xml:space="preserve"> recibido</w:t>
      </w:r>
      <w:r w:rsidR="00E04C6E" w:rsidRPr="00D40304">
        <w:rPr>
          <w:rFonts w:ascii="Century Gothic" w:hAnsi="Century Gothic" w:cs="Arial"/>
        </w:rPr>
        <w:t>s</w:t>
      </w:r>
      <w:r w:rsidR="00884FE7" w:rsidRPr="00D40304">
        <w:rPr>
          <w:rFonts w:ascii="Century Gothic" w:hAnsi="Century Gothic" w:cs="Arial"/>
        </w:rPr>
        <w:t xml:space="preserve"> en tiempo </w:t>
      </w:r>
      <w:r w:rsidR="00266C19" w:rsidRPr="00D40304">
        <w:rPr>
          <w:rFonts w:ascii="Century Gothic" w:hAnsi="Century Gothic" w:cs="Arial"/>
        </w:rPr>
        <w:t>los</w:t>
      </w:r>
      <w:r w:rsidR="00884FE7" w:rsidRPr="00D40304">
        <w:rPr>
          <w:rFonts w:ascii="Century Gothic" w:hAnsi="Century Gothic" w:cs="Arial"/>
        </w:rPr>
        <w:t xml:space="preserve"> estudio</w:t>
      </w:r>
      <w:r w:rsidR="00266C19" w:rsidRPr="00D40304">
        <w:rPr>
          <w:rFonts w:ascii="Century Gothic" w:hAnsi="Century Gothic" w:cs="Arial"/>
        </w:rPr>
        <w:t xml:space="preserve">s solicitados a </w:t>
      </w:r>
      <w:r w:rsidR="00884FE7" w:rsidRPr="00D40304">
        <w:rPr>
          <w:rFonts w:ascii="Century Gothic" w:hAnsi="Century Gothic" w:cs="Arial"/>
        </w:rPr>
        <w:t xml:space="preserve">la </w:t>
      </w:r>
      <w:r w:rsidR="00E527F9" w:rsidRPr="00D40304">
        <w:rPr>
          <w:rFonts w:ascii="Century Gothic" w:hAnsi="Century Gothic" w:cs="Arial"/>
        </w:rPr>
        <w:t>Unidad</w:t>
      </w:r>
      <w:r w:rsidR="00884FE7" w:rsidRPr="00D40304">
        <w:rPr>
          <w:rFonts w:ascii="Century Gothic" w:hAnsi="Century Gothic" w:cs="Arial"/>
        </w:rPr>
        <w:t xml:space="preserve"> de Estudios de las</w:t>
      </w:r>
      <w:r w:rsidR="00E527F9" w:rsidRPr="00D40304">
        <w:rPr>
          <w:rFonts w:ascii="Century Gothic" w:hAnsi="Century Gothic" w:cs="Arial"/>
        </w:rPr>
        <w:t xml:space="preserve"> Finanzas </w:t>
      </w:r>
      <w:r w:rsidR="00884FE7" w:rsidRPr="00D40304">
        <w:rPr>
          <w:rFonts w:ascii="Century Gothic" w:hAnsi="Century Gothic" w:cs="Arial"/>
        </w:rPr>
        <w:t>Públicas del Estado</w:t>
      </w:r>
      <w:r w:rsidR="00266C19" w:rsidRPr="00D40304">
        <w:rPr>
          <w:rFonts w:ascii="Century Gothic" w:hAnsi="Century Gothic" w:cs="Arial"/>
        </w:rPr>
        <w:t xml:space="preserve"> y el Instituto de Investigaciones Legislativas</w:t>
      </w:r>
      <w:r w:rsidR="00E04C6E" w:rsidRPr="00D40304">
        <w:rPr>
          <w:rFonts w:ascii="Century Gothic" w:hAnsi="Century Gothic" w:cs="Arial"/>
        </w:rPr>
        <w:t>, ambas del Congreso del Estado.</w:t>
      </w:r>
    </w:p>
    <w:p w14:paraId="40F8BE57" w14:textId="77777777" w:rsidR="003658B4" w:rsidRPr="00D40304" w:rsidRDefault="003658B4" w:rsidP="009B04A7">
      <w:pPr>
        <w:spacing w:line="276" w:lineRule="auto"/>
        <w:ind w:firstLine="426"/>
        <w:jc w:val="both"/>
        <w:rPr>
          <w:rFonts w:ascii="Century Gothic" w:hAnsi="Century Gothic" w:cs="Arial"/>
        </w:rPr>
      </w:pPr>
    </w:p>
    <w:p w14:paraId="7024879F" w14:textId="291A5D08" w:rsidR="00E04C6E" w:rsidRPr="00D40304" w:rsidRDefault="00E04C6E" w:rsidP="00572648">
      <w:pPr>
        <w:pStyle w:val="Sinespaciado"/>
        <w:numPr>
          <w:ilvl w:val="0"/>
          <w:numId w:val="16"/>
        </w:numPr>
        <w:spacing w:line="276" w:lineRule="auto"/>
        <w:ind w:left="709"/>
        <w:jc w:val="both"/>
        <w:rPr>
          <w:rFonts w:ascii="Century Gothic" w:hAnsi="Century Gothic" w:cs="Arial"/>
          <w:b/>
          <w:sz w:val="24"/>
          <w:szCs w:val="24"/>
        </w:rPr>
      </w:pPr>
      <w:r w:rsidRPr="00D40304">
        <w:rPr>
          <w:rFonts w:ascii="Century Gothic" w:hAnsi="Century Gothic" w:cs="Arial"/>
          <w:b/>
          <w:sz w:val="24"/>
          <w:szCs w:val="24"/>
        </w:rPr>
        <w:t xml:space="preserve">Análisis de la propuesta </w:t>
      </w:r>
    </w:p>
    <w:p w14:paraId="4473D90B" w14:textId="77777777" w:rsidR="00E04C6E" w:rsidRPr="00D40304" w:rsidRDefault="00E04C6E" w:rsidP="009B04A7">
      <w:pPr>
        <w:pStyle w:val="Sinespaciado"/>
        <w:spacing w:line="276" w:lineRule="auto"/>
        <w:jc w:val="both"/>
        <w:rPr>
          <w:rFonts w:ascii="Century Gothic" w:hAnsi="Century Gothic" w:cs="Arial"/>
          <w:b/>
          <w:sz w:val="24"/>
          <w:szCs w:val="24"/>
        </w:rPr>
      </w:pPr>
    </w:p>
    <w:p w14:paraId="2B5A659F" w14:textId="77777777" w:rsidR="00E04C6E" w:rsidRPr="00D40304" w:rsidRDefault="00E04C6E" w:rsidP="009B04A7">
      <w:pPr>
        <w:pStyle w:val="Sinespaciado"/>
        <w:spacing w:line="276" w:lineRule="auto"/>
        <w:jc w:val="both"/>
        <w:rPr>
          <w:rFonts w:ascii="Century Gothic" w:hAnsi="Century Gothic" w:cs="Arial"/>
          <w:sz w:val="24"/>
          <w:szCs w:val="24"/>
        </w:rPr>
      </w:pPr>
      <w:r w:rsidRPr="00D40304">
        <w:rPr>
          <w:rFonts w:ascii="Century Gothic" w:hAnsi="Century Gothic" w:cs="Arial"/>
          <w:sz w:val="24"/>
          <w:szCs w:val="24"/>
        </w:rPr>
        <w:tab/>
        <w:t xml:space="preserve">Los proponentes manifestaron en la exposición de motivos lo siguiente:  </w:t>
      </w:r>
    </w:p>
    <w:p w14:paraId="45F94A72" w14:textId="77777777" w:rsidR="00E04C6E" w:rsidRPr="00D40304" w:rsidRDefault="00E04C6E" w:rsidP="009B04A7">
      <w:pPr>
        <w:pStyle w:val="Sinespaciado"/>
        <w:spacing w:line="276" w:lineRule="auto"/>
        <w:jc w:val="both"/>
        <w:rPr>
          <w:rFonts w:ascii="Century Gothic" w:hAnsi="Century Gothic" w:cs="Arial"/>
          <w:sz w:val="24"/>
          <w:szCs w:val="24"/>
        </w:rPr>
      </w:pPr>
    </w:p>
    <w:p w14:paraId="07A9CE69" w14:textId="77777777" w:rsidR="00E04C6E" w:rsidRPr="00D40304" w:rsidRDefault="00E04C6E" w:rsidP="009B04A7">
      <w:pPr>
        <w:spacing w:line="276" w:lineRule="auto"/>
        <w:ind w:left="709"/>
        <w:rPr>
          <w:rFonts w:ascii="Century Gothic" w:hAnsi="Century Gothic" w:cs="Arial"/>
          <w:i/>
          <w:iCs/>
          <w:sz w:val="20"/>
          <w:szCs w:val="20"/>
        </w:rPr>
      </w:pPr>
      <w:r w:rsidRPr="00D40304">
        <w:rPr>
          <w:rFonts w:ascii="Century Gothic" w:hAnsi="Century Gothic" w:cs="Arial"/>
          <w:i/>
          <w:iCs/>
          <w:sz w:val="20"/>
          <w:szCs w:val="20"/>
        </w:rPr>
        <w:t>“…</w:t>
      </w:r>
    </w:p>
    <w:p w14:paraId="18604134" w14:textId="088E702C" w:rsidR="00E04C6E" w:rsidRPr="00D40304" w:rsidRDefault="00E04C6E" w:rsidP="009B04A7">
      <w:pPr>
        <w:spacing w:after="255"/>
        <w:ind w:left="567" w:right="297"/>
        <w:jc w:val="both"/>
        <w:rPr>
          <w:rFonts w:ascii="Century Gothic" w:hAnsi="Century Gothic" w:cs="Arial"/>
          <w:i/>
          <w:iCs/>
          <w:sz w:val="20"/>
          <w:szCs w:val="20"/>
        </w:rPr>
      </w:pPr>
      <w:r w:rsidRPr="00D40304">
        <w:rPr>
          <w:rFonts w:ascii="Century Gothic" w:hAnsi="Century Gothic" w:cs="Arial"/>
          <w:i/>
          <w:iCs/>
          <w:sz w:val="20"/>
          <w:szCs w:val="20"/>
        </w:rPr>
        <w:t xml:space="preserve">Desde hace 30 años la política social en Guanajuato ha estado vinculada a la dinámica del desarrollo con matices propios y de alguna forma vinculada a lo que se ha desarrollado a escala nacional. Si bien a lo largo de estas tres décadas se han implementado algunas innovaciones locales que pudieron haber continuado y pudiesen arrojado mejores resultados para el desarrollo social de Guanajuato, con </w:t>
      </w:r>
      <w:r w:rsidRPr="00D40304">
        <w:rPr>
          <w:rFonts w:ascii="Century Gothic" w:hAnsi="Century Gothic" w:cs="Arial"/>
          <w:i/>
          <w:noProof/>
          <w:sz w:val="20"/>
          <w:szCs w:val="20"/>
        </w:rPr>
        <w:drawing>
          <wp:inline distT="0" distB="0" distL="0" distR="0" wp14:anchorId="397EB61A" wp14:editId="026E6295">
            <wp:extent cx="8890" cy="8890"/>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D40304">
        <w:rPr>
          <w:rFonts w:ascii="Century Gothic" w:hAnsi="Century Gothic" w:cs="Arial"/>
          <w:i/>
          <w:iCs/>
          <w:sz w:val="20"/>
          <w:szCs w:val="20"/>
        </w:rPr>
        <w:t>una visión más humana y más justa para toda la población, desafortunadamente al mismo tiempo ha estado plagada de expresiones poco precisas con relación a los logros que se dicen haber obtenido y que la propia realidad, ahora con los instrumentos más precisos de medición y seguimiento, se han encargado de contradecir.</w:t>
      </w:r>
    </w:p>
    <w:p w14:paraId="3FB21E10" w14:textId="77777777" w:rsidR="00E04C6E" w:rsidRPr="00D40304" w:rsidRDefault="00E04C6E" w:rsidP="009B04A7">
      <w:pPr>
        <w:ind w:left="567" w:right="297"/>
        <w:jc w:val="both"/>
        <w:rPr>
          <w:rFonts w:ascii="Century Gothic" w:hAnsi="Century Gothic" w:cs="Arial"/>
          <w:i/>
          <w:iCs/>
          <w:sz w:val="20"/>
          <w:szCs w:val="20"/>
        </w:rPr>
      </w:pPr>
      <w:r w:rsidRPr="00D40304">
        <w:rPr>
          <w:rFonts w:ascii="Century Gothic" w:hAnsi="Century Gothic" w:cs="Arial"/>
          <w:i/>
          <w:iCs/>
          <w:sz w:val="20"/>
          <w:szCs w:val="20"/>
        </w:rPr>
        <w:lastRenderedPageBreak/>
        <w:t>La vinculación entre sociedad civil, academia y gobierno en torno de la política social y pobreza se da por primera vez cuando se intenta medir la pobreza en Guanajuato en 1995-1996, durante el mandato de Vicente Fox; se contrata al Dr. Julio Boltvinik, académico del Colegio de México, para calcular los niveles de pobreza en nuestra entidad. La participación de la comunidad de investigación mexicana dio los elementos muy útiles para una primera evaluación de la situación de empobrecimiento, así como el diseño del primer esfuerzo sistemático por abordar la política de bienestar y que en 1997-1998 produjo el documento Política Social en Guanajuato con asesoría de la ONG Philos A. C.</w:t>
      </w:r>
    </w:p>
    <w:p w14:paraId="2F38322A" w14:textId="77777777" w:rsidR="00E04C6E" w:rsidRPr="00D40304" w:rsidRDefault="00E04C6E" w:rsidP="009B04A7">
      <w:pPr>
        <w:ind w:left="567" w:right="297"/>
        <w:jc w:val="both"/>
        <w:rPr>
          <w:rFonts w:ascii="Century Gothic" w:hAnsi="Century Gothic" w:cs="Arial"/>
          <w:i/>
          <w:iCs/>
          <w:sz w:val="20"/>
          <w:szCs w:val="20"/>
        </w:rPr>
      </w:pPr>
    </w:p>
    <w:p w14:paraId="19E953BF" w14:textId="77777777" w:rsidR="00E04C6E" w:rsidRPr="00D40304" w:rsidRDefault="00E04C6E" w:rsidP="009B04A7">
      <w:pPr>
        <w:spacing w:after="128"/>
        <w:ind w:left="567" w:right="297"/>
        <w:jc w:val="both"/>
        <w:rPr>
          <w:rFonts w:ascii="Century Gothic" w:hAnsi="Century Gothic" w:cs="Arial"/>
          <w:i/>
          <w:iCs/>
          <w:sz w:val="20"/>
          <w:szCs w:val="20"/>
        </w:rPr>
      </w:pPr>
      <w:r w:rsidRPr="00D40304">
        <w:rPr>
          <w:rFonts w:ascii="Century Gothic" w:hAnsi="Century Gothic" w:cs="Arial"/>
          <w:i/>
          <w:iCs/>
          <w:sz w:val="20"/>
          <w:szCs w:val="20"/>
        </w:rPr>
        <w:t>Se crea la Secretaría de Desarrollo Social y Humano en Guanajuato al iniciar el nuevo milenio y se le depositan aspectos y responsabilidades sustanciales con relación del bienestar social de todos y todas las guanajuatenses, sin considerar la posible y necesaria articulación con las otras áreas gubernamentales y configurar así una arquitectura organizativa que diera espacio a la institucionalización que sustenta la participación ciudadana y a los programas innovadores.</w:t>
      </w:r>
    </w:p>
    <w:p w14:paraId="273E7BBD" w14:textId="77777777" w:rsidR="00E04C6E" w:rsidRPr="00D40304" w:rsidRDefault="00E04C6E" w:rsidP="009B04A7">
      <w:pPr>
        <w:ind w:left="567" w:right="297"/>
        <w:jc w:val="both"/>
        <w:rPr>
          <w:rFonts w:ascii="Century Gothic" w:hAnsi="Century Gothic" w:cs="Arial"/>
          <w:i/>
          <w:iCs/>
          <w:sz w:val="20"/>
          <w:szCs w:val="20"/>
        </w:rPr>
      </w:pPr>
      <w:r w:rsidRPr="00D40304">
        <w:rPr>
          <w:rFonts w:ascii="Century Gothic" w:hAnsi="Century Gothic" w:cs="Arial"/>
          <w:i/>
          <w:iCs/>
          <w:sz w:val="20"/>
          <w:szCs w:val="20"/>
        </w:rPr>
        <w:t>Uno de los elementos más importantes en materia de política social en el contexto de los procesos globales de la Secretaría, y que se ha ido manteniendo como eje del desarrollo social, es hacer equiparable que el combate a la pobreza en Guanajuato se da mediante la inversión privada preferentemente extranjera, junto con el desarrollo de la infraestructura como condición para garantizar la llegada de capital extranjero. Con esta visión se fortalece un paradigma del desarrollo económico que minimiza la participación ciudadana o simplemente la obvia.</w:t>
      </w:r>
    </w:p>
    <w:p w14:paraId="231DC1BA" w14:textId="77777777" w:rsidR="00E04C6E" w:rsidRPr="00D40304" w:rsidRDefault="00E04C6E" w:rsidP="009B04A7">
      <w:pPr>
        <w:ind w:left="567" w:right="297"/>
        <w:jc w:val="both"/>
        <w:rPr>
          <w:rFonts w:ascii="Century Gothic" w:hAnsi="Century Gothic" w:cs="Arial"/>
          <w:i/>
          <w:iCs/>
          <w:sz w:val="20"/>
          <w:szCs w:val="20"/>
        </w:rPr>
      </w:pPr>
    </w:p>
    <w:p w14:paraId="479DBBA9" w14:textId="77777777" w:rsidR="00E04C6E" w:rsidRPr="00D40304" w:rsidRDefault="00E04C6E" w:rsidP="009B04A7">
      <w:pPr>
        <w:spacing w:after="147"/>
        <w:ind w:left="567" w:right="297"/>
        <w:jc w:val="both"/>
        <w:rPr>
          <w:rFonts w:ascii="Century Gothic" w:hAnsi="Century Gothic" w:cs="Arial"/>
          <w:i/>
          <w:iCs/>
          <w:sz w:val="20"/>
          <w:szCs w:val="20"/>
        </w:rPr>
      </w:pPr>
      <w:r w:rsidRPr="00D40304">
        <w:rPr>
          <w:rFonts w:ascii="Century Gothic" w:hAnsi="Century Gothic" w:cs="Arial"/>
          <w:i/>
          <w:iCs/>
          <w:sz w:val="20"/>
          <w:szCs w:val="20"/>
        </w:rPr>
        <w:t>En 2004 se aprueba en el Congreso de la Unión la Ley General de Desarrollo Social que impacta la política social en Guanajuato, ya que en otras consideraciones se mandata la creación del Consejo de Evaluación de la Política del Desarrollo Social (CONEVAL). La influencia es más notoria en Guanajuato después del 2005, y su vínculo con la Secretaría de Desarrollo Social y Humano comienza a aportar elementos para rehacer la política pública respecto al bienestar.</w:t>
      </w:r>
    </w:p>
    <w:p w14:paraId="093519FD" w14:textId="77777777" w:rsidR="00E04C6E" w:rsidRPr="00D40304" w:rsidRDefault="00E04C6E" w:rsidP="009B04A7">
      <w:pPr>
        <w:ind w:left="567" w:right="297"/>
        <w:jc w:val="both"/>
        <w:rPr>
          <w:rFonts w:ascii="Century Gothic" w:hAnsi="Century Gothic" w:cs="Arial"/>
          <w:i/>
          <w:iCs/>
          <w:sz w:val="20"/>
          <w:szCs w:val="20"/>
        </w:rPr>
      </w:pPr>
      <w:r w:rsidRPr="00D40304">
        <w:rPr>
          <w:rFonts w:ascii="Century Gothic" w:hAnsi="Century Gothic" w:cs="Arial"/>
          <w:i/>
          <w:iCs/>
          <w:sz w:val="20"/>
          <w:szCs w:val="20"/>
        </w:rPr>
        <w:t>La acción gubernamental por conocer las condiciones de la pobreza y su correlato con el desarrollo social en el sexenio del gobernador Juan Manuel Oliva, permitieron tener los primeros datos sobre la pobreza de ingresos, pobreza de capacidades, y pobreza de patrimonio. Esta forma de medición provisional proviene del extinto Comité Técnico de Medición de la Pobreza.</w:t>
      </w:r>
    </w:p>
    <w:p w14:paraId="5532BF59" w14:textId="77777777" w:rsidR="00E04C6E" w:rsidRPr="00D40304" w:rsidRDefault="00E04C6E" w:rsidP="009B04A7">
      <w:pPr>
        <w:spacing w:after="149"/>
        <w:ind w:left="567" w:right="297"/>
        <w:jc w:val="both"/>
        <w:rPr>
          <w:rFonts w:ascii="Century Gothic" w:hAnsi="Century Gothic" w:cs="Arial"/>
          <w:i/>
          <w:iCs/>
          <w:sz w:val="20"/>
          <w:szCs w:val="20"/>
        </w:rPr>
      </w:pPr>
      <w:r w:rsidRPr="00D40304">
        <w:rPr>
          <w:rFonts w:ascii="Century Gothic" w:hAnsi="Century Gothic" w:cs="Arial"/>
          <w:i/>
          <w:iCs/>
          <w:sz w:val="20"/>
          <w:szCs w:val="20"/>
        </w:rPr>
        <w:t>Posteriormente en el 2009, el CONEVAL da a conocer la primera medición oficial de la pobreza multidimensional para Guanajuato con datos válidos para el 2008, con lo que fue posible hacer una comparación de casi un sexenio completo en materia de trayectoria de la pobreza, permitiendo contrastar los datos con las metas establecidas al inicio del gobierno olivista y también, de forma inédita en la historia de la planeación gubernamental, aparece como meta: "erradicar de la pobreza extrema a 100 mil familias", misma que no fue cumplida.</w:t>
      </w:r>
    </w:p>
    <w:p w14:paraId="16E39B44" w14:textId="77777777" w:rsidR="00E04C6E" w:rsidRPr="00D40304" w:rsidRDefault="00E04C6E" w:rsidP="009B04A7">
      <w:pPr>
        <w:spacing w:after="125"/>
        <w:ind w:left="567" w:right="297"/>
        <w:jc w:val="both"/>
        <w:rPr>
          <w:rFonts w:ascii="Century Gothic" w:hAnsi="Century Gothic" w:cs="Arial"/>
          <w:i/>
          <w:iCs/>
          <w:sz w:val="20"/>
          <w:szCs w:val="20"/>
        </w:rPr>
      </w:pPr>
      <w:r w:rsidRPr="00D40304">
        <w:rPr>
          <w:rFonts w:ascii="Century Gothic" w:hAnsi="Century Gothic" w:cs="Arial"/>
          <w:i/>
          <w:iCs/>
          <w:sz w:val="20"/>
          <w:szCs w:val="20"/>
        </w:rPr>
        <w:lastRenderedPageBreak/>
        <w:t>Para el periodo de gobierno 2011-2018, se repensaron tanto los alcances como los dispositivos organizativos del desarrollo social en Guanajuato y ante las evidencias presentadas por el CONEVAL en 2010 y el 2012 sobre la pobreza y las vulnerabilidades tanto del estado como de los municipios; se arriba a una nueva etapa, donde se exhibe un intento de organización de las instituciones del estado para dar una atención a los problemas sociales mucho más potente y reflexionada. Seguramente estos arreglos institucionales en la esfera de las decisiones gubernamentales fueron producto de que CONEVAL señaló que en Guanajuato la pobreza aumentó de 44.5% a 46.6% de la población del 2012 al 2014.</w:t>
      </w:r>
    </w:p>
    <w:p w14:paraId="34C842B1" w14:textId="77777777" w:rsidR="00E04C6E" w:rsidRPr="00D40304" w:rsidRDefault="00E04C6E" w:rsidP="009B04A7">
      <w:pPr>
        <w:spacing w:after="120"/>
        <w:ind w:left="567" w:right="297"/>
        <w:jc w:val="both"/>
        <w:rPr>
          <w:rFonts w:ascii="Century Gothic" w:hAnsi="Century Gothic" w:cs="Arial"/>
          <w:i/>
          <w:iCs/>
          <w:sz w:val="20"/>
          <w:szCs w:val="20"/>
        </w:rPr>
      </w:pPr>
      <w:r w:rsidRPr="00D40304">
        <w:rPr>
          <w:rFonts w:ascii="Century Gothic" w:hAnsi="Century Gothic" w:cs="Arial"/>
          <w:i/>
          <w:iCs/>
          <w:sz w:val="20"/>
          <w:szCs w:val="20"/>
        </w:rPr>
        <w:t>La nueva arquitectura para el desarrollo social, centrada en los Programas denominados Impulso, no modificó de fondo la perspectiva que los gobiernos estatales han venido empleando desde hace 30 años, es decir, focalizando a los sectores empobrecidos, atendiendo los riesgos sociales considerados como no deseables, centrado en abatir el déficit y no en términos del cumplimiento de derechos; con un proceso dicotómico entre priorizar la estrategia económica impuesta en favor del sector privado y la política social operada en la marginalidad y con recursos acotados a esa visión, así, la política social es la "ambulancia que recoge a los pobres atropellados por la economía".</w:t>
      </w:r>
    </w:p>
    <w:p w14:paraId="01B3429E" w14:textId="3A8E2C3B" w:rsidR="00E04C6E" w:rsidRPr="00D40304" w:rsidRDefault="00E04C6E" w:rsidP="009B04A7">
      <w:pPr>
        <w:spacing w:after="195"/>
        <w:ind w:left="567" w:right="297"/>
        <w:jc w:val="both"/>
        <w:rPr>
          <w:rFonts w:ascii="Century Gothic" w:hAnsi="Century Gothic" w:cs="Arial"/>
          <w:i/>
          <w:iCs/>
          <w:sz w:val="20"/>
          <w:szCs w:val="20"/>
        </w:rPr>
      </w:pPr>
      <w:r w:rsidRPr="00D40304">
        <w:rPr>
          <w:rFonts w:ascii="Century Gothic" w:hAnsi="Century Gothic" w:cs="Arial"/>
          <w:i/>
          <w:iCs/>
          <w:sz w:val="20"/>
          <w:szCs w:val="20"/>
        </w:rPr>
        <w:t xml:space="preserve">Hoy en día las cosas se mantienen de la misma forma en la lógica gubernamental de abordar el tema de la pobreza, pues la organización institucional sigue sin salirse del paradigma economicista de buscar en la inversión extranjera y en la idea de impulsar, ahora como moda, la mente-factura, pero al mismo tiempo sosteniendo una política de restricción y castigo al valor del trabajo, toda vez que los salarios no responden al valor de los bienes y servicios que producen por una parte, y por la otra las decisiones de apoyo a la sociedad en los tiempos de la pandemia priorizaron al sector privado, se mantuvo el esquela de privilegios del gabinete legal y ampliado, </w:t>
      </w:r>
      <w:r w:rsidRPr="00D40304">
        <w:rPr>
          <w:rFonts w:ascii="Century Gothic" w:hAnsi="Century Gothic" w:cs="Arial"/>
          <w:i/>
          <w:noProof/>
          <w:sz w:val="20"/>
          <w:szCs w:val="20"/>
        </w:rPr>
        <w:drawing>
          <wp:inline distT="0" distB="0" distL="0" distR="0" wp14:anchorId="4D1CE53A" wp14:editId="426868ED">
            <wp:extent cx="8890" cy="8890"/>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D40304">
        <w:rPr>
          <w:rFonts w:ascii="Century Gothic" w:hAnsi="Century Gothic" w:cs="Arial"/>
          <w:i/>
          <w:iCs/>
          <w:sz w:val="20"/>
          <w:szCs w:val="20"/>
        </w:rPr>
        <w:t>a la vez de que sigue habiendo una ceguera de taller, en donde la corrupción y la impunidad siguen siendo prácticas cotidianas. Los resultados del informe de CONEVAL para el 2020 muestran que la pobreza sigue siendo muy alta en Guanajuato.</w:t>
      </w:r>
    </w:p>
    <w:p w14:paraId="550F515B" w14:textId="77777777" w:rsidR="00E04C6E" w:rsidRPr="00D40304" w:rsidRDefault="00E04C6E" w:rsidP="009B04A7">
      <w:pPr>
        <w:spacing w:after="130"/>
        <w:ind w:left="567" w:right="297" w:firstLine="53"/>
        <w:jc w:val="both"/>
        <w:rPr>
          <w:rFonts w:ascii="Century Gothic" w:hAnsi="Century Gothic" w:cs="Arial"/>
          <w:i/>
          <w:iCs/>
          <w:sz w:val="20"/>
          <w:szCs w:val="20"/>
        </w:rPr>
      </w:pPr>
      <w:r w:rsidRPr="00D40304">
        <w:rPr>
          <w:rFonts w:ascii="Century Gothic" w:hAnsi="Century Gothic" w:cs="Arial"/>
          <w:i/>
          <w:iCs/>
          <w:sz w:val="20"/>
          <w:szCs w:val="20"/>
        </w:rPr>
        <w:t xml:space="preserve">Podemos observar con los datos de Coneval, que la población en situación de pobreza aumentó entre 2008 y 2018, ya que pasó de 44.1% al 43.8%. Así mismo, la población colocada por debajo de la línea de pobreza por ingreso pasó de 48.7% al 50.9% en el mismo periodo, y la población con ingreso inferior a la línea de pobreza extrema por ingreso pasó de 13 % a 15.9% en el mismo lapso. Hay que observar que hay avances en el resto de las carencias sociales que mide el CONEVAL, y que la población que se ubica en pobreza extrema pasó de 7.9% en 2008 a 4.2% en 2018, sin embargo, la población vulnerable por carencia por ingresos pasó del 4.6% al 7.5% en 10 años. Lo que confirma que, pese a la estrategia de aportar por la inversión extranjera y la inversión en obra pública para </w:t>
      </w:r>
      <w:r w:rsidRPr="00D40304">
        <w:rPr>
          <w:rFonts w:ascii="Century Gothic" w:hAnsi="Century Gothic" w:cs="Arial"/>
          <w:i/>
          <w:iCs/>
          <w:sz w:val="20"/>
          <w:szCs w:val="20"/>
        </w:rPr>
        <w:lastRenderedPageBreak/>
        <w:t>infraestructura que dé soporte a esa inversión foránea, son los bajos salarios lo que contribuye a mantener la situación social en Guanajuato.</w:t>
      </w:r>
    </w:p>
    <w:p w14:paraId="47B10579" w14:textId="77777777" w:rsidR="00E04C6E" w:rsidRPr="00D40304" w:rsidRDefault="00E04C6E" w:rsidP="009B04A7">
      <w:pPr>
        <w:ind w:left="567" w:right="297"/>
        <w:jc w:val="both"/>
        <w:rPr>
          <w:rFonts w:ascii="Century Gothic" w:hAnsi="Century Gothic" w:cs="Arial"/>
          <w:i/>
          <w:iCs/>
          <w:sz w:val="20"/>
          <w:szCs w:val="20"/>
        </w:rPr>
      </w:pPr>
      <w:r w:rsidRPr="00D40304">
        <w:rPr>
          <w:rFonts w:ascii="Century Gothic" w:hAnsi="Century Gothic" w:cs="Arial"/>
          <w:i/>
          <w:iCs/>
          <w:sz w:val="20"/>
          <w:szCs w:val="20"/>
        </w:rPr>
        <w:t>En el informe 2020 de CONEVAL sobre la pobreza para el caso de Guanajuato, ésta creció entre 2018 y 2020, al pasar de 41.5% a 42.7% y la pobreza extrema incrementó de 3.6% a 4.5%. Lo mismo pasó con la población con ingreso inferior a línea de pobreza extrema que fue para 2018 de 10.7% a 11.8% en 2020, y la población con ingreso inferior a la línea de pobreza por ingreso creció de 49.3% en 2018 a 51.1% en 2020. La población vulnerable por carencia por ingresos registró un aumento y pasó de 7.8% en 2018 a 8.4% en 2020. Si bien hay una mejora en promedio en la situación de las otras carencias sociales que se evalúan y esta es apenas del 1.2%. En síntesis, se observa que hay mejoras, pero la situación de la pobreza se sostiene estructuralmente y se agudiza por la carencia en ingresos y el efecto real que se incrementa pobreza y también pobreza extrema.</w:t>
      </w:r>
    </w:p>
    <w:p w14:paraId="6D2BD5A3" w14:textId="77777777" w:rsidR="00E04C6E" w:rsidRPr="00D40304" w:rsidRDefault="00E04C6E" w:rsidP="009B04A7">
      <w:pPr>
        <w:ind w:left="567" w:right="297"/>
        <w:jc w:val="both"/>
        <w:rPr>
          <w:rFonts w:ascii="Century Gothic" w:hAnsi="Century Gothic" w:cs="Arial"/>
          <w:i/>
          <w:iCs/>
          <w:sz w:val="20"/>
          <w:szCs w:val="20"/>
        </w:rPr>
      </w:pPr>
    </w:p>
    <w:p w14:paraId="45AFB085" w14:textId="55780FCC" w:rsidR="00E04C6E" w:rsidRPr="00D40304" w:rsidRDefault="00E04C6E" w:rsidP="009B04A7">
      <w:pPr>
        <w:ind w:left="567" w:right="297"/>
        <w:jc w:val="both"/>
        <w:rPr>
          <w:rFonts w:ascii="Century Gothic" w:hAnsi="Century Gothic" w:cs="Arial"/>
          <w:i/>
          <w:iCs/>
          <w:sz w:val="20"/>
          <w:szCs w:val="20"/>
        </w:rPr>
      </w:pPr>
      <w:r w:rsidRPr="00D40304">
        <w:rPr>
          <w:rFonts w:ascii="Century Gothic" w:hAnsi="Century Gothic" w:cs="Arial"/>
          <w:i/>
          <w:iCs/>
          <w:sz w:val="20"/>
          <w:szCs w:val="20"/>
        </w:rPr>
        <w:t xml:space="preserve">Aunque el CONEVAL hace evaluaciones y mediciones con alto estándar académico, tiene dos dificultades que lo hacen poco útil para la planeación y </w:t>
      </w:r>
      <w:r w:rsidRPr="00D40304">
        <w:rPr>
          <w:rFonts w:ascii="Century Gothic" w:hAnsi="Century Gothic" w:cs="Arial"/>
          <w:i/>
          <w:noProof/>
          <w:sz w:val="20"/>
          <w:szCs w:val="20"/>
        </w:rPr>
        <w:drawing>
          <wp:inline distT="0" distB="0" distL="0" distR="0" wp14:anchorId="6892BD7B" wp14:editId="5E2BE835">
            <wp:extent cx="8890" cy="8890"/>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D40304">
        <w:rPr>
          <w:rFonts w:ascii="Century Gothic" w:hAnsi="Century Gothic" w:cs="Arial"/>
          <w:i/>
          <w:iCs/>
          <w:sz w:val="20"/>
          <w:szCs w:val="20"/>
        </w:rPr>
        <w:t xml:space="preserve">evaluación para el estado de Guanajuato y sus municipios: la primera es que la evaluación para las entidades federativas se hace cada dos años y, cuando se </w:t>
      </w:r>
      <w:r w:rsidRPr="00D40304">
        <w:rPr>
          <w:rFonts w:ascii="Century Gothic" w:hAnsi="Century Gothic" w:cs="Arial"/>
          <w:i/>
          <w:noProof/>
          <w:sz w:val="20"/>
          <w:szCs w:val="20"/>
        </w:rPr>
        <w:drawing>
          <wp:inline distT="0" distB="0" distL="0" distR="0" wp14:anchorId="607C0899" wp14:editId="1927FC97">
            <wp:extent cx="8890" cy="8890"/>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D40304">
        <w:rPr>
          <w:rFonts w:ascii="Century Gothic" w:hAnsi="Century Gothic" w:cs="Arial"/>
          <w:i/>
          <w:iCs/>
          <w:sz w:val="20"/>
          <w:szCs w:val="20"/>
        </w:rPr>
        <w:t>realiza, resulta de poca utilidad para la toma de decisiones oportuna por tratarse de datos "viejos"; la segunda es que la medición para los municipios se hace cada cinco años, aún todavía menos útil que las mediciones estatales.</w:t>
      </w:r>
    </w:p>
    <w:p w14:paraId="0013C426" w14:textId="77777777" w:rsidR="00E04C6E" w:rsidRPr="00D40304" w:rsidRDefault="00E04C6E" w:rsidP="009B04A7">
      <w:pPr>
        <w:ind w:left="567" w:right="297"/>
        <w:jc w:val="both"/>
        <w:rPr>
          <w:rFonts w:ascii="Century Gothic" w:hAnsi="Century Gothic" w:cs="Arial"/>
          <w:i/>
          <w:iCs/>
          <w:sz w:val="20"/>
          <w:szCs w:val="20"/>
        </w:rPr>
      </w:pPr>
    </w:p>
    <w:p w14:paraId="11589384" w14:textId="72FADDB3" w:rsidR="00E04C6E" w:rsidRPr="00D40304" w:rsidRDefault="00E04C6E" w:rsidP="009B04A7">
      <w:pPr>
        <w:ind w:left="567" w:right="297"/>
        <w:jc w:val="both"/>
        <w:rPr>
          <w:rFonts w:ascii="Century Gothic" w:hAnsi="Century Gothic" w:cs="Arial"/>
          <w:i/>
          <w:iCs/>
          <w:sz w:val="20"/>
          <w:szCs w:val="20"/>
        </w:rPr>
      </w:pPr>
      <w:r w:rsidRPr="00D40304">
        <w:rPr>
          <w:rFonts w:ascii="Century Gothic" w:hAnsi="Century Gothic" w:cs="Arial"/>
          <w:i/>
          <w:iCs/>
          <w:sz w:val="20"/>
          <w:szCs w:val="20"/>
        </w:rPr>
        <w:t xml:space="preserve">Esto, precisamente, muestra la necesidad de replantear los mecanismos institucionales coadyuvantes en la mejora de la política pública en Guanajuato. Como se ha señalado, la relación entre el gobierno estatal y la academia, entendida </w:t>
      </w:r>
      <w:r w:rsidRPr="00D40304">
        <w:rPr>
          <w:rFonts w:ascii="Century Gothic" w:hAnsi="Century Gothic" w:cs="Arial"/>
          <w:i/>
          <w:noProof/>
          <w:sz w:val="20"/>
          <w:szCs w:val="20"/>
        </w:rPr>
        <w:drawing>
          <wp:inline distT="0" distB="0" distL="0" distR="0" wp14:anchorId="1162CB86" wp14:editId="15F1A95C">
            <wp:extent cx="8890" cy="8890"/>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D40304">
        <w:rPr>
          <w:rFonts w:ascii="Century Gothic" w:hAnsi="Century Gothic" w:cs="Arial"/>
          <w:i/>
          <w:iCs/>
          <w:sz w:val="20"/>
          <w:szCs w:val="20"/>
        </w:rPr>
        <w:t>como organismo especializado de participación ciudadana, tiene una añeja tradición. Además de las ya señaladas en los párrafos anteriores, se pueden enumerar algunas investigaciones recientes financiadas con recursos públicos para comprender mejor los problemas sociales de Guanajuato, entre ellas se pueden mencionar las desarrolladas por el CIDE (Centro de Investigación y Desarrollo Académico), la Universidad Iberoamericana Ciudad de México con respecto a la evaluación del Programa Impulso, la Universidad Iberoamericana León con un diagnóstico sobre la atención a familias migrantes jornaleras, y la Universidad de Guanajuato para proponer un protocolo de atención para estas familias.</w:t>
      </w:r>
    </w:p>
    <w:p w14:paraId="0E1FDACA" w14:textId="77777777" w:rsidR="00E04C6E" w:rsidRPr="00D40304" w:rsidRDefault="00E04C6E" w:rsidP="009B04A7">
      <w:pPr>
        <w:ind w:left="567" w:right="297"/>
        <w:jc w:val="both"/>
        <w:rPr>
          <w:rFonts w:ascii="Century Gothic" w:hAnsi="Century Gothic" w:cs="Arial"/>
          <w:i/>
          <w:iCs/>
          <w:sz w:val="20"/>
          <w:szCs w:val="20"/>
        </w:rPr>
      </w:pPr>
    </w:p>
    <w:p w14:paraId="7719427A" w14:textId="77777777" w:rsidR="00E04C6E" w:rsidRPr="00D40304" w:rsidRDefault="00E04C6E" w:rsidP="009B04A7">
      <w:pPr>
        <w:spacing w:after="152"/>
        <w:ind w:left="567" w:right="297"/>
        <w:jc w:val="both"/>
        <w:rPr>
          <w:rFonts w:ascii="Century Gothic" w:hAnsi="Century Gothic" w:cs="Arial"/>
          <w:i/>
          <w:iCs/>
          <w:sz w:val="20"/>
          <w:szCs w:val="20"/>
        </w:rPr>
      </w:pPr>
      <w:r w:rsidRPr="00D40304">
        <w:rPr>
          <w:rFonts w:ascii="Century Gothic" w:hAnsi="Century Gothic" w:cs="Arial"/>
          <w:i/>
          <w:iCs/>
          <w:sz w:val="20"/>
          <w:szCs w:val="20"/>
        </w:rPr>
        <w:t>Es conveniente acotar que el Coneval está normado por la Ley General de Desarrollo Social y entre sus definiciones principales, se encuentran las siguientes:</w:t>
      </w:r>
    </w:p>
    <w:p w14:paraId="1F183AD3" w14:textId="77777777" w:rsidR="00E04C6E" w:rsidRPr="00D40304" w:rsidRDefault="00E04C6E" w:rsidP="009B04A7">
      <w:pPr>
        <w:spacing w:after="5"/>
        <w:ind w:left="567" w:right="297"/>
        <w:jc w:val="both"/>
        <w:rPr>
          <w:rFonts w:ascii="Century Gothic" w:hAnsi="Century Gothic" w:cs="Arial"/>
          <w:i/>
          <w:iCs/>
          <w:sz w:val="20"/>
          <w:szCs w:val="20"/>
        </w:rPr>
      </w:pPr>
      <w:r w:rsidRPr="00D40304">
        <w:rPr>
          <w:rFonts w:ascii="Century Gothic" w:hAnsi="Century Gothic" w:cs="Arial"/>
          <w:i/>
          <w:iCs/>
          <w:sz w:val="20"/>
          <w:szCs w:val="20"/>
        </w:rPr>
        <w:t>Artículo 36. Los lineamientos y …</w:t>
      </w:r>
    </w:p>
    <w:p w14:paraId="7F9585B1" w14:textId="77777777" w:rsidR="00E04C6E" w:rsidRPr="00D40304" w:rsidRDefault="00E04C6E" w:rsidP="009B04A7">
      <w:pPr>
        <w:spacing w:after="5"/>
        <w:ind w:left="567" w:right="297"/>
        <w:jc w:val="both"/>
        <w:rPr>
          <w:rFonts w:ascii="Century Gothic" w:hAnsi="Century Gothic" w:cs="Arial"/>
          <w:i/>
          <w:iCs/>
          <w:sz w:val="20"/>
          <w:szCs w:val="20"/>
        </w:rPr>
      </w:pPr>
    </w:p>
    <w:p w14:paraId="2636DDB9" w14:textId="77777777" w:rsidR="00E04C6E" w:rsidRPr="00D40304" w:rsidRDefault="00E04C6E" w:rsidP="009B04A7">
      <w:pPr>
        <w:ind w:left="567" w:right="297"/>
        <w:jc w:val="both"/>
        <w:rPr>
          <w:rFonts w:ascii="Century Gothic" w:hAnsi="Century Gothic" w:cs="Arial"/>
          <w:i/>
          <w:iCs/>
          <w:sz w:val="20"/>
          <w:szCs w:val="20"/>
        </w:rPr>
      </w:pPr>
      <w:r w:rsidRPr="00D40304">
        <w:rPr>
          <w:rFonts w:ascii="Century Gothic" w:hAnsi="Century Gothic" w:cs="Arial"/>
          <w:i/>
          <w:iCs/>
          <w:sz w:val="20"/>
          <w:szCs w:val="20"/>
        </w:rPr>
        <w:t>Artículo 81. El Consejo Nacional ...</w:t>
      </w:r>
    </w:p>
    <w:p w14:paraId="21E4D6F4" w14:textId="77777777" w:rsidR="00E04C6E" w:rsidRPr="00D40304" w:rsidRDefault="00E04C6E" w:rsidP="009B04A7">
      <w:pPr>
        <w:ind w:left="567" w:right="297"/>
        <w:jc w:val="both"/>
        <w:rPr>
          <w:rFonts w:ascii="Century Gothic" w:hAnsi="Century Gothic" w:cs="Arial"/>
          <w:i/>
          <w:iCs/>
          <w:sz w:val="20"/>
          <w:szCs w:val="20"/>
        </w:rPr>
      </w:pPr>
    </w:p>
    <w:p w14:paraId="631712D3" w14:textId="77777777" w:rsidR="00E04C6E" w:rsidRPr="00D40304" w:rsidRDefault="00E04C6E" w:rsidP="009B04A7">
      <w:pPr>
        <w:ind w:left="567" w:right="297"/>
        <w:jc w:val="both"/>
        <w:rPr>
          <w:rFonts w:ascii="Century Gothic" w:hAnsi="Century Gothic" w:cs="Arial"/>
          <w:i/>
          <w:iCs/>
          <w:sz w:val="20"/>
          <w:szCs w:val="20"/>
        </w:rPr>
      </w:pPr>
      <w:r w:rsidRPr="00D40304">
        <w:rPr>
          <w:rFonts w:ascii="Century Gothic" w:hAnsi="Century Gothic" w:cs="Arial"/>
          <w:i/>
          <w:iCs/>
          <w:sz w:val="20"/>
          <w:szCs w:val="20"/>
        </w:rPr>
        <w:t>Artículo 82. El Consejo …</w:t>
      </w:r>
    </w:p>
    <w:p w14:paraId="073A0DBC" w14:textId="77777777" w:rsidR="00E04C6E" w:rsidRPr="00D40304" w:rsidRDefault="00E04C6E" w:rsidP="009B04A7">
      <w:pPr>
        <w:ind w:left="567" w:right="297"/>
        <w:jc w:val="both"/>
        <w:rPr>
          <w:rFonts w:ascii="Century Gothic" w:hAnsi="Century Gothic" w:cs="Arial"/>
          <w:i/>
          <w:iCs/>
          <w:sz w:val="20"/>
          <w:szCs w:val="20"/>
        </w:rPr>
      </w:pPr>
    </w:p>
    <w:p w14:paraId="592D9A0C" w14:textId="77777777" w:rsidR="00E04C6E" w:rsidRPr="00D40304" w:rsidRDefault="00E04C6E" w:rsidP="009B04A7">
      <w:pPr>
        <w:spacing w:after="203"/>
        <w:ind w:left="567" w:right="297"/>
        <w:jc w:val="both"/>
        <w:rPr>
          <w:rFonts w:ascii="Century Gothic" w:hAnsi="Century Gothic" w:cs="Arial"/>
          <w:i/>
          <w:iCs/>
          <w:sz w:val="20"/>
          <w:szCs w:val="20"/>
        </w:rPr>
      </w:pPr>
      <w:r w:rsidRPr="00D40304">
        <w:rPr>
          <w:rFonts w:ascii="Century Gothic" w:hAnsi="Century Gothic" w:cs="Arial"/>
          <w:i/>
          <w:iCs/>
          <w:sz w:val="20"/>
          <w:szCs w:val="20"/>
        </w:rPr>
        <w:t xml:space="preserve">De este par de artículos sobre el CONEVAL se desprenden tres elementos muy útiles para Guanajuato: 1 </w:t>
      </w:r>
      <w:r w:rsidRPr="00D40304">
        <w:rPr>
          <w:rFonts w:ascii="Century Gothic" w:hAnsi="Century Gothic" w:cs="Arial"/>
          <w:i/>
          <w:iCs/>
          <w:sz w:val="20"/>
          <w:szCs w:val="20"/>
          <w:vertAlign w:val="superscript"/>
        </w:rPr>
        <w:t xml:space="preserve">0 </w:t>
      </w:r>
      <w:r w:rsidRPr="00D40304">
        <w:rPr>
          <w:rFonts w:ascii="Century Gothic" w:hAnsi="Century Gothic" w:cs="Arial"/>
          <w:i/>
          <w:iCs/>
          <w:sz w:val="20"/>
          <w:szCs w:val="20"/>
        </w:rPr>
        <w:t xml:space="preserve">es un órgano con autonomía técnica del gobierno y con presupuesto propio; 2 </w:t>
      </w:r>
      <w:r w:rsidRPr="00D40304">
        <w:rPr>
          <w:rFonts w:ascii="Century Gothic" w:hAnsi="Century Gothic" w:cs="Arial"/>
          <w:i/>
          <w:iCs/>
          <w:sz w:val="20"/>
          <w:szCs w:val="20"/>
          <w:vertAlign w:val="superscript"/>
        </w:rPr>
        <w:t xml:space="preserve">0 </w:t>
      </w:r>
      <w:r w:rsidRPr="00D40304">
        <w:rPr>
          <w:rFonts w:ascii="Century Gothic" w:hAnsi="Century Gothic" w:cs="Arial"/>
          <w:i/>
          <w:iCs/>
          <w:sz w:val="20"/>
          <w:szCs w:val="20"/>
        </w:rPr>
        <w:t>sus evaluaciones son obligatorias de considerar para la planeación de los entes públicos y 3</w:t>
      </w:r>
      <w:r w:rsidRPr="00D40304">
        <w:rPr>
          <w:rFonts w:ascii="Century Gothic" w:hAnsi="Century Gothic" w:cs="Arial"/>
          <w:i/>
          <w:iCs/>
          <w:sz w:val="20"/>
          <w:szCs w:val="20"/>
          <w:vertAlign w:val="superscript"/>
        </w:rPr>
        <w:t xml:space="preserve">0 </w:t>
      </w:r>
      <w:r w:rsidRPr="00D40304">
        <w:rPr>
          <w:rFonts w:ascii="Century Gothic" w:hAnsi="Century Gothic" w:cs="Arial"/>
          <w:i/>
          <w:iCs/>
          <w:sz w:val="20"/>
          <w:szCs w:val="20"/>
        </w:rPr>
        <w:t>su conformación es con investigadores miembros del Sistema Nacional de Investigadores lo que asegura solvencia académica.</w:t>
      </w:r>
    </w:p>
    <w:p w14:paraId="457B9367" w14:textId="3186D81D" w:rsidR="00E04C6E" w:rsidRPr="00D40304" w:rsidRDefault="00E04C6E" w:rsidP="009B04A7">
      <w:pPr>
        <w:ind w:left="567" w:right="297"/>
        <w:jc w:val="both"/>
        <w:rPr>
          <w:rFonts w:ascii="Century Gothic" w:hAnsi="Century Gothic" w:cs="Arial"/>
          <w:i/>
          <w:iCs/>
          <w:sz w:val="20"/>
          <w:szCs w:val="20"/>
        </w:rPr>
      </w:pPr>
      <w:r w:rsidRPr="00D40304">
        <w:rPr>
          <w:rFonts w:ascii="Century Gothic" w:hAnsi="Century Gothic" w:cs="Arial"/>
          <w:i/>
          <w:iCs/>
          <w:sz w:val="20"/>
          <w:szCs w:val="20"/>
        </w:rPr>
        <w:t xml:space="preserve">Se hace necesaria, entonces, una reestructuración de la evaluación de las políticas públicas en el combate a la pobreza en Guanajuato, para observarlas desde la </w:t>
      </w:r>
      <w:r w:rsidRPr="00D40304">
        <w:rPr>
          <w:rFonts w:ascii="Century Gothic" w:hAnsi="Century Gothic" w:cs="Arial"/>
          <w:i/>
          <w:noProof/>
          <w:sz w:val="20"/>
          <w:szCs w:val="20"/>
        </w:rPr>
        <w:drawing>
          <wp:inline distT="0" distB="0" distL="0" distR="0" wp14:anchorId="16268369" wp14:editId="26D76D3F">
            <wp:extent cx="8890" cy="8890"/>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D40304">
        <w:rPr>
          <w:rFonts w:ascii="Century Gothic" w:hAnsi="Century Gothic" w:cs="Arial"/>
          <w:i/>
          <w:iCs/>
          <w:sz w:val="20"/>
          <w:szCs w:val="20"/>
        </w:rPr>
        <w:t xml:space="preserve">integralidad de sus efectos en el bienestar de la población más vulnerable, a la par de revisar la arquitectura institucional desde una visión propia del desarrollo social. Esto se hace más necesario porque uno de los instrumentos de planeación en Guanajuato reside en los Objetivos de Desarrollo Sostenible, y el primer objetivo, mismo que es parte de la columna vertebral desde que la ONU planteó los Objetivos </w:t>
      </w:r>
      <w:r w:rsidRPr="00D40304">
        <w:rPr>
          <w:rFonts w:ascii="Century Gothic" w:hAnsi="Century Gothic" w:cs="Arial"/>
          <w:i/>
          <w:noProof/>
          <w:sz w:val="20"/>
          <w:szCs w:val="20"/>
        </w:rPr>
        <w:drawing>
          <wp:inline distT="0" distB="0" distL="0" distR="0" wp14:anchorId="5E8C21AB" wp14:editId="21A53887">
            <wp:extent cx="8890" cy="8890"/>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D40304">
        <w:rPr>
          <w:rFonts w:ascii="Century Gothic" w:hAnsi="Century Gothic" w:cs="Arial"/>
          <w:i/>
          <w:iCs/>
          <w:sz w:val="20"/>
          <w:szCs w:val="20"/>
        </w:rPr>
        <w:t>del Milenio, es el combate a la pobreza.</w:t>
      </w:r>
    </w:p>
    <w:p w14:paraId="30D2B67A" w14:textId="77777777" w:rsidR="00E04C6E" w:rsidRPr="00D40304" w:rsidRDefault="00E04C6E" w:rsidP="009B04A7">
      <w:pPr>
        <w:ind w:left="567" w:right="297"/>
        <w:jc w:val="both"/>
        <w:rPr>
          <w:rFonts w:ascii="Century Gothic" w:hAnsi="Century Gothic" w:cs="Arial"/>
          <w:i/>
          <w:iCs/>
          <w:sz w:val="20"/>
          <w:szCs w:val="20"/>
        </w:rPr>
      </w:pPr>
    </w:p>
    <w:p w14:paraId="1EAF3AEB" w14:textId="7D9610FA" w:rsidR="00E04C6E" w:rsidRPr="00D40304" w:rsidRDefault="00E04C6E" w:rsidP="009B04A7">
      <w:pPr>
        <w:spacing w:after="200"/>
        <w:ind w:left="567" w:right="297" w:firstLine="82"/>
        <w:jc w:val="both"/>
        <w:rPr>
          <w:rFonts w:ascii="Century Gothic" w:hAnsi="Century Gothic" w:cs="Arial"/>
          <w:i/>
          <w:iCs/>
          <w:sz w:val="20"/>
          <w:szCs w:val="20"/>
        </w:rPr>
      </w:pPr>
      <w:r w:rsidRPr="00D40304">
        <w:rPr>
          <w:rFonts w:ascii="Century Gothic" w:hAnsi="Century Gothic" w:cs="Arial"/>
          <w:i/>
          <w:iCs/>
          <w:sz w:val="20"/>
          <w:szCs w:val="20"/>
        </w:rPr>
        <w:t xml:space="preserve">Todo lo anterior apunta a la necesidad de tener una mirada nueva para evaluar lo que hace el gobierno en materia de desarrollo social. Es claro que el gobierno del estado busca tener información de los resultados de las acciones que en materia de política social viene haciendo, pero también es cierto que no está claro cómo lo realiza. Además, se ubica en una posición sesgada en cualquier caso, ya que es juez y parte, lo que le permite "observar", "corregir", "ajustar" o "cambiar" de forma específica y discrecional las acciones del gobierno a través de sus instituciones, por lo cual deja de lado la posibilidad establecer evaluaciones de las políticas públicas a nivel municipal, con una periodicidad anual, y con esto integrar y articular la rendición de cuentas y su análisis respectivo con relación a la revisión y aprobación de la cuenta pública, así como al informe anual de gobierno que permita, a la vez, la construcción de un sistema de información social, una matriz que tenga un alcance cada vez más preciso y por tanto sólido y robusto, que posibilite encontrar y potenciar las acciones de gobierno y tomar las mejores decisiones para combatir, disminuir y erradicar el rezago social, la pobreza, la pobreza extrema y la exclusión de los grupos con mayor vulnerabilidad social y económica, todo ello, bajo el enfoque de derechos propio de la justicia social y dentro de un amplio esquema que permita el desarrollo humano de la población, el desarrollo sustentable y sostenible </w:t>
      </w:r>
      <w:r w:rsidRPr="00D40304">
        <w:rPr>
          <w:rFonts w:ascii="Century Gothic" w:hAnsi="Century Gothic" w:cs="Arial"/>
          <w:i/>
          <w:noProof/>
          <w:sz w:val="20"/>
          <w:szCs w:val="20"/>
        </w:rPr>
        <w:drawing>
          <wp:inline distT="0" distB="0" distL="0" distR="0" wp14:anchorId="40F484BF" wp14:editId="5BE1B97E">
            <wp:extent cx="8890" cy="8890"/>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D40304">
        <w:rPr>
          <w:rFonts w:ascii="Century Gothic" w:hAnsi="Century Gothic" w:cs="Arial"/>
          <w:i/>
          <w:iCs/>
          <w:sz w:val="20"/>
          <w:szCs w:val="20"/>
        </w:rPr>
        <w:t>del estado de Guanajuato.</w:t>
      </w:r>
    </w:p>
    <w:p w14:paraId="4373FF9F" w14:textId="77777777" w:rsidR="00E04C6E" w:rsidRPr="00D40304" w:rsidRDefault="00E04C6E" w:rsidP="009B04A7">
      <w:pPr>
        <w:spacing w:after="203"/>
        <w:ind w:left="567" w:right="297"/>
        <w:jc w:val="both"/>
        <w:rPr>
          <w:rFonts w:ascii="Century Gothic" w:hAnsi="Century Gothic" w:cs="Arial"/>
          <w:i/>
          <w:iCs/>
          <w:sz w:val="20"/>
          <w:szCs w:val="20"/>
        </w:rPr>
      </w:pPr>
      <w:r w:rsidRPr="00D40304">
        <w:rPr>
          <w:rFonts w:ascii="Century Gothic" w:hAnsi="Century Gothic" w:cs="Arial"/>
          <w:i/>
          <w:iCs/>
          <w:sz w:val="20"/>
          <w:szCs w:val="20"/>
        </w:rPr>
        <w:t>Es relevante dejar en claro la necesidad de impulsar una gobernanza que permita la participación social y que abra los espacios para que la transparencia y la rendición de cuentas tengan una resonancia en la ciudadanía, y que las políticas públicas que se diseñan y se ponen en práctica desde las acciones de gobierno tengan interlocutores en la sociedad para que puedan acompañar de la mejor forma posible a las instituciones del estado en las encomiendas y responsabilidades que tienen por mandato constitucional.</w:t>
      </w:r>
    </w:p>
    <w:p w14:paraId="54223DB8" w14:textId="77777777" w:rsidR="00E04C6E" w:rsidRPr="00D40304" w:rsidRDefault="00E04C6E" w:rsidP="009B04A7">
      <w:pPr>
        <w:ind w:left="567" w:right="297"/>
        <w:jc w:val="both"/>
        <w:rPr>
          <w:rFonts w:ascii="Century Gothic" w:hAnsi="Century Gothic" w:cs="Arial"/>
          <w:i/>
          <w:iCs/>
          <w:sz w:val="20"/>
          <w:szCs w:val="20"/>
        </w:rPr>
      </w:pPr>
      <w:r w:rsidRPr="00D40304">
        <w:rPr>
          <w:rFonts w:ascii="Century Gothic" w:hAnsi="Century Gothic" w:cs="Arial"/>
          <w:i/>
          <w:iCs/>
          <w:sz w:val="20"/>
          <w:szCs w:val="20"/>
        </w:rPr>
        <w:lastRenderedPageBreak/>
        <w:t>En este sentido, para propiciar una participación ciudadana con pleno enfoque de derechos, la propuesta que se presenta busca crear un órgano de evaluación de la política social, totalmente ciudadanizado, con independencia del Ejecutivo, para que deje de ser juez y parte, con una clara autonomía como organismo público descentralizado, con personalidad jurídica, con patrimonio propio y autonomía técnica y de gestión, que tenga como objeto el normar y coordinar la evaluación de las Políticas y Programas de Desarrollo Social que ejecuten las instituciones y dependencias del gobierno del Estado de Guanajuato.</w:t>
      </w:r>
    </w:p>
    <w:p w14:paraId="40A69635" w14:textId="77777777" w:rsidR="00E04C6E" w:rsidRPr="00D40304" w:rsidRDefault="00E04C6E" w:rsidP="009B04A7">
      <w:pPr>
        <w:ind w:left="567" w:right="297"/>
        <w:jc w:val="both"/>
        <w:rPr>
          <w:rFonts w:ascii="Century Gothic" w:hAnsi="Century Gothic" w:cs="Arial"/>
          <w:i/>
          <w:iCs/>
          <w:sz w:val="20"/>
          <w:szCs w:val="20"/>
        </w:rPr>
      </w:pPr>
    </w:p>
    <w:p w14:paraId="51DD4B57" w14:textId="31F52B33" w:rsidR="00E04C6E" w:rsidRPr="00D40304" w:rsidRDefault="00E04C6E" w:rsidP="009B04A7">
      <w:pPr>
        <w:spacing w:after="205"/>
        <w:ind w:left="567" w:right="297"/>
        <w:jc w:val="both"/>
        <w:rPr>
          <w:rFonts w:ascii="Century Gothic" w:hAnsi="Century Gothic" w:cs="Arial"/>
          <w:i/>
          <w:iCs/>
          <w:sz w:val="20"/>
          <w:szCs w:val="20"/>
        </w:rPr>
      </w:pPr>
      <w:r w:rsidRPr="00D40304">
        <w:rPr>
          <w:rFonts w:ascii="Century Gothic" w:hAnsi="Century Gothic" w:cs="Arial"/>
          <w:i/>
          <w:iCs/>
          <w:sz w:val="20"/>
          <w:szCs w:val="20"/>
        </w:rPr>
        <w:t>Asimismo, se busca que este organismo determine los lineamientos, criterios y estrategias para la definición, identificación y medición de la pobreza, -siguiendo el modelo del CONEVAL-, para garantizar la transparencia, objetividad y rigor técnico en dicha actividad, así como para poder hacer comparables las mediciones estatales con las nacionales, permitiendo crear un sistema de información con base territorial, que sea de utilidad esencial para el diseño e implementación de las políticas públicas y dé soporte social para dirigir las acciones de planeación e intervención gubernamental.</w:t>
      </w:r>
      <w:r w:rsidRPr="00D40304">
        <w:rPr>
          <w:rFonts w:ascii="Century Gothic" w:hAnsi="Century Gothic" w:cs="Arial"/>
          <w:i/>
          <w:noProof/>
          <w:sz w:val="20"/>
          <w:szCs w:val="20"/>
        </w:rPr>
        <w:drawing>
          <wp:inline distT="0" distB="0" distL="0" distR="0" wp14:anchorId="7F95753D" wp14:editId="726BF078">
            <wp:extent cx="8890" cy="8890"/>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p w14:paraId="31A02B83" w14:textId="60E14277" w:rsidR="00E04C6E" w:rsidRPr="00D40304" w:rsidRDefault="00E04C6E" w:rsidP="009B04A7">
      <w:pPr>
        <w:ind w:left="567" w:right="297"/>
        <w:jc w:val="both"/>
        <w:rPr>
          <w:rFonts w:ascii="Century Gothic" w:hAnsi="Century Gothic" w:cs="Arial"/>
          <w:i/>
          <w:iCs/>
          <w:sz w:val="20"/>
          <w:szCs w:val="20"/>
        </w:rPr>
      </w:pPr>
      <w:r w:rsidRPr="00D40304">
        <w:rPr>
          <w:rFonts w:ascii="Century Gothic" w:hAnsi="Century Gothic" w:cs="Arial"/>
          <w:i/>
          <w:iCs/>
          <w:sz w:val="20"/>
          <w:szCs w:val="20"/>
        </w:rPr>
        <w:t>Si bien, algunas de estas acciones de evaluación están consideradas en los atributos que tiene el propio gobernador, así como la SEDESHU, es evidente que esta propuesta abona sustancialmente a contar con instrumentos y datos para lograr los mejores fines y ofrecer resultados cada vez más objetivos desde la medición que implica. El CONEVAL tiene como lema: "lo que se mide se puede mejorar". Por lo que, en suma, se propone la creación del Consejo para la Evaluación de la Política Pública del Desarrollo Social en Guanajuato.</w:t>
      </w:r>
      <w:r w:rsidRPr="00D40304">
        <w:rPr>
          <w:rFonts w:ascii="Century Gothic" w:hAnsi="Century Gothic" w:cs="Arial"/>
          <w:i/>
          <w:noProof/>
          <w:sz w:val="20"/>
          <w:szCs w:val="20"/>
        </w:rPr>
        <w:drawing>
          <wp:inline distT="0" distB="0" distL="0" distR="0" wp14:anchorId="23BFADE8" wp14:editId="6F17032A">
            <wp:extent cx="8890" cy="8890"/>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p w14:paraId="68B2116F" w14:textId="77777777" w:rsidR="00E04C6E" w:rsidRPr="00D40304" w:rsidRDefault="00E04C6E" w:rsidP="009B04A7">
      <w:pPr>
        <w:ind w:left="567" w:right="297"/>
        <w:jc w:val="both"/>
        <w:rPr>
          <w:rFonts w:ascii="Century Gothic" w:hAnsi="Century Gothic" w:cs="Arial"/>
          <w:i/>
          <w:iCs/>
          <w:sz w:val="20"/>
          <w:szCs w:val="20"/>
        </w:rPr>
      </w:pPr>
    </w:p>
    <w:p w14:paraId="1253CF28" w14:textId="77777777" w:rsidR="00E04C6E" w:rsidRPr="00D40304" w:rsidRDefault="00E04C6E" w:rsidP="009B04A7">
      <w:pPr>
        <w:ind w:left="567" w:right="297"/>
        <w:jc w:val="both"/>
        <w:rPr>
          <w:rFonts w:ascii="Century Gothic" w:hAnsi="Century Gothic" w:cs="Arial"/>
          <w:i/>
          <w:iCs/>
          <w:sz w:val="20"/>
          <w:szCs w:val="20"/>
        </w:rPr>
      </w:pPr>
      <w:r w:rsidRPr="00D40304">
        <w:rPr>
          <w:rFonts w:ascii="Century Gothic" w:hAnsi="Century Gothic" w:cs="Arial"/>
          <w:i/>
          <w:iCs/>
          <w:sz w:val="20"/>
          <w:szCs w:val="20"/>
        </w:rPr>
        <w:t>Se parte de entender que los programas sociales y las políticas públicas deben estar orientados a la solución de alguna problemática que afecta a la población, la cual, se considera la razón de ser del programa. Los programas sociales federales y estatales buscan la mejora educativa, productividad, superación de carencias sociales, ciencia y tecnología, mejora en salud, mejora laboral, bienestar social, desarrollo cultural, medio ambiente, desarrollo rural y bienestar económico. Las políticas públicas y los programas sociales, muchos de ellos tienen como parte de su objetivo principal -propósito- temas de gestión social o la entrega de bienes y servicios; sin embargo, se espera que los resultados se traduzcan en un cambio de la población sustantivo en la calidad de vida y en el bienestar a la cual atienden esas acciones gubernamentales -impacto-, por lo que la evaluación se convierte en la herramienta estratégica para orientar el esfuerzo del aparato institucional, así como lo que se refiere al uso de los recursos públicos y el que realice a través de un Consejo especializado con plena autonomía y de forma objetiva y profesional.</w:t>
      </w:r>
    </w:p>
    <w:p w14:paraId="343EE05D" w14:textId="77777777" w:rsidR="00E04C6E" w:rsidRPr="00D40304" w:rsidRDefault="00E04C6E" w:rsidP="009B04A7">
      <w:pPr>
        <w:ind w:left="567" w:right="297"/>
        <w:jc w:val="both"/>
        <w:rPr>
          <w:rFonts w:ascii="Century Gothic" w:hAnsi="Century Gothic" w:cs="Arial"/>
          <w:i/>
          <w:iCs/>
          <w:sz w:val="20"/>
          <w:szCs w:val="20"/>
        </w:rPr>
      </w:pPr>
    </w:p>
    <w:p w14:paraId="6B32176A" w14:textId="77777777" w:rsidR="00E04C6E" w:rsidRPr="00D40304" w:rsidRDefault="00E04C6E" w:rsidP="009B04A7">
      <w:pPr>
        <w:spacing w:after="195"/>
        <w:ind w:left="567" w:right="297"/>
        <w:jc w:val="both"/>
        <w:rPr>
          <w:rFonts w:ascii="Century Gothic" w:hAnsi="Century Gothic" w:cs="Arial"/>
          <w:i/>
          <w:iCs/>
          <w:sz w:val="20"/>
          <w:szCs w:val="20"/>
        </w:rPr>
      </w:pPr>
      <w:r w:rsidRPr="00D40304">
        <w:rPr>
          <w:rFonts w:ascii="Century Gothic" w:hAnsi="Century Gothic" w:cs="Arial"/>
          <w:i/>
          <w:iCs/>
          <w:sz w:val="20"/>
          <w:szCs w:val="20"/>
        </w:rPr>
        <w:lastRenderedPageBreak/>
        <w:t>Por otra parte, y en el marco jurídico vigente en el Estado, existen tres ordenamientos que hablan de la participación social y de evaluación de las políticas públicas:</w:t>
      </w:r>
    </w:p>
    <w:p w14:paraId="7BB93038" w14:textId="77777777" w:rsidR="00E04C6E" w:rsidRPr="00D40304" w:rsidRDefault="00E04C6E" w:rsidP="009B04A7">
      <w:pPr>
        <w:spacing w:after="189"/>
        <w:ind w:left="567" w:right="297" w:firstLine="4"/>
        <w:jc w:val="both"/>
        <w:rPr>
          <w:rFonts w:ascii="Century Gothic" w:hAnsi="Century Gothic" w:cs="Arial"/>
          <w:i/>
          <w:iCs/>
          <w:sz w:val="20"/>
          <w:szCs w:val="20"/>
        </w:rPr>
      </w:pPr>
      <w:r w:rsidRPr="00D40304">
        <w:rPr>
          <w:rFonts w:ascii="Century Gothic" w:hAnsi="Century Gothic" w:cs="Arial"/>
          <w:i/>
          <w:iCs/>
          <w:sz w:val="20"/>
          <w:szCs w:val="20"/>
        </w:rPr>
        <w:t>Primer ordenamiento: Ley de Desarrollo Social y Humano para el Estado y los Municipios de Guanajuato.</w:t>
      </w:r>
    </w:p>
    <w:p w14:paraId="4C1FCA66" w14:textId="2F5DE80D" w:rsidR="00E04C6E" w:rsidRPr="00D40304" w:rsidRDefault="00E04C6E" w:rsidP="009B04A7">
      <w:pPr>
        <w:ind w:left="567" w:right="297"/>
        <w:jc w:val="both"/>
        <w:rPr>
          <w:rFonts w:ascii="Century Gothic" w:hAnsi="Century Gothic" w:cs="Arial"/>
          <w:i/>
          <w:iCs/>
          <w:sz w:val="20"/>
          <w:szCs w:val="20"/>
        </w:rPr>
      </w:pPr>
      <w:r w:rsidRPr="00D40304">
        <w:rPr>
          <w:rFonts w:ascii="Century Gothic" w:hAnsi="Century Gothic" w:cs="Arial"/>
          <w:i/>
          <w:iCs/>
          <w:sz w:val="20"/>
          <w:szCs w:val="20"/>
        </w:rPr>
        <w:t>…</w:t>
      </w:r>
    </w:p>
    <w:p w14:paraId="7AA4856A" w14:textId="77777777" w:rsidR="00E04C6E" w:rsidRPr="00D40304" w:rsidRDefault="00E04C6E" w:rsidP="009B04A7">
      <w:pPr>
        <w:ind w:left="567" w:right="297"/>
        <w:jc w:val="both"/>
        <w:rPr>
          <w:rFonts w:ascii="Century Gothic" w:hAnsi="Century Gothic" w:cs="Arial"/>
          <w:i/>
          <w:iCs/>
          <w:sz w:val="20"/>
          <w:szCs w:val="20"/>
        </w:rPr>
      </w:pPr>
    </w:p>
    <w:p w14:paraId="149F35F6" w14:textId="77777777" w:rsidR="00E04C6E" w:rsidRPr="00D40304" w:rsidRDefault="00E04C6E" w:rsidP="009B04A7">
      <w:pPr>
        <w:spacing w:after="189"/>
        <w:ind w:left="567" w:right="297" w:firstLine="4"/>
        <w:jc w:val="both"/>
        <w:rPr>
          <w:rFonts w:ascii="Century Gothic" w:hAnsi="Century Gothic" w:cs="Arial"/>
          <w:i/>
          <w:iCs/>
          <w:sz w:val="20"/>
          <w:szCs w:val="20"/>
        </w:rPr>
      </w:pPr>
      <w:r w:rsidRPr="00D40304">
        <w:rPr>
          <w:rFonts w:ascii="Century Gothic" w:hAnsi="Century Gothic" w:cs="Arial"/>
          <w:i/>
          <w:iCs/>
          <w:sz w:val="20"/>
          <w:szCs w:val="20"/>
        </w:rPr>
        <w:t>Segundo ordenamiento: Ley de Participación Ciudadana para el Estado de Guanajuato.</w:t>
      </w:r>
    </w:p>
    <w:p w14:paraId="1F0ECD5D" w14:textId="77777777" w:rsidR="00E04C6E" w:rsidRPr="00D40304" w:rsidRDefault="00E04C6E" w:rsidP="009B04A7">
      <w:pPr>
        <w:ind w:left="567" w:right="297"/>
        <w:jc w:val="both"/>
        <w:rPr>
          <w:rFonts w:ascii="Century Gothic" w:hAnsi="Century Gothic" w:cs="Arial"/>
          <w:i/>
          <w:iCs/>
          <w:sz w:val="20"/>
          <w:szCs w:val="20"/>
        </w:rPr>
      </w:pPr>
      <w:r w:rsidRPr="00D40304">
        <w:rPr>
          <w:rFonts w:ascii="Century Gothic" w:hAnsi="Century Gothic" w:cs="Arial"/>
          <w:i/>
          <w:iCs/>
          <w:sz w:val="20"/>
          <w:szCs w:val="20"/>
        </w:rPr>
        <w:t>…</w:t>
      </w:r>
    </w:p>
    <w:p w14:paraId="15E93E22" w14:textId="77777777" w:rsidR="00E04C6E" w:rsidRPr="00D40304" w:rsidRDefault="00E04C6E" w:rsidP="009B04A7">
      <w:pPr>
        <w:spacing w:after="189"/>
        <w:ind w:left="567" w:right="297" w:firstLine="4"/>
        <w:jc w:val="both"/>
        <w:rPr>
          <w:rFonts w:ascii="Century Gothic" w:hAnsi="Century Gothic" w:cs="Arial"/>
          <w:i/>
          <w:iCs/>
          <w:sz w:val="20"/>
          <w:szCs w:val="20"/>
        </w:rPr>
      </w:pPr>
      <w:r w:rsidRPr="00D40304">
        <w:rPr>
          <w:rFonts w:ascii="Century Gothic" w:hAnsi="Century Gothic" w:cs="Arial"/>
          <w:i/>
          <w:iCs/>
          <w:sz w:val="20"/>
          <w:szCs w:val="20"/>
        </w:rPr>
        <w:t>Tercer ordenamiento: Ley de Planeación para el Estado de Guanajuato.</w:t>
      </w:r>
    </w:p>
    <w:p w14:paraId="3D092B0F" w14:textId="77777777" w:rsidR="00E04C6E" w:rsidRPr="00D40304" w:rsidRDefault="00E04C6E" w:rsidP="009B04A7">
      <w:pPr>
        <w:ind w:left="567" w:right="297"/>
        <w:jc w:val="both"/>
        <w:rPr>
          <w:rFonts w:ascii="Century Gothic" w:hAnsi="Century Gothic" w:cs="Arial"/>
          <w:i/>
          <w:iCs/>
          <w:sz w:val="20"/>
          <w:szCs w:val="20"/>
        </w:rPr>
      </w:pPr>
      <w:r w:rsidRPr="00D40304">
        <w:rPr>
          <w:rFonts w:ascii="Century Gothic" w:hAnsi="Century Gothic" w:cs="Arial"/>
          <w:i/>
          <w:iCs/>
          <w:sz w:val="20"/>
          <w:szCs w:val="20"/>
        </w:rPr>
        <w:t>…</w:t>
      </w:r>
    </w:p>
    <w:p w14:paraId="23C5BC90" w14:textId="77777777" w:rsidR="00E04C6E" w:rsidRPr="00D40304" w:rsidRDefault="00E04C6E" w:rsidP="009B04A7">
      <w:pPr>
        <w:ind w:left="567" w:right="297"/>
        <w:jc w:val="both"/>
        <w:rPr>
          <w:rFonts w:ascii="Century Gothic" w:hAnsi="Century Gothic" w:cs="Arial"/>
          <w:i/>
          <w:iCs/>
          <w:sz w:val="20"/>
          <w:szCs w:val="20"/>
        </w:rPr>
      </w:pPr>
    </w:p>
    <w:p w14:paraId="73DF992E" w14:textId="77777777" w:rsidR="00E04C6E" w:rsidRPr="00D40304" w:rsidRDefault="00E04C6E" w:rsidP="009B04A7">
      <w:pPr>
        <w:ind w:left="567" w:right="297"/>
        <w:jc w:val="both"/>
        <w:rPr>
          <w:rFonts w:ascii="Century Gothic" w:hAnsi="Century Gothic" w:cs="Arial"/>
          <w:i/>
          <w:iCs/>
          <w:sz w:val="20"/>
          <w:szCs w:val="20"/>
        </w:rPr>
      </w:pPr>
      <w:r w:rsidRPr="00D40304">
        <w:rPr>
          <w:rFonts w:ascii="Century Gothic" w:hAnsi="Century Gothic" w:cs="Arial"/>
          <w:i/>
          <w:iCs/>
          <w:sz w:val="20"/>
          <w:szCs w:val="20"/>
        </w:rPr>
        <w:t>Como se puede apreciar, la participación social es un valor sostenido por la legislación guanajuatense, pero, la modalidad con la que se opera está acotada a solamente opinar, sin garantizar un mecanismo transparente de acción que recoja las propuestas, demandas, orientaciones de las y los guanajuatenses y que se una forma de expresión de una gobernanza activa, respetuosa y colaborativa entre el gobierno estatal, los municipios y la ciudadanía.</w:t>
      </w:r>
    </w:p>
    <w:p w14:paraId="640474BE" w14:textId="77777777" w:rsidR="00E04C6E" w:rsidRPr="00D40304" w:rsidRDefault="00E04C6E" w:rsidP="009B04A7">
      <w:pPr>
        <w:ind w:left="567" w:right="297"/>
        <w:jc w:val="both"/>
        <w:rPr>
          <w:rFonts w:ascii="Century Gothic" w:hAnsi="Century Gothic" w:cs="Arial"/>
          <w:i/>
          <w:iCs/>
          <w:sz w:val="20"/>
          <w:szCs w:val="20"/>
        </w:rPr>
      </w:pPr>
    </w:p>
    <w:p w14:paraId="19FF80C1" w14:textId="77777777" w:rsidR="00E04C6E" w:rsidRPr="00D40304" w:rsidRDefault="00E04C6E" w:rsidP="009B04A7">
      <w:pPr>
        <w:tabs>
          <w:tab w:val="left" w:pos="8364"/>
        </w:tabs>
        <w:ind w:left="567" w:right="297"/>
        <w:jc w:val="both"/>
        <w:rPr>
          <w:rFonts w:ascii="Century Gothic" w:hAnsi="Century Gothic" w:cs="Arial"/>
          <w:i/>
          <w:iCs/>
          <w:sz w:val="20"/>
          <w:szCs w:val="20"/>
        </w:rPr>
      </w:pPr>
      <w:r w:rsidRPr="00D40304">
        <w:rPr>
          <w:rFonts w:ascii="Century Gothic" w:hAnsi="Century Gothic" w:cs="Arial"/>
          <w:i/>
          <w:iCs/>
          <w:sz w:val="20"/>
          <w:szCs w:val="20"/>
        </w:rPr>
        <w:t>En este sentido se puede tomar la experiencia tanto del CONEVAL, como del Evalúa</w:t>
      </w:r>
    </w:p>
    <w:p w14:paraId="79FB3CE2" w14:textId="77777777" w:rsidR="00E04C6E" w:rsidRPr="00D40304" w:rsidRDefault="00E04C6E" w:rsidP="009B04A7">
      <w:pPr>
        <w:spacing w:after="151"/>
        <w:ind w:left="567" w:right="297"/>
        <w:jc w:val="both"/>
        <w:rPr>
          <w:rFonts w:ascii="Century Gothic" w:hAnsi="Century Gothic" w:cs="Arial"/>
          <w:i/>
          <w:iCs/>
          <w:sz w:val="20"/>
          <w:szCs w:val="20"/>
        </w:rPr>
      </w:pPr>
      <w:r w:rsidRPr="00D40304">
        <w:rPr>
          <w:rFonts w:ascii="Century Gothic" w:hAnsi="Century Gothic" w:cs="Arial"/>
          <w:i/>
          <w:iCs/>
          <w:sz w:val="20"/>
          <w:szCs w:val="20"/>
        </w:rPr>
        <w:t>CDMX</w:t>
      </w:r>
      <w:r w:rsidRPr="00D40304">
        <w:rPr>
          <w:rFonts w:ascii="Century Gothic" w:hAnsi="Century Gothic" w:cs="Arial"/>
          <w:i/>
          <w:iCs/>
          <w:sz w:val="20"/>
          <w:szCs w:val="20"/>
          <w:vertAlign w:val="superscript"/>
        </w:rPr>
        <w:t xml:space="preserve"> </w:t>
      </w:r>
      <w:r w:rsidRPr="00D40304">
        <w:rPr>
          <w:rFonts w:ascii="Century Gothic" w:hAnsi="Century Gothic" w:cs="Arial"/>
          <w:i/>
          <w:iCs/>
          <w:sz w:val="20"/>
          <w:szCs w:val="20"/>
        </w:rPr>
        <w:t>y que de forma breve se describen.</w:t>
      </w:r>
    </w:p>
    <w:p w14:paraId="365BA2F6" w14:textId="77777777" w:rsidR="00E04C6E" w:rsidRPr="00D40304" w:rsidRDefault="00E04C6E" w:rsidP="009B04A7">
      <w:pPr>
        <w:spacing w:after="103"/>
        <w:ind w:left="567" w:right="297"/>
        <w:jc w:val="both"/>
        <w:rPr>
          <w:rFonts w:ascii="Century Gothic" w:hAnsi="Century Gothic" w:cs="Arial"/>
          <w:i/>
          <w:iCs/>
          <w:sz w:val="20"/>
          <w:szCs w:val="20"/>
        </w:rPr>
      </w:pPr>
      <w:r w:rsidRPr="00D40304">
        <w:rPr>
          <w:rFonts w:ascii="Century Gothic" w:hAnsi="Century Gothic" w:cs="Arial"/>
          <w:i/>
          <w:iCs/>
          <w:sz w:val="20"/>
          <w:szCs w:val="20"/>
        </w:rPr>
        <w:t>El Consejo de Evaluación de la Política Pública del Desarrollo Social es:</w:t>
      </w:r>
    </w:p>
    <w:p w14:paraId="748790C1" w14:textId="77777777" w:rsidR="00E04C6E" w:rsidRPr="00D40304" w:rsidRDefault="00E04C6E" w:rsidP="009B04A7">
      <w:pPr>
        <w:pStyle w:val="Prrafodelista"/>
        <w:numPr>
          <w:ilvl w:val="0"/>
          <w:numId w:val="22"/>
        </w:numPr>
        <w:spacing w:after="211" w:line="240" w:lineRule="auto"/>
        <w:ind w:right="297"/>
        <w:jc w:val="both"/>
        <w:rPr>
          <w:rFonts w:ascii="Century Gothic" w:hAnsi="Century Gothic" w:cs="Arial"/>
          <w:i/>
          <w:iCs/>
          <w:sz w:val="20"/>
          <w:szCs w:val="20"/>
        </w:rPr>
      </w:pPr>
      <w:r w:rsidRPr="00D40304">
        <w:rPr>
          <w:rFonts w:ascii="Century Gothic" w:hAnsi="Century Gothic" w:cs="Arial"/>
          <w:i/>
          <w:iCs/>
          <w:sz w:val="20"/>
          <w:szCs w:val="20"/>
        </w:rPr>
        <w:t>Un organismo público descentralizado, con personalidad jurídica, patrimonio propio y autonomía técnica y de gestión de conformidad con la Ley Federal de Entidades Paraestatales. Tiene por objeto normar y coordinar la evaluación de las Políticas y Programas de Desarrollo Social, que ejecuten las dependencias públicas, y establece los lineamientos y criterios para la definición, identificación y medición de la pobreza, garantizando la transparencia, objetividad y rigor técnico en dicha actividad.</w:t>
      </w:r>
    </w:p>
    <w:p w14:paraId="0FC930B4" w14:textId="77777777" w:rsidR="00E04C6E" w:rsidRPr="00D40304" w:rsidRDefault="00E04C6E" w:rsidP="009B04A7">
      <w:pPr>
        <w:pStyle w:val="Prrafodelista"/>
        <w:numPr>
          <w:ilvl w:val="0"/>
          <w:numId w:val="22"/>
        </w:numPr>
        <w:spacing w:after="211" w:line="240" w:lineRule="auto"/>
        <w:ind w:right="297"/>
        <w:jc w:val="both"/>
        <w:rPr>
          <w:rFonts w:ascii="Century Gothic" w:hAnsi="Century Gothic" w:cs="Arial"/>
          <w:i/>
          <w:iCs/>
          <w:sz w:val="20"/>
          <w:szCs w:val="20"/>
        </w:rPr>
      </w:pPr>
      <w:r w:rsidRPr="00D40304">
        <w:rPr>
          <w:rFonts w:ascii="Century Gothic" w:hAnsi="Century Gothic" w:cs="Arial"/>
          <w:i/>
          <w:iCs/>
          <w:sz w:val="20"/>
          <w:szCs w:val="20"/>
        </w:rPr>
        <w:t>El consejo cuenta con el Comité Directivo, que es el órgano de gobierno del CONEVAL que está integrado por seis investigadores académicos elegidos democráticamente por convocatoria pública, que tienen a su cargo la administración del Consejo y el ejercicio de las atribuciones indelegables que le corresponden en términos de lo dispuesto por el artículo 58 de la Ley de las Entidades y las demás disposiciones aplicables.</w:t>
      </w:r>
    </w:p>
    <w:p w14:paraId="345E3525" w14:textId="77777777" w:rsidR="00E04C6E" w:rsidRPr="00D40304" w:rsidRDefault="00E04C6E" w:rsidP="009B04A7">
      <w:pPr>
        <w:pStyle w:val="Prrafodelista"/>
        <w:numPr>
          <w:ilvl w:val="0"/>
          <w:numId w:val="22"/>
        </w:numPr>
        <w:spacing w:after="211" w:line="240" w:lineRule="auto"/>
        <w:ind w:right="297"/>
        <w:jc w:val="both"/>
        <w:rPr>
          <w:rFonts w:ascii="Century Gothic" w:hAnsi="Century Gothic" w:cs="Arial"/>
          <w:i/>
          <w:iCs/>
          <w:sz w:val="20"/>
          <w:szCs w:val="20"/>
        </w:rPr>
      </w:pPr>
      <w:r w:rsidRPr="00D40304">
        <w:rPr>
          <w:rFonts w:ascii="Century Gothic" w:hAnsi="Century Gothic" w:cs="Arial"/>
          <w:i/>
          <w:iCs/>
          <w:sz w:val="20"/>
          <w:szCs w:val="20"/>
        </w:rPr>
        <w:t xml:space="preserve">El Comité está integrado por: El Titular de la Secretaría del Bienestar o la persona que éste designe, quien presidirá el Comité y por los seis investigadores académicos en términos de Io previsto por el artículo 85 de la Ley y por un </w:t>
      </w:r>
      <w:r w:rsidRPr="00D40304">
        <w:rPr>
          <w:rFonts w:ascii="Century Gothic" w:hAnsi="Century Gothic" w:cs="Arial"/>
          <w:i/>
          <w:iCs/>
          <w:sz w:val="20"/>
          <w:szCs w:val="20"/>
        </w:rPr>
        <w:lastRenderedPageBreak/>
        <w:t>representante de la Secretaría de Hacienda y Crédito Público, de conformidad con lo dispuesto en el artículo 9 de la Ley de las Entidades y 17, fracción ll, del Reglamento de la Ley de las Entidades, y por un Secretario Técnico y un Prosecretario designados por el Comité.</w:t>
      </w:r>
    </w:p>
    <w:p w14:paraId="1D29986C" w14:textId="77777777" w:rsidR="00E04C6E" w:rsidRPr="00D40304" w:rsidRDefault="00E04C6E" w:rsidP="009B04A7">
      <w:pPr>
        <w:pStyle w:val="Prrafodelista"/>
        <w:numPr>
          <w:ilvl w:val="0"/>
          <w:numId w:val="22"/>
        </w:numPr>
        <w:spacing w:after="211" w:line="240" w:lineRule="auto"/>
        <w:ind w:right="297"/>
        <w:jc w:val="both"/>
        <w:rPr>
          <w:rFonts w:ascii="Century Gothic" w:hAnsi="Century Gothic" w:cs="Arial"/>
          <w:i/>
          <w:iCs/>
          <w:sz w:val="20"/>
          <w:szCs w:val="20"/>
        </w:rPr>
      </w:pPr>
      <w:r w:rsidRPr="00D40304">
        <w:rPr>
          <w:rFonts w:ascii="Century Gothic" w:hAnsi="Century Gothic" w:cs="Arial"/>
          <w:i/>
          <w:iCs/>
          <w:sz w:val="20"/>
          <w:szCs w:val="20"/>
        </w:rPr>
        <w:t>El Comité Directivo tiene las facultades de coordinarse con la Comisión Nacional de Desarrollo Social (CNDS) para consolidar una adecuada integración y fomento al federalismo, sobre las bases de coordinación, colaboración y con en el fomento de la evaluación y monitoreo de los programas de social, así como con la Comisión Intersecretarial de Desarrollo Social, en el diseño y ejecución de la Política Nacional de Desarrollo Social. También tiene la función de dictar los acuerdos necesarios para hacer efectivas las atribuciones que le otorga el Estatuto Orgánico del CONEVAL y en general, las funciones que le atribuye al Consejo, el Decreto por el cual se regula dicha institución.</w:t>
      </w:r>
    </w:p>
    <w:p w14:paraId="5FC921C0" w14:textId="78D0524F" w:rsidR="00E04C6E" w:rsidRPr="00D40304" w:rsidRDefault="00E04C6E" w:rsidP="009B04A7">
      <w:pPr>
        <w:pStyle w:val="Prrafodelista"/>
        <w:numPr>
          <w:ilvl w:val="0"/>
          <w:numId w:val="22"/>
        </w:numPr>
        <w:spacing w:after="211" w:line="240" w:lineRule="auto"/>
        <w:ind w:right="297"/>
        <w:jc w:val="both"/>
        <w:rPr>
          <w:rFonts w:ascii="Century Gothic" w:hAnsi="Century Gothic" w:cs="Arial"/>
          <w:i/>
          <w:iCs/>
          <w:sz w:val="20"/>
          <w:szCs w:val="20"/>
        </w:rPr>
      </w:pPr>
      <w:r w:rsidRPr="00D40304">
        <w:rPr>
          <w:rFonts w:ascii="Century Gothic" w:hAnsi="Century Gothic" w:cs="Arial"/>
          <w:i/>
          <w:iCs/>
          <w:sz w:val="20"/>
          <w:szCs w:val="20"/>
        </w:rPr>
        <w:t xml:space="preserve">La Comisión Ejecutiva es el órgano técnico-auxiliar del Comité Directivo encargada de ejercer las funciones sustantivas de carácter técnico para la evaluación de la Política de Desarrollo Social y el informe de avances de los </w:t>
      </w:r>
      <w:r w:rsidRPr="00D40304">
        <w:rPr>
          <w:rFonts w:ascii="Century Gothic" w:hAnsi="Century Gothic"/>
          <w:noProof/>
        </w:rPr>
        <w:drawing>
          <wp:inline distT="0" distB="0" distL="0" distR="0" wp14:anchorId="0B7F63CB" wp14:editId="6442FC27">
            <wp:extent cx="8890" cy="889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D40304">
        <w:rPr>
          <w:rFonts w:ascii="Century Gothic" w:hAnsi="Century Gothic" w:cs="Arial"/>
          <w:i/>
          <w:iCs/>
          <w:sz w:val="20"/>
          <w:szCs w:val="20"/>
        </w:rPr>
        <w:t>programas de desarrollo social que implementen las entidades y dependencias de la Administración Pública Federal.</w:t>
      </w:r>
    </w:p>
    <w:p w14:paraId="4220BDA2" w14:textId="77777777" w:rsidR="00E04C6E" w:rsidRPr="00D40304" w:rsidRDefault="00E04C6E" w:rsidP="009B04A7">
      <w:pPr>
        <w:pStyle w:val="Prrafodelista"/>
        <w:numPr>
          <w:ilvl w:val="0"/>
          <w:numId w:val="22"/>
        </w:numPr>
        <w:spacing w:after="211" w:line="240" w:lineRule="auto"/>
        <w:ind w:right="297"/>
        <w:jc w:val="both"/>
        <w:rPr>
          <w:rFonts w:ascii="Century Gothic" w:hAnsi="Century Gothic" w:cs="Arial"/>
          <w:i/>
          <w:iCs/>
          <w:sz w:val="20"/>
          <w:szCs w:val="20"/>
        </w:rPr>
      </w:pPr>
      <w:r w:rsidRPr="00D40304">
        <w:rPr>
          <w:rFonts w:ascii="Century Gothic" w:hAnsi="Century Gothic" w:cs="Arial"/>
          <w:i/>
          <w:iCs/>
          <w:sz w:val="20"/>
          <w:szCs w:val="20"/>
        </w:rPr>
        <w:t>Entre sus funciones principales se encuentran evaluar la política de desarrollo social; formular los criterios de resultados, con base a las estimaciones de pobreza, para la definición de zonas de atención prioritaria; proponer criterios y lineamientos para las metodologías de evaluación sobre la política y los programas de desarrollo social; proponer el programa anual para el desarrollo de evaluaciones, estudios y diagnósticos de los programas de desarrollo social que vaya a desarrollar el Consejo por sí mismo o a través de organismos evaluadores independientes; elaborar los proyectos de sugerencias y recomendaciones al Ejecutivo Federal, a la Comisión Intersecretarial de Desarrollo Social y a la Comisión Nacional de Desarrollo Social, sobre la política y los programas de desarrollo social, con base en los resultados de las evaluaciones e investigaciones disponibles; entre otros.</w:t>
      </w:r>
    </w:p>
    <w:p w14:paraId="7D17C57E" w14:textId="5C12B8E7" w:rsidR="00E04C6E" w:rsidRPr="00D40304" w:rsidRDefault="00E04C6E" w:rsidP="009B04A7">
      <w:pPr>
        <w:spacing w:after="35"/>
        <w:ind w:left="567" w:right="297"/>
        <w:jc w:val="both"/>
        <w:rPr>
          <w:rFonts w:ascii="Century Gothic" w:hAnsi="Century Gothic" w:cs="Arial"/>
          <w:i/>
          <w:iCs/>
          <w:sz w:val="20"/>
          <w:szCs w:val="20"/>
        </w:rPr>
      </w:pPr>
      <w:r w:rsidRPr="00D40304">
        <w:rPr>
          <w:rFonts w:ascii="Century Gothic" w:hAnsi="Century Gothic" w:cs="Arial"/>
          <w:i/>
          <w:iCs/>
          <w:sz w:val="20"/>
          <w:szCs w:val="20"/>
        </w:rPr>
        <w:t>Por su parte el Evalúa CDMX, el Consejo de Evaluación del Desarrollo Social del</w:t>
      </w:r>
      <w:r w:rsidRPr="00D40304">
        <w:rPr>
          <w:rFonts w:ascii="Century Gothic" w:hAnsi="Century Gothic"/>
          <w:noProof/>
        </w:rPr>
        <w:drawing>
          <wp:anchor distT="0" distB="0" distL="114300" distR="114300" simplePos="0" relativeHeight="251659264" behindDoc="0" locked="0" layoutInCell="1" allowOverlap="0" wp14:anchorId="1CD22DF6" wp14:editId="35E63883">
            <wp:simplePos x="0" y="0"/>
            <wp:positionH relativeFrom="page">
              <wp:posOffset>6290945</wp:posOffset>
            </wp:positionH>
            <wp:positionV relativeFrom="page">
              <wp:posOffset>9604375</wp:posOffset>
            </wp:positionV>
            <wp:extent cx="3175" cy="3175"/>
            <wp:effectExtent l="0" t="0" r="0" b="0"/>
            <wp:wrapTopAndBottom/>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D40304">
        <w:rPr>
          <w:rFonts w:ascii="Century Gothic" w:hAnsi="Century Gothic" w:cs="Arial"/>
          <w:i/>
          <w:iCs/>
          <w:sz w:val="20"/>
          <w:szCs w:val="20"/>
        </w:rPr>
        <w:t xml:space="preserve"> Distrito Federal es un organismo público descentralizado de la Administración Pública, con personalidad jurídica y patrimonio propio, que goza de autonomía técnica, de gestión y presupuestaria, sectorizado a la Secretaría de Desarrollo Social del Distrito Federal, de conformidad con lo establecido en el artículo 42 B de la Ley de Desarrollo Social para el Distrito Federal. Algunas de sus características son:</w:t>
      </w:r>
    </w:p>
    <w:p w14:paraId="14006438" w14:textId="77777777" w:rsidR="00E04C6E" w:rsidRPr="00D40304" w:rsidRDefault="00E04C6E" w:rsidP="009B04A7">
      <w:pPr>
        <w:spacing w:after="35"/>
        <w:ind w:left="567" w:right="297"/>
        <w:jc w:val="both"/>
        <w:rPr>
          <w:rFonts w:ascii="Century Gothic" w:hAnsi="Century Gothic" w:cs="Arial"/>
          <w:i/>
          <w:iCs/>
          <w:sz w:val="20"/>
          <w:szCs w:val="20"/>
        </w:rPr>
      </w:pPr>
    </w:p>
    <w:p w14:paraId="6E116C1E" w14:textId="77777777" w:rsidR="00E04C6E" w:rsidRPr="00D40304" w:rsidRDefault="00E04C6E" w:rsidP="009B04A7">
      <w:pPr>
        <w:pStyle w:val="Prrafodelista"/>
        <w:numPr>
          <w:ilvl w:val="0"/>
          <w:numId w:val="23"/>
        </w:numPr>
        <w:spacing w:after="35" w:line="240" w:lineRule="auto"/>
        <w:ind w:left="993" w:right="297"/>
        <w:jc w:val="both"/>
        <w:rPr>
          <w:rFonts w:ascii="Century Gothic" w:hAnsi="Century Gothic" w:cs="Arial"/>
          <w:i/>
          <w:iCs/>
          <w:sz w:val="20"/>
          <w:szCs w:val="20"/>
        </w:rPr>
      </w:pPr>
      <w:r w:rsidRPr="00D40304">
        <w:rPr>
          <w:rFonts w:ascii="Century Gothic" w:hAnsi="Century Gothic" w:cs="Arial"/>
          <w:i/>
          <w:iCs/>
          <w:sz w:val="20"/>
          <w:szCs w:val="20"/>
        </w:rPr>
        <w:t xml:space="preserve">El Consejo de Evaluación del Desarrollo Social del Distrito Federal tiene por objeto la evaluación externa de los programas y la política social de la Administración Pública, así como la medición de la pobreza y la desigualdad, la clasificación de las unidades territoriales del Distrito Federal por su grado de </w:t>
      </w:r>
      <w:r w:rsidRPr="00D40304">
        <w:rPr>
          <w:rFonts w:ascii="Century Gothic" w:hAnsi="Century Gothic" w:cs="Arial"/>
          <w:i/>
          <w:iCs/>
          <w:sz w:val="20"/>
          <w:szCs w:val="20"/>
        </w:rPr>
        <w:lastRenderedPageBreak/>
        <w:t>desarrollo social, la emisión de informes sobre el estado de la cuestión social y cualquier opinión consultiva que sobre el tema se le requiera. Para el estudio, planeación y despacho de los asuntos que le competen, el Consejo contará con un Comité de Evaluación y Recomendaciones, una Junta de Gobierno, una Dirección General y su estructura administrativa.</w:t>
      </w:r>
    </w:p>
    <w:p w14:paraId="2D6DA872" w14:textId="77777777" w:rsidR="00E04C6E" w:rsidRPr="00D40304" w:rsidRDefault="00E04C6E" w:rsidP="009B04A7">
      <w:pPr>
        <w:pStyle w:val="Prrafodelista"/>
        <w:numPr>
          <w:ilvl w:val="0"/>
          <w:numId w:val="23"/>
        </w:numPr>
        <w:spacing w:after="35" w:line="240" w:lineRule="auto"/>
        <w:ind w:left="993" w:right="297"/>
        <w:jc w:val="both"/>
        <w:rPr>
          <w:rFonts w:ascii="Century Gothic" w:hAnsi="Century Gothic" w:cs="Arial"/>
          <w:i/>
          <w:iCs/>
          <w:sz w:val="20"/>
          <w:szCs w:val="20"/>
        </w:rPr>
      </w:pPr>
      <w:r w:rsidRPr="00D40304">
        <w:rPr>
          <w:rFonts w:ascii="Century Gothic" w:hAnsi="Century Gothic" w:cs="Arial"/>
          <w:i/>
          <w:iCs/>
          <w:sz w:val="20"/>
          <w:szCs w:val="20"/>
        </w:rPr>
        <w:t>El Consejo de Evaluación del Desarrollo Social cuenta con el Comité es el órgano de toma de decisiones respecto de las atribuciones sustantivas del Consejo de Evaluación. Para el desempeño de sus tareas, el Comité puede constituir las comisiones o grupos de trabajo que considere convenientes.</w:t>
      </w:r>
    </w:p>
    <w:p w14:paraId="62E3E678" w14:textId="004D8112" w:rsidR="00E04C6E" w:rsidRPr="00D40304" w:rsidRDefault="00E04C6E" w:rsidP="009B04A7">
      <w:pPr>
        <w:pStyle w:val="Prrafodelista"/>
        <w:numPr>
          <w:ilvl w:val="0"/>
          <w:numId w:val="23"/>
        </w:numPr>
        <w:spacing w:after="35" w:line="240" w:lineRule="auto"/>
        <w:ind w:left="993" w:right="297"/>
        <w:jc w:val="both"/>
        <w:rPr>
          <w:rFonts w:ascii="Century Gothic" w:hAnsi="Century Gothic" w:cs="Arial"/>
          <w:i/>
          <w:iCs/>
          <w:sz w:val="20"/>
          <w:szCs w:val="20"/>
        </w:rPr>
      </w:pPr>
      <w:r w:rsidRPr="00D40304">
        <w:rPr>
          <w:rFonts w:ascii="Century Gothic" w:hAnsi="Century Gothic" w:cs="Arial"/>
          <w:i/>
          <w:iCs/>
          <w:sz w:val="20"/>
          <w:szCs w:val="20"/>
        </w:rPr>
        <w:t>El Comité estará conformado por: La persona titular de la Secretaría de Desarrollo Social, quien lo preside y seis consejeros y consejeras con amplio conocimiento y/o experiencia en el campo del Desarrollo Social de los cuales, al menos cuatro, deberán pertenecer al Sistema Nacional de Investigadores.</w:t>
      </w:r>
      <w:r w:rsidRPr="00D40304">
        <w:rPr>
          <w:rFonts w:ascii="Century Gothic" w:hAnsi="Century Gothic"/>
          <w:noProof/>
        </w:rPr>
        <w:drawing>
          <wp:inline distT="0" distB="0" distL="0" distR="0" wp14:anchorId="3124134D" wp14:editId="30351AAF">
            <wp:extent cx="8890" cy="8890"/>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p w14:paraId="5C0D6741" w14:textId="77777777" w:rsidR="00E04C6E" w:rsidRPr="00D40304" w:rsidRDefault="00E04C6E" w:rsidP="009B04A7">
      <w:pPr>
        <w:pStyle w:val="Prrafodelista"/>
        <w:numPr>
          <w:ilvl w:val="0"/>
          <w:numId w:val="23"/>
        </w:numPr>
        <w:spacing w:after="35" w:line="240" w:lineRule="auto"/>
        <w:ind w:left="993" w:right="297"/>
        <w:jc w:val="both"/>
        <w:rPr>
          <w:rFonts w:ascii="Century Gothic" w:hAnsi="Century Gothic" w:cs="Arial"/>
          <w:i/>
          <w:iCs/>
          <w:sz w:val="20"/>
          <w:szCs w:val="20"/>
        </w:rPr>
      </w:pPr>
      <w:r w:rsidRPr="00D40304">
        <w:rPr>
          <w:rFonts w:ascii="Century Gothic" w:hAnsi="Century Gothic" w:cs="Arial"/>
          <w:i/>
          <w:iCs/>
          <w:sz w:val="20"/>
          <w:szCs w:val="20"/>
        </w:rPr>
        <w:t>El Comité tendrá las siguientes atribuciones: Definir y medir bianualmente — o con la frecuencia que los datos disponibles permitan-, la desigualdad y la pobreza en el Distrito Federal; Definir, medir y clasificar de manera periódica el grado de desarrollo social de las unidades territoriales de la CDMX; Medir bianualmente —o con la frecuencia que los datos disponibles permitan- el avance del cumplimiento de los derechos sociales en la Ciudad de México, así como elaborar un informe anual sobre la cuestión social. También tiene la atribución de definir los lineamientos para la realización de las evaluaciones internas; organizar, definir y realizar, directamente o través de terceros, las evaluaciones externas de la política y los programas sociales. Cuando se lleven a cabo a través de terceros.</w:t>
      </w:r>
    </w:p>
    <w:p w14:paraId="093F0467" w14:textId="77777777" w:rsidR="00E04C6E" w:rsidRPr="00D40304" w:rsidRDefault="00E04C6E" w:rsidP="009B04A7">
      <w:pPr>
        <w:pStyle w:val="Prrafodelista"/>
        <w:numPr>
          <w:ilvl w:val="0"/>
          <w:numId w:val="23"/>
        </w:numPr>
        <w:spacing w:after="35" w:line="240" w:lineRule="auto"/>
        <w:ind w:left="993" w:right="297"/>
        <w:jc w:val="both"/>
        <w:rPr>
          <w:rFonts w:ascii="Century Gothic" w:hAnsi="Century Gothic" w:cs="Arial"/>
          <w:i/>
          <w:iCs/>
          <w:sz w:val="20"/>
          <w:szCs w:val="20"/>
        </w:rPr>
      </w:pPr>
      <w:r w:rsidRPr="00D40304">
        <w:rPr>
          <w:rFonts w:ascii="Century Gothic" w:hAnsi="Century Gothic" w:cs="Arial"/>
          <w:i/>
          <w:iCs/>
          <w:sz w:val="20"/>
          <w:szCs w:val="20"/>
        </w:rPr>
        <w:t>El Comité, a su vez, define la metodología y los términos de referencia a los que deberán apegarse dichas evaluaciones; y aprobará la convocatoria de evaluaciones que será emitida por la Dirección General; a la vez decide sobre las propuestas de entre quienes respondan a la convocatoria en tiempo y forma, o bien declarará desierto el concurso en cuyo caso las adjudicará de manera directa de acuerdo a la normatividad aplicable; a su vez da seguimiento al desarrollo de la evaluación de forma personal a través de por lo menos dos de sus integrantes o del personal de la estructura de la Dirección General; y la de emitir las recomendaciones y las observaciones con base en las evaluaciones externas de los programas o política sociales y hacer públicas las mediciones que realice sobre la desigualdad, la pobreza y el grado de desarrollo social de las unidades territoriales y el avance del cumplimiento de los derechos sociales en la ciudad de México, y elaborar el Programa anual de trabajo del Consejo de Evaluación.</w:t>
      </w:r>
    </w:p>
    <w:p w14:paraId="5198AA73" w14:textId="77777777" w:rsidR="00E04C6E" w:rsidRPr="00D40304" w:rsidRDefault="00E04C6E" w:rsidP="009B04A7">
      <w:pPr>
        <w:spacing w:after="35"/>
        <w:ind w:left="422" w:right="297"/>
        <w:jc w:val="both"/>
        <w:rPr>
          <w:rFonts w:ascii="Century Gothic" w:hAnsi="Century Gothic" w:cs="Arial"/>
          <w:i/>
          <w:iCs/>
          <w:sz w:val="20"/>
          <w:szCs w:val="20"/>
        </w:rPr>
      </w:pPr>
    </w:p>
    <w:p w14:paraId="68CFDF1B" w14:textId="59B4AA5E" w:rsidR="00E04C6E" w:rsidRPr="00D40304" w:rsidRDefault="00E04C6E" w:rsidP="009B04A7">
      <w:pPr>
        <w:spacing w:after="195"/>
        <w:ind w:left="567" w:right="297"/>
        <w:jc w:val="both"/>
        <w:rPr>
          <w:rFonts w:ascii="Century Gothic" w:hAnsi="Century Gothic" w:cs="Arial"/>
          <w:i/>
          <w:iCs/>
          <w:sz w:val="20"/>
          <w:szCs w:val="20"/>
        </w:rPr>
      </w:pPr>
      <w:r w:rsidRPr="00D40304">
        <w:rPr>
          <w:rFonts w:ascii="Century Gothic" w:hAnsi="Century Gothic" w:cs="Arial"/>
          <w:i/>
          <w:iCs/>
          <w:sz w:val="20"/>
          <w:szCs w:val="20"/>
        </w:rPr>
        <w:t xml:space="preserve">Para este tipo de iniciativas no debería ser obstáculo el financiamiento público, pues se busca orientar de manera eficiente los recursos propios de los programas correspondientes a la política económica y social de Guanajuato. Y cuando se habla de eficiencia, no es sólo hacer una contabilidad de costo-beneficio </w:t>
      </w:r>
      <w:r w:rsidRPr="00D40304">
        <w:rPr>
          <w:rFonts w:ascii="Century Gothic" w:hAnsi="Century Gothic" w:cs="Arial"/>
          <w:i/>
          <w:iCs/>
          <w:sz w:val="20"/>
          <w:szCs w:val="20"/>
        </w:rPr>
        <w:lastRenderedPageBreak/>
        <w:t>financiero, sino el impacto que causan en el bienestar de la población, sobre todo para las y los desplazados del disfrute de los bienes necesarios de cara a una vida digna. Lo necesario, en un gobierno humanista, debe convertirse en posible.</w:t>
      </w:r>
      <w:r w:rsidRPr="00D40304">
        <w:rPr>
          <w:rFonts w:ascii="Century Gothic" w:hAnsi="Century Gothic" w:cs="Arial"/>
          <w:i/>
          <w:noProof/>
          <w:sz w:val="20"/>
          <w:szCs w:val="20"/>
        </w:rPr>
        <w:drawing>
          <wp:inline distT="0" distB="0" distL="0" distR="0" wp14:anchorId="50053F6C" wp14:editId="06DFFB34">
            <wp:extent cx="8890" cy="889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p>
    <w:p w14:paraId="09AF0D24" w14:textId="4C99F4FE" w:rsidR="00E04C6E" w:rsidRPr="00D40304" w:rsidRDefault="00E04C6E" w:rsidP="009B04A7">
      <w:pPr>
        <w:spacing w:after="242"/>
        <w:ind w:left="567" w:right="297"/>
        <w:jc w:val="both"/>
        <w:rPr>
          <w:rFonts w:ascii="Century Gothic" w:hAnsi="Century Gothic" w:cs="Arial"/>
          <w:i/>
          <w:iCs/>
          <w:sz w:val="20"/>
          <w:szCs w:val="20"/>
        </w:rPr>
      </w:pPr>
      <w:r w:rsidRPr="00D40304">
        <w:rPr>
          <w:rFonts w:ascii="Century Gothic" w:hAnsi="Century Gothic" w:cs="Arial"/>
          <w:i/>
          <w:iCs/>
          <w:sz w:val="20"/>
          <w:szCs w:val="20"/>
        </w:rPr>
        <w:t xml:space="preserve">Aun así, si se consideran los fines para los que se creó el Instituto de Planeación de Guanajuato, éste podría proveer la información necesaria para los cálculos requeridos en la tarea asignada al Comité para la Evaluación de la Política Pública del Desarrollo Social y Humano en Guanajuato. Los convenios probables con el Consejo Nacional de Evaluación de la Política del Desarrollo Social (CONEVAL), </w:t>
      </w:r>
      <w:r w:rsidRPr="00D40304">
        <w:rPr>
          <w:rFonts w:ascii="Century Gothic" w:hAnsi="Century Gothic" w:cs="Arial"/>
          <w:i/>
          <w:noProof/>
          <w:sz w:val="20"/>
          <w:szCs w:val="20"/>
        </w:rPr>
        <w:drawing>
          <wp:inline distT="0" distB="0" distL="0" distR="0" wp14:anchorId="745EF2E4" wp14:editId="41614B7E">
            <wp:extent cx="8890" cy="889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D40304">
        <w:rPr>
          <w:rFonts w:ascii="Century Gothic" w:hAnsi="Century Gothic" w:cs="Arial"/>
          <w:i/>
          <w:iCs/>
          <w:sz w:val="20"/>
          <w:szCs w:val="20"/>
        </w:rPr>
        <w:t>con el Instituto Nacional de Estadística y Geografía (INEGI), con el Centro de Investigación en Matemáticas, y particularmente con el Instituto de Planeación de Guanajuato, que posee una amplia infraestructura y personal capacitado, serán muy útiles en la discusión sobre las mejores metodologías para calcular la pobreza multidimensional en la entidad y los municipios y significarán ahorros sustantivos para contar con datos precisos y confiables.</w:t>
      </w:r>
    </w:p>
    <w:p w14:paraId="1B97DAFF" w14:textId="5011544C" w:rsidR="00E04C6E" w:rsidRPr="00D40304" w:rsidRDefault="00E04C6E" w:rsidP="009B04A7">
      <w:pPr>
        <w:spacing w:after="10"/>
        <w:ind w:left="567" w:right="297"/>
        <w:jc w:val="both"/>
        <w:rPr>
          <w:rFonts w:ascii="Century Gothic" w:hAnsi="Century Gothic" w:cs="Arial"/>
          <w:i/>
          <w:iCs/>
          <w:sz w:val="20"/>
          <w:szCs w:val="20"/>
        </w:rPr>
      </w:pPr>
      <w:r w:rsidRPr="00D40304">
        <w:rPr>
          <w:rFonts w:ascii="Century Gothic" w:hAnsi="Century Gothic" w:cs="Arial"/>
          <w:i/>
          <w:iCs/>
          <w:sz w:val="20"/>
          <w:szCs w:val="20"/>
        </w:rPr>
        <w:t xml:space="preserve">Finalmente se debe acotar lo que se entiende en esta iniciativa por participación ciudadana, pues de cara a otros problemas sociales es necesaria la intervención de ciudadanos y ciudadanas provenientes de distintos ámbitos y esferas sociales. La particularidad de la iniciativa en este terreno es la necesidad del perfil técnico de las y los integrantes del Comité, pues deberá estar conformado por académicos y académicas especialistas en la medición de los problemas sociales y su vínculo con la toma de decisiones del gobierno estatal. La precisión técnica, la solvencia </w:t>
      </w:r>
      <w:r w:rsidRPr="00D40304">
        <w:rPr>
          <w:rFonts w:ascii="Century Gothic" w:hAnsi="Century Gothic" w:cs="Arial"/>
          <w:i/>
          <w:noProof/>
          <w:sz w:val="20"/>
          <w:szCs w:val="20"/>
        </w:rPr>
        <w:drawing>
          <wp:inline distT="0" distB="0" distL="0" distR="0" wp14:anchorId="7998FACD" wp14:editId="41114F05">
            <wp:extent cx="8890" cy="889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D40304">
        <w:rPr>
          <w:rFonts w:ascii="Century Gothic" w:hAnsi="Century Gothic" w:cs="Arial"/>
          <w:i/>
          <w:iCs/>
          <w:sz w:val="20"/>
          <w:szCs w:val="20"/>
        </w:rPr>
        <w:t>académica y el rigor conceptual son características sine qua non para el buen funcionamiento del Comité. No se trata de encontrar personas opinadoras, sino fortalecer la relación fructífera entre academia y tomadores de decisiones.</w:t>
      </w:r>
    </w:p>
    <w:p w14:paraId="7B580996" w14:textId="77777777" w:rsidR="00E04C6E" w:rsidRPr="00D40304" w:rsidRDefault="00E04C6E" w:rsidP="009B04A7">
      <w:pPr>
        <w:spacing w:after="10"/>
        <w:ind w:right="297"/>
        <w:jc w:val="both"/>
        <w:rPr>
          <w:rFonts w:ascii="Century Gothic" w:hAnsi="Century Gothic" w:cs="Arial"/>
          <w:i/>
          <w:iCs/>
          <w:sz w:val="20"/>
          <w:szCs w:val="20"/>
        </w:rPr>
      </w:pPr>
    </w:p>
    <w:p w14:paraId="7B74BCEB" w14:textId="77777777" w:rsidR="00E04C6E" w:rsidRPr="00D40304" w:rsidRDefault="00E04C6E" w:rsidP="009B04A7">
      <w:pPr>
        <w:spacing w:after="165"/>
        <w:ind w:left="567" w:right="297" w:hanging="10"/>
        <w:jc w:val="both"/>
        <w:rPr>
          <w:rFonts w:ascii="Century Gothic" w:hAnsi="Century Gothic" w:cs="Arial"/>
          <w:i/>
          <w:iCs/>
          <w:sz w:val="20"/>
          <w:szCs w:val="20"/>
        </w:rPr>
      </w:pPr>
      <w:r w:rsidRPr="00D40304">
        <w:rPr>
          <w:rFonts w:ascii="Century Gothic" w:hAnsi="Century Gothic" w:cs="Arial"/>
          <w:i/>
          <w:iCs/>
          <w:sz w:val="20"/>
          <w:szCs w:val="20"/>
        </w:rPr>
        <w:t>OBJETIVO DE LA INICIATIVA</w:t>
      </w:r>
    </w:p>
    <w:p w14:paraId="48808645" w14:textId="77777777" w:rsidR="00E04C6E" w:rsidRPr="00D40304" w:rsidRDefault="00E04C6E" w:rsidP="009B04A7">
      <w:pPr>
        <w:spacing w:after="151"/>
        <w:ind w:left="567" w:right="297"/>
        <w:jc w:val="both"/>
        <w:rPr>
          <w:rFonts w:ascii="Century Gothic" w:hAnsi="Century Gothic" w:cs="Arial"/>
          <w:i/>
          <w:iCs/>
          <w:sz w:val="20"/>
          <w:szCs w:val="20"/>
        </w:rPr>
      </w:pPr>
      <w:r w:rsidRPr="00D40304">
        <w:rPr>
          <w:rFonts w:ascii="Century Gothic" w:hAnsi="Century Gothic" w:cs="Arial"/>
          <w:i/>
          <w:iCs/>
          <w:sz w:val="20"/>
          <w:szCs w:val="20"/>
        </w:rPr>
        <w:t>El propósito de la iniciativa es reformar la Ley de Desarrollo Social y Humano para el estado y los municipios de Guanajuato en materia de medición y evaluación del impacto de la política pública sobre la pobreza en el estado de Guanajuato.</w:t>
      </w:r>
    </w:p>
    <w:p w14:paraId="05ABEB7F" w14:textId="7CF57A1D" w:rsidR="00E04C6E" w:rsidRPr="00D40304" w:rsidRDefault="00E04C6E" w:rsidP="009B04A7">
      <w:pPr>
        <w:ind w:left="567" w:right="297" w:firstLine="53"/>
        <w:jc w:val="both"/>
        <w:rPr>
          <w:rFonts w:ascii="Century Gothic" w:hAnsi="Century Gothic" w:cs="Arial"/>
          <w:i/>
          <w:iCs/>
          <w:sz w:val="20"/>
          <w:szCs w:val="20"/>
        </w:rPr>
      </w:pPr>
      <w:r w:rsidRPr="00D40304">
        <w:rPr>
          <w:rFonts w:ascii="Century Gothic" w:hAnsi="Century Gothic"/>
          <w:noProof/>
        </w:rPr>
        <w:drawing>
          <wp:anchor distT="0" distB="0" distL="114300" distR="114300" simplePos="0" relativeHeight="251658240" behindDoc="0" locked="0" layoutInCell="1" allowOverlap="0" wp14:anchorId="4639FBD3" wp14:editId="7768724A">
            <wp:simplePos x="0" y="0"/>
            <wp:positionH relativeFrom="page">
              <wp:posOffset>6967855</wp:posOffset>
            </wp:positionH>
            <wp:positionV relativeFrom="page">
              <wp:posOffset>2661920</wp:posOffset>
            </wp:positionV>
            <wp:extent cx="8890" cy="15240"/>
            <wp:effectExtent l="0" t="0" r="0" b="0"/>
            <wp:wrapSquare wrapText="bothSides"/>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890" cy="15240"/>
                    </a:xfrm>
                    <a:prstGeom prst="rect">
                      <a:avLst/>
                    </a:prstGeom>
                    <a:noFill/>
                  </pic:spPr>
                </pic:pic>
              </a:graphicData>
            </a:graphic>
            <wp14:sizeRelH relativeFrom="page">
              <wp14:pctWidth>0</wp14:pctWidth>
            </wp14:sizeRelH>
            <wp14:sizeRelV relativeFrom="page">
              <wp14:pctHeight>0</wp14:pctHeight>
            </wp14:sizeRelV>
          </wp:anchor>
        </w:drawing>
      </w:r>
      <w:r w:rsidRPr="00D40304">
        <w:rPr>
          <w:rFonts w:ascii="Century Gothic" w:hAnsi="Century Gothic" w:cs="Arial"/>
          <w:i/>
          <w:iCs/>
          <w:sz w:val="20"/>
          <w:szCs w:val="20"/>
        </w:rPr>
        <w:t xml:space="preserve">Para tal efecto se propone la creación de un órgano ciudadanizado, denominado </w:t>
      </w:r>
      <w:r w:rsidRPr="00D40304">
        <w:rPr>
          <w:rFonts w:ascii="Century Gothic" w:hAnsi="Century Gothic" w:cs="Arial"/>
          <w:i/>
          <w:noProof/>
          <w:sz w:val="20"/>
          <w:szCs w:val="20"/>
        </w:rPr>
        <w:drawing>
          <wp:inline distT="0" distB="0" distL="0" distR="0" wp14:anchorId="7CDA92EA" wp14:editId="28DED998">
            <wp:extent cx="8890" cy="889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D40304">
        <w:rPr>
          <w:rFonts w:ascii="Century Gothic" w:hAnsi="Century Gothic" w:cs="Arial"/>
          <w:i/>
          <w:iCs/>
          <w:sz w:val="20"/>
          <w:szCs w:val="20"/>
        </w:rPr>
        <w:t xml:space="preserve">Comité para la Evaluación de la Política Pública del Desarrollo Social y Humano en </w:t>
      </w:r>
      <w:r w:rsidRPr="00D40304">
        <w:rPr>
          <w:rFonts w:ascii="Century Gothic" w:hAnsi="Century Gothic" w:cs="Arial"/>
          <w:i/>
          <w:noProof/>
          <w:sz w:val="20"/>
          <w:szCs w:val="20"/>
        </w:rPr>
        <w:drawing>
          <wp:inline distT="0" distB="0" distL="0" distR="0" wp14:anchorId="6843125E" wp14:editId="1415EAD8">
            <wp:extent cx="8890" cy="889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D40304">
        <w:rPr>
          <w:rFonts w:ascii="Century Gothic" w:hAnsi="Century Gothic" w:cs="Arial"/>
          <w:i/>
          <w:iCs/>
          <w:sz w:val="20"/>
          <w:szCs w:val="20"/>
        </w:rPr>
        <w:t>Guanajuato, de perfil académico, con personalidad jurídica y patrimonio propio, que goce de autonomía técnica, de gestión y presupuestaria, sectorizado a la Secretaría de Desarrollo Social y Humano de Guanajuato con el fin de medir de manera oportuna la trayectoria de la pobreza en Guanajuato y sus municipios y determinar la relación de esta trayectoria con las políticas estatales de bienestar. El beneficio es múltiple, entre otros, servirá para mejorar el diseño de las políticas públicas dirigidas a la erradicación de la pobreza de conformidad con la legislación mexicana y los compromisos internacionales adquiridos por nuestro país.</w:t>
      </w:r>
    </w:p>
    <w:p w14:paraId="2F76263A" w14:textId="77777777" w:rsidR="00E04C6E" w:rsidRPr="00D40304" w:rsidRDefault="00E04C6E" w:rsidP="009B04A7">
      <w:pPr>
        <w:ind w:left="567" w:right="297" w:firstLine="53"/>
        <w:jc w:val="both"/>
        <w:rPr>
          <w:rFonts w:ascii="Century Gothic" w:hAnsi="Century Gothic" w:cs="Arial"/>
          <w:i/>
          <w:iCs/>
          <w:sz w:val="20"/>
          <w:szCs w:val="20"/>
        </w:rPr>
      </w:pPr>
    </w:p>
    <w:p w14:paraId="62A556A9" w14:textId="77777777" w:rsidR="00E04C6E" w:rsidRPr="00D40304" w:rsidRDefault="00E04C6E" w:rsidP="009B04A7">
      <w:pPr>
        <w:spacing w:after="10"/>
        <w:ind w:left="567" w:right="297"/>
        <w:jc w:val="both"/>
        <w:rPr>
          <w:rFonts w:ascii="Century Gothic" w:hAnsi="Century Gothic" w:cs="Arial"/>
          <w:i/>
          <w:iCs/>
          <w:sz w:val="20"/>
          <w:szCs w:val="20"/>
        </w:rPr>
      </w:pPr>
      <w:r w:rsidRPr="00D40304">
        <w:rPr>
          <w:rFonts w:ascii="Century Gothic" w:hAnsi="Century Gothic" w:cs="Arial"/>
          <w:i/>
          <w:iCs/>
          <w:sz w:val="20"/>
          <w:szCs w:val="20"/>
        </w:rPr>
        <w:t>Finalmente, consideramos necesario avanzar en la consolidación del enfoque de derechos, por lo que se propone incorporar los principios de interdependencia, indivisibilidad, universalidad y progresividad a la ley de desarrollo social y humano, haciendo énfasis en los últimos dos principios, en virtud de que el rasgo distintivo de los derechos fundamentales es su carácter universal, con lo que se garantiza además poner a salvo la política social de la discrecionalidad administrativa; asimismo, la progresividad implica un vínculo presupuestario que garantiza destinar cada vez más recursos públicos a la satisfacción de los necesidades sociales, además de que el Pacto Internacional de Derechos Económicos, Sociales y Culturales establece el deber de los Estados de destinar el máximo de los recursos de que disponga, para lograr progresivamente, la plena efectividad de los derechos</w:t>
      </w:r>
    </w:p>
    <w:p w14:paraId="7BFA7831" w14:textId="77777777" w:rsidR="00E04C6E" w:rsidRPr="00D40304" w:rsidRDefault="00E04C6E" w:rsidP="009B04A7">
      <w:pPr>
        <w:spacing w:after="5"/>
        <w:ind w:left="1134" w:right="474"/>
        <w:jc w:val="both"/>
        <w:rPr>
          <w:rFonts w:ascii="Century Gothic" w:hAnsi="Century Gothic" w:cs="Arial"/>
          <w:bCs/>
          <w:i/>
          <w:sz w:val="20"/>
          <w:szCs w:val="20"/>
        </w:rPr>
      </w:pPr>
      <w:r w:rsidRPr="00D40304">
        <w:rPr>
          <w:rFonts w:ascii="Century Gothic" w:hAnsi="Century Gothic" w:cs="Arial"/>
          <w:bCs/>
          <w:i/>
          <w:sz w:val="20"/>
          <w:szCs w:val="20"/>
        </w:rPr>
        <w:t xml:space="preserve">. </w:t>
      </w:r>
    </w:p>
    <w:p w14:paraId="52E1F818" w14:textId="77777777" w:rsidR="00E04C6E" w:rsidRPr="00D40304" w:rsidRDefault="00E04C6E" w:rsidP="009B04A7">
      <w:pPr>
        <w:pStyle w:val="Prrafodelista"/>
        <w:spacing w:after="0" w:line="276" w:lineRule="auto"/>
        <w:ind w:left="1134" w:right="476"/>
        <w:jc w:val="both"/>
        <w:rPr>
          <w:rFonts w:ascii="Century Gothic" w:hAnsi="Century Gothic"/>
        </w:rPr>
      </w:pPr>
      <w:r w:rsidRPr="00D40304">
        <w:rPr>
          <w:rFonts w:ascii="Century Gothic" w:hAnsi="Century Gothic" w:cs="Arial"/>
          <w:i/>
          <w:iCs/>
          <w:sz w:val="20"/>
          <w:szCs w:val="20"/>
        </w:rPr>
        <w:t>...”</w:t>
      </w:r>
    </w:p>
    <w:p w14:paraId="41F79A25" w14:textId="77777777" w:rsidR="00E04C6E" w:rsidRPr="00D40304" w:rsidRDefault="00E04C6E" w:rsidP="009B04A7">
      <w:pPr>
        <w:spacing w:line="276" w:lineRule="auto"/>
        <w:jc w:val="both"/>
        <w:rPr>
          <w:rFonts w:ascii="Century Gothic" w:hAnsi="Century Gothic" w:cs="Arial"/>
          <w:i/>
          <w:iCs/>
          <w:sz w:val="20"/>
          <w:szCs w:val="20"/>
        </w:rPr>
      </w:pPr>
    </w:p>
    <w:p w14:paraId="52E146B8" w14:textId="4C4A9010" w:rsidR="00E04C6E" w:rsidRPr="00D40304" w:rsidRDefault="00E04C6E" w:rsidP="009B04A7">
      <w:pPr>
        <w:spacing w:line="276" w:lineRule="auto"/>
        <w:ind w:firstLine="426"/>
        <w:jc w:val="both"/>
        <w:rPr>
          <w:rFonts w:ascii="Century Gothic" w:hAnsi="Century Gothic" w:cs="Arial"/>
        </w:rPr>
      </w:pPr>
      <w:r w:rsidRPr="00D40304">
        <w:rPr>
          <w:rFonts w:ascii="Century Gothic" w:hAnsi="Century Gothic" w:cs="Arial"/>
        </w:rPr>
        <w:t>Quienes integramos esta comisión dictaminadora, identificamos el objetivo principal de la iniciativa que es la creación de un órgano, denominado Comité para la evaluación de la Política Pública de Desarrollo Social y Humano en Guanajuato, de perfil académico, con personalidad jurídica y patrimonio propio, con autonomía técnica, de gestión y presupuestaria, sectorizado a la Secretaría de Desarrollo Social y Humano, con el fin de medir de manera oportuna la trayectoria de la pobreza en Guanajuato y sus municipios y determinar la relación de esta trayectoria con las políticas estatales de bienestar.</w:t>
      </w:r>
    </w:p>
    <w:p w14:paraId="63858310" w14:textId="1401E112" w:rsidR="00E04C6E" w:rsidRPr="00D40304" w:rsidRDefault="00E04C6E" w:rsidP="009B04A7">
      <w:pPr>
        <w:spacing w:line="276" w:lineRule="auto"/>
        <w:ind w:firstLine="426"/>
        <w:jc w:val="both"/>
        <w:rPr>
          <w:rFonts w:ascii="Century Gothic" w:hAnsi="Century Gothic" w:cs="Arial"/>
        </w:rPr>
      </w:pPr>
    </w:p>
    <w:p w14:paraId="0718965F" w14:textId="0B16D0FF" w:rsidR="00E04C6E" w:rsidRPr="00D40304" w:rsidRDefault="0068334A" w:rsidP="009B04A7">
      <w:pPr>
        <w:spacing w:after="285" w:line="276" w:lineRule="auto"/>
        <w:ind w:right="49" w:firstLine="426"/>
        <w:jc w:val="both"/>
        <w:rPr>
          <w:rFonts w:ascii="Century Gothic" w:hAnsi="Century Gothic" w:cs="Arial"/>
        </w:rPr>
      </w:pPr>
      <w:r>
        <w:rPr>
          <w:rFonts w:ascii="Century Gothic" w:hAnsi="Century Gothic" w:cs="Arial"/>
        </w:rPr>
        <w:t>E</w:t>
      </w:r>
      <w:r w:rsidR="00E04C6E" w:rsidRPr="00D40304">
        <w:rPr>
          <w:rFonts w:ascii="Century Gothic" w:hAnsi="Century Gothic" w:cs="Arial"/>
        </w:rPr>
        <w:t>xisten diversas formas de medición de la pobreza aplicadas por los organismos internacionales, y en nuestro país se cuenta con el Consejo Nacional de Evaluación de la Política de Desarrollo Social (CONEVAL), responsable de dicha medición a nivel nacional, estatal y municipal, que por mandato legal usa una metodología multidimensional presentada por primera vez en 2009. La medición multidimensional considera dos dimensiones: por una parte, el ingreso y por otra un conjunto de seis carencias sociales relacionadas con derechos sociales incluidos en la Ley General de Desarrollo Social.</w:t>
      </w:r>
    </w:p>
    <w:p w14:paraId="554D6B5D" w14:textId="77777777" w:rsidR="00E04C6E" w:rsidRPr="00D40304" w:rsidRDefault="00E04C6E" w:rsidP="009B04A7">
      <w:pPr>
        <w:spacing w:after="285" w:line="276" w:lineRule="auto"/>
        <w:ind w:right="49" w:firstLine="426"/>
        <w:jc w:val="both"/>
        <w:rPr>
          <w:rFonts w:ascii="Century Gothic" w:hAnsi="Century Gothic" w:cs="Arial"/>
        </w:rPr>
      </w:pPr>
      <w:r w:rsidRPr="00D40304">
        <w:rPr>
          <w:rFonts w:ascii="Century Gothic" w:hAnsi="Century Gothic" w:cs="Arial"/>
        </w:rPr>
        <w:lastRenderedPageBreak/>
        <w:t>Para la dimensión de ingreso se establecen dos umbrales: la línea de bienestar (LB) que equivale al costo de la canasta básica y la línea de bienestar mínimo (LBM) que equivale al costo de la canasta alimentaria. Las seis carencias consideradas en la medición oficial de CONEVAL son el rezago educativo, acceso a servicios de salud, acceso a seguridad social, condiciones y espacios de la vivienda, servicios de la vivienda y acceso a la alimentación.</w:t>
      </w:r>
      <w:r w:rsidRPr="00D40304">
        <w:rPr>
          <w:rStyle w:val="Refdenotaalpie"/>
          <w:rFonts w:ascii="Century Gothic" w:hAnsi="Century Gothic" w:cs="Arial"/>
        </w:rPr>
        <w:footnoteReference w:id="1"/>
      </w:r>
    </w:p>
    <w:p w14:paraId="161CB91C" w14:textId="77777777" w:rsidR="00E04C6E" w:rsidRPr="00D40304" w:rsidRDefault="00E04C6E" w:rsidP="009B04A7">
      <w:pPr>
        <w:spacing w:after="285" w:line="276" w:lineRule="auto"/>
        <w:ind w:right="49" w:firstLine="426"/>
        <w:jc w:val="both"/>
        <w:rPr>
          <w:rFonts w:ascii="Century Gothic" w:hAnsi="Century Gothic" w:cs="Arial"/>
        </w:rPr>
      </w:pPr>
      <w:r w:rsidRPr="00D40304">
        <w:rPr>
          <w:rFonts w:ascii="Century Gothic" w:hAnsi="Century Gothic" w:cs="Arial"/>
        </w:rPr>
        <w:t>En los cálculos de medición de la pobreza, que el CONEVAL realiza, se utiliza además la información que genera el Instituto Nacional de Estadística y Geografía (INEGI) en particular el Módulo de Condiciones Socioeconómicas de la Encuesta Nacional de Ingresos y Gastos de los Hogares (MCS-ENIGH), así como los censos y conteos de población y vivienda. La autonomía del CONEVAL y el trabajo independiente de sus investigadores académicos otorgan certeza a la población mexicana sobre la medición imparcial y metodológicamente rigurosa acerca de la pobreza en el país.</w:t>
      </w:r>
    </w:p>
    <w:p w14:paraId="66F63758" w14:textId="77777777" w:rsidR="00E04C6E" w:rsidRPr="00D40304" w:rsidRDefault="00E04C6E" w:rsidP="009B04A7">
      <w:pPr>
        <w:spacing w:after="285" w:line="276" w:lineRule="auto"/>
        <w:ind w:right="49" w:firstLine="426"/>
        <w:jc w:val="both"/>
        <w:rPr>
          <w:rFonts w:ascii="Century Gothic" w:hAnsi="Century Gothic" w:cs="Arial"/>
        </w:rPr>
      </w:pPr>
      <w:r w:rsidRPr="00D40304">
        <w:rPr>
          <w:rFonts w:ascii="Century Gothic" w:hAnsi="Century Gothic" w:cs="Arial"/>
        </w:rPr>
        <w:t>En un ejercicio permanente de transparencia y rendición de cuentas, la metodología, los resultados nacionales por entidad federativa, municipio, así como las bases de datos y los programas de cálculo, permiten conocer la situación social de toda la población mexicana y el tipo de atención que requiere cada grupo poblacional; además, proporciona información relevante para que las políticas públicas de reducción de la pobreza sean más efectivas.</w:t>
      </w:r>
    </w:p>
    <w:p w14:paraId="0EB61273" w14:textId="77777777" w:rsidR="00E04C6E" w:rsidRPr="00D40304" w:rsidRDefault="00E04C6E" w:rsidP="009B04A7">
      <w:pPr>
        <w:spacing w:after="285" w:line="276" w:lineRule="auto"/>
        <w:ind w:right="49" w:firstLine="426"/>
        <w:jc w:val="both"/>
        <w:rPr>
          <w:rFonts w:ascii="Century Gothic" w:hAnsi="Century Gothic" w:cs="Arial"/>
        </w:rPr>
      </w:pPr>
      <w:r w:rsidRPr="00D40304">
        <w:rPr>
          <w:rFonts w:ascii="Century Gothic" w:hAnsi="Century Gothic" w:cs="Arial"/>
        </w:rPr>
        <w:t xml:space="preserve">Cabe hacer mención que en los resultados que se obtienen cada dos años para los datos de pobreza por entidad federativa y cada cinco años </w:t>
      </w:r>
      <w:r w:rsidRPr="00D40304">
        <w:rPr>
          <w:rFonts w:ascii="Century Gothic" w:hAnsi="Century Gothic" w:cs="Arial"/>
        </w:rPr>
        <w:lastRenderedPageBreak/>
        <w:t>para los datos municipales, la metodología que aplica CONEVAL contiene mediciones que integran estudios de campo, encuestas y apoyo de otros organismos que están dedicados especialmente a este muestreo, instrumentos que, permiten contar con datos certeros y validados.</w:t>
      </w:r>
    </w:p>
    <w:p w14:paraId="37A33C8E" w14:textId="05AF8F4B" w:rsidR="00C51C09" w:rsidRPr="00D40304" w:rsidRDefault="003D4184" w:rsidP="009B04A7">
      <w:pPr>
        <w:spacing w:line="276" w:lineRule="auto"/>
        <w:ind w:firstLine="426"/>
        <w:jc w:val="both"/>
        <w:rPr>
          <w:rFonts w:ascii="Century Gothic" w:hAnsi="Century Gothic" w:cs="Arial"/>
        </w:rPr>
      </w:pPr>
      <w:r w:rsidRPr="00D40304">
        <w:rPr>
          <w:rFonts w:ascii="Century Gothic" w:hAnsi="Century Gothic" w:cs="Arial"/>
        </w:rPr>
        <w:t xml:space="preserve">Ahora bien, el iniciante pretende crear un organismo descentralizado con atribuciones similares a las otorgadas en la Ley General de Desarrollo Social </w:t>
      </w:r>
      <w:r w:rsidR="00F05A80" w:rsidRPr="00D40304">
        <w:rPr>
          <w:rFonts w:ascii="Century Gothic" w:hAnsi="Century Gothic" w:cs="Arial"/>
        </w:rPr>
        <w:t>le establece al CONEVAL para la evaluación de la política de desarrollo social</w:t>
      </w:r>
      <w:r w:rsidR="00C51C09" w:rsidRPr="00D40304">
        <w:rPr>
          <w:rFonts w:ascii="Century Gothic" w:hAnsi="Century Gothic" w:cs="Arial"/>
        </w:rPr>
        <w:t>.</w:t>
      </w:r>
    </w:p>
    <w:p w14:paraId="3B18DB41" w14:textId="43A0307E" w:rsidR="00C51C09" w:rsidRPr="00D40304" w:rsidRDefault="00C51C09" w:rsidP="009B04A7">
      <w:pPr>
        <w:spacing w:line="276" w:lineRule="auto"/>
        <w:ind w:firstLine="426"/>
        <w:jc w:val="both"/>
        <w:rPr>
          <w:rFonts w:ascii="Century Gothic" w:hAnsi="Century Gothic" w:cs="Arial"/>
        </w:rPr>
      </w:pPr>
    </w:p>
    <w:p w14:paraId="17C8E0D2" w14:textId="452BE20F" w:rsidR="007A7EF2" w:rsidRPr="00D40304" w:rsidRDefault="00C51C09" w:rsidP="009B04A7">
      <w:pPr>
        <w:spacing w:line="276" w:lineRule="auto"/>
        <w:ind w:firstLine="426"/>
        <w:jc w:val="both"/>
        <w:rPr>
          <w:rFonts w:ascii="Century Gothic" w:hAnsi="Century Gothic" w:cs="Arial"/>
        </w:rPr>
      </w:pPr>
      <w:r w:rsidRPr="00D40304">
        <w:rPr>
          <w:rFonts w:ascii="Century Gothic" w:hAnsi="Century Gothic" w:cs="Arial"/>
        </w:rPr>
        <w:t xml:space="preserve">En ese orden de ideas, es importante señalar diversos </w:t>
      </w:r>
      <w:r w:rsidR="0076650A" w:rsidRPr="00D40304">
        <w:rPr>
          <w:rFonts w:ascii="Century Gothic" w:hAnsi="Century Gothic" w:cs="Arial"/>
        </w:rPr>
        <w:t>criterios emitidos por la Suprema Corte de Justicia de la Nación afirmando que los organismos descentralizados no forman parte del Poder Ejecutivo, bajo la premisa de que se encuentran fuera de la administración pública centralizada, razón por la cual no pueden identificarse con dicho Poder unipersonal;</w:t>
      </w:r>
      <w:r w:rsidR="00AF45E4" w:rsidRPr="00D40304">
        <w:rPr>
          <w:rFonts w:ascii="Century Gothic" w:hAnsi="Century Gothic" w:cs="Arial"/>
        </w:rPr>
        <w:t xml:space="preserve"> sin embargo </w:t>
      </w:r>
      <w:r w:rsidR="0076650A" w:rsidRPr="00D40304">
        <w:rPr>
          <w:rFonts w:ascii="Century Gothic" w:hAnsi="Century Gothic" w:cs="Arial"/>
        </w:rPr>
        <w:t xml:space="preserve">desarrollan actividades que corresponden a la función administrativa a cargo del titular del Ejecutivo y en todo momento se vinculan indirectamente a partir de los controles y vigilancia respectivos, ello significa que se ubican dentro del campo de acción del citado Poder en sentido amplio. </w:t>
      </w:r>
    </w:p>
    <w:p w14:paraId="3F8C359D" w14:textId="77777777" w:rsidR="00E935F2" w:rsidRPr="00D40304" w:rsidRDefault="00E935F2" w:rsidP="009B04A7">
      <w:pPr>
        <w:spacing w:line="276" w:lineRule="auto"/>
        <w:ind w:firstLine="426"/>
        <w:jc w:val="both"/>
        <w:rPr>
          <w:rFonts w:ascii="Century Gothic" w:hAnsi="Century Gothic" w:cs="Arial"/>
        </w:rPr>
      </w:pPr>
    </w:p>
    <w:p w14:paraId="416F6971" w14:textId="3D5FA7E6" w:rsidR="0069324F" w:rsidRPr="00D40304" w:rsidRDefault="0076650A" w:rsidP="009B04A7">
      <w:pPr>
        <w:spacing w:line="276" w:lineRule="auto"/>
        <w:ind w:firstLine="426"/>
        <w:jc w:val="both"/>
        <w:rPr>
          <w:rFonts w:ascii="Century Gothic" w:hAnsi="Century Gothic" w:cs="Arial"/>
        </w:rPr>
      </w:pPr>
      <w:r w:rsidRPr="00D40304">
        <w:rPr>
          <w:rFonts w:ascii="Century Gothic" w:hAnsi="Century Gothic" w:cs="Arial"/>
        </w:rPr>
        <w:t xml:space="preserve">Lo anterior es así porque la descentralización consiste en una técnica de organización jurídica para encomendar actividades estatales delegables a entidades estructuralmente separadas de la administración pública centralizada, pero formando junto con ella el concepto total e íntegro de administración pública, sin que la circunstancia de que los organismos descentralizados cuenten con personalidad jurídica propia signifique que su actuación sea libre y exenta de control, toda vez que dicha actividad y sus decisiones se identifican con las finalidades de la administración central y del Poder Ejecutivo, además de que la ley establece que su control se ejerce por aquél y que sus órganos directivos deben integrarlos personas ligadas a la administración central con la finalidad de lograr una orientación de </w:t>
      </w:r>
      <w:r w:rsidRPr="00D40304">
        <w:rPr>
          <w:rFonts w:ascii="Century Gothic" w:hAnsi="Century Gothic" w:cs="Arial"/>
        </w:rPr>
        <w:lastRenderedPageBreak/>
        <w:t xml:space="preserve">Estado en su rumbo, con lo cual, si bien son autónomos y no opera una relación de jerarquía respecto de ellos, continúan subordinados a la administración centralizada indirectamente, en tanto sus objetivos deben reputarse como fines públicos. </w:t>
      </w:r>
      <w:r w:rsidR="0061548C" w:rsidRPr="00D40304">
        <w:rPr>
          <w:rStyle w:val="Refdenotaalpie"/>
          <w:rFonts w:ascii="Century Gothic" w:hAnsi="Century Gothic" w:cs="Arial"/>
        </w:rPr>
        <w:footnoteReference w:id="2"/>
      </w:r>
    </w:p>
    <w:p w14:paraId="58B4D53D" w14:textId="77777777" w:rsidR="0069324F" w:rsidRPr="00D40304" w:rsidRDefault="0069324F" w:rsidP="009B04A7">
      <w:pPr>
        <w:spacing w:line="276" w:lineRule="auto"/>
        <w:ind w:firstLine="426"/>
        <w:jc w:val="both"/>
        <w:rPr>
          <w:rFonts w:ascii="Century Gothic" w:hAnsi="Century Gothic" w:cs="Arial"/>
        </w:rPr>
      </w:pPr>
    </w:p>
    <w:p w14:paraId="12D7A57F" w14:textId="348BF772" w:rsidR="00F05A80" w:rsidRPr="00D40304" w:rsidRDefault="00457FF9" w:rsidP="009B04A7">
      <w:pPr>
        <w:autoSpaceDE w:val="0"/>
        <w:autoSpaceDN w:val="0"/>
        <w:adjustRightInd w:val="0"/>
        <w:spacing w:line="276" w:lineRule="auto"/>
        <w:ind w:firstLine="567"/>
        <w:jc w:val="both"/>
        <w:rPr>
          <w:rFonts w:ascii="Century Gothic" w:hAnsi="Century Gothic" w:cs="Arial"/>
        </w:rPr>
      </w:pPr>
      <w:r w:rsidRPr="00D40304">
        <w:rPr>
          <w:rFonts w:ascii="Century Gothic" w:hAnsi="Century Gothic" w:cs="Arial"/>
        </w:rPr>
        <w:t>De igual forma ha establecido que, los organismos descentralizados</w:t>
      </w:r>
      <w:r w:rsidR="00E0774A" w:rsidRPr="00D40304">
        <w:rPr>
          <w:rFonts w:ascii="Century Gothic" w:hAnsi="Century Gothic" w:cs="Arial"/>
        </w:rPr>
        <w:t>, al ser entidades integrantes de la administración pública paraestatal forman parte del poder ejecutiv</w:t>
      </w:r>
      <w:r w:rsidR="00AD3084" w:rsidRPr="00D40304">
        <w:rPr>
          <w:rFonts w:ascii="Century Gothic" w:hAnsi="Century Gothic" w:cs="Arial"/>
        </w:rPr>
        <w:t xml:space="preserve">o </w:t>
      </w:r>
      <w:r w:rsidR="00AD3084" w:rsidRPr="00D40304">
        <w:rPr>
          <w:rStyle w:val="Refdenotaalpie"/>
          <w:rFonts w:ascii="Century Gothic" w:hAnsi="Century Gothic" w:cs="Arial"/>
        </w:rPr>
        <w:footnoteReference w:id="3"/>
      </w:r>
      <w:r w:rsidR="00AD3084" w:rsidRPr="00D40304">
        <w:rPr>
          <w:rFonts w:ascii="Century Gothic" w:hAnsi="Century Gothic" w:cs="Arial"/>
        </w:rPr>
        <w:t>, y que e</w:t>
      </w:r>
      <w:r w:rsidR="00A5473E" w:rsidRPr="00D40304">
        <w:rPr>
          <w:rFonts w:ascii="Century Gothic" w:hAnsi="Century Gothic" w:cs="Arial"/>
        </w:rPr>
        <w:t>sta situación es aplicable en los ámbitos de gobierno local y municipal, porque la descentralización administrativa en cualquiera de los tres órdenes de gobierno guarda la misma lógica, esto es, la de crear entes dotados de personalidad jurídica y autonomía jerárquica, pero sujetos a controles indirectos para desarrollar actividades administrativas específicas con agilidad y eficiencia.</w:t>
      </w:r>
    </w:p>
    <w:p w14:paraId="07BC4271" w14:textId="5C4DAC1C" w:rsidR="004A27AE" w:rsidRPr="00D40304" w:rsidRDefault="004A27AE" w:rsidP="009B04A7">
      <w:pPr>
        <w:spacing w:line="276" w:lineRule="auto"/>
        <w:ind w:firstLine="426"/>
        <w:jc w:val="both"/>
        <w:rPr>
          <w:rFonts w:ascii="Century Gothic" w:hAnsi="Century Gothic" w:cs="Arial"/>
        </w:rPr>
      </w:pPr>
    </w:p>
    <w:p w14:paraId="2AD09DD1" w14:textId="5F9263D7" w:rsidR="004A27AE" w:rsidRDefault="004A27AE" w:rsidP="009B04A7">
      <w:pPr>
        <w:spacing w:line="276" w:lineRule="auto"/>
        <w:ind w:firstLine="426"/>
        <w:jc w:val="both"/>
        <w:rPr>
          <w:rFonts w:ascii="Century Gothic" w:hAnsi="Century Gothic" w:cs="Arial"/>
        </w:rPr>
      </w:pPr>
      <w:r w:rsidRPr="00D40304">
        <w:rPr>
          <w:rFonts w:ascii="Century Gothic" w:hAnsi="Century Gothic" w:cs="Arial"/>
        </w:rPr>
        <w:t xml:space="preserve">Por lo anterior, consideramos que </w:t>
      </w:r>
      <w:r w:rsidR="000862CD" w:rsidRPr="00D40304">
        <w:rPr>
          <w:rFonts w:ascii="Century Gothic" w:hAnsi="Century Gothic" w:cs="Arial"/>
        </w:rPr>
        <w:t>la creación del organismo</w:t>
      </w:r>
      <w:r w:rsidR="007D495C" w:rsidRPr="00D40304">
        <w:rPr>
          <w:rFonts w:ascii="Century Gothic" w:hAnsi="Century Gothic" w:cs="Arial"/>
        </w:rPr>
        <w:t xml:space="preserve"> descentralizado no es el medio</w:t>
      </w:r>
      <w:r w:rsidR="00184257" w:rsidRPr="00D40304">
        <w:rPr>
          <w:rFonts w:ascii="Century Gothic" w:hAnsi="Century Gothic" w:cs="Arial"/>
        </w:rPr>
        <w:t xml:space="preserve"> para </w:t>
      </w:r>
      <w:r w:rsidR="007D495C" w:rsidRPr="00D40304">
        <w:rPr>
          <w:rFonts w:ascii="Century Gothic" w:hAnsi="Century Gothic" w:cs="Arial"/>
        </w:rPr>
        <w:t>garantiza</w:t>
      </w:r>
      <w:r w:rsidR="00184257" w:rsidRPr="00D40304">
        <w:rPr>
          <w:rFonts w:ascii="Century Gothic" w:hAnsi="Century Gothic" w:cs="Arial"/>
        </w:rPr>
        <w:t>r</w:t>
      </w:r>
      <w:r w:rsidR="007D495C" w:rsidRPr="00D40304">
        <w:rPr>
          <w:rFonts w:ascii="Century Gothic" w:hAnsi="Century Gothic" w:cs="Arial"/>
        </w:rPr>
        <w:t xml:space="preserve"> el cumplimiento del objetivo que persigue, </w:t>
      </w:r>
      <w:r w:rsidR="00915B07">
        <w:rPr>
          <w:rFonts w:ascii="Century Gothic" w:hAnsi="Century Gothic" w:cs="Arial"/>
        </w:rPr>
        <w:t xml:space="preserve">pues </w:t>
      </w:r>
      <w:r w:rsidRPr="00D40304">
        <w:rPr>
          <w:rFonts w:ascii="Century Gothic" w:hAnsi="Century Gothic" w:cs="Arial"/>
        </w:rPr>
        <w:t xml:space="preserve">las funciones y atribuciones que pretende establecer al mismo, se encuentran </w:t>
      </w:r>
      <w:r w:rsidR="00F1686A" w:rsidRPr="00D40304">
        <w:rPr>
          <w:rFonts w:ascii="Century Gothic" w:hAnsi="Century Gothic" w:cs="Arial"/>
        </w:rPr>
        <w:t xml:space="preserve">ya satisfechas tanto por el CONEVAL a nivel federal, como por la Secretaría de Desarrollo Social y Humano en el Estado, siendo entonces que a pesar de considerarlo </w:t>
      </w:r>
      <w:r w:rsidR="00997D14" w:rsidRPr="00D40304">
        <w:rPr>
          <w:rFonts w:ascii="Century Gothic" w:hAnsi="Century Gothic" w:cs="Arial"/>
        </w:rPr>
        <w:t xml:space="preserve">con la naturaleza de descentralizado, seguiría </w:t>
      </w:r>
      <w:r w:rsidR="00EB0B3A" w:rsidRPr="00D40304">
        <w:rPr>
          <w:rFonts w:ascii="Century Gothic" w:hAnsi="Century Gothic" w:cs="Arial"/>
        </w:rPr>
        <w:t>con directrices</w:t>
      </w:r>
      <w:r w:rsidR="00997D14" w:rsidRPr="00D40304">
        <w:rPr>
          <w:rFonts w:ascii="Century Gothic" w:hAnsi="Century Gothic" w:cs="Arial"/>
        </w:rPr>
        <w:t xml:space="preserve"> indirect</w:t>
      </w:r>
      <w:r w:rsidR="00EB0B3A" w:rsidRPr="00D40304">
        <w:rPr>
          <w:rFonts w:ascii="Century Gothic" w:hAnsi="Century Gothic" w:cs="Arial"/>
        </w:rPr>
        <w:t>a</w:t>
      </w:r>
      <w:r w:rsidR="00997D14" w:rsidRPr="00D40304">
        <w:rPr>
          <w:rFonts w:ascii="Century Gothic" w:hAnsi="Century Gothic" w:cs="Arial"/>
        </w:rPr>
        <w:t xml:space="preserve">s </w:t>
      </w:r>
      <w:r w:rsidR="00EB0B3A" w:rsidRPr="00D40304">
        <w:rPr>
          <w:rFonts w:ascii="Century Gothic" w:hAnsi="Century Gothic" w:cs="Arial"/>
        </w:rPr>
        <w:t xml:space="preserve">en las </w:t>
      </w:r>
      <w:r w:rsidR="00997D14" w:rsidRPr="00D40304">
        <w:rPr>
          <w:rFonts w:ascii="Century Gothic" w:hAnsi="Century Gothic" w:cs="Arial"/>
        </w:rPr>
        <w:t>actividades administrativas para la política pública</w:t>
      </w:r>
      <w:r w:rsidR="00EB0B3A" w:rsidRPr="00D40304">
        <w:rPr>
          <w:rFonts w:ascii="Century Gothic" w:hAnsi="Century Gothic" w:cs="Arial"/>
        </w:rPr>
        <w:t xml:space="preserve"> en la materia</w:t>
      </w:r>
      <w:r w:rsidR="00997D14" w:rsidRPr="00D40304">
        <w:rPr>
          <w:rFonts w:ascii="Century Gothic" w:hAnsi="Century Gothic" w:cs="Arial"/>
        </w:rPr>
        <w:t xml:space="preserve"> del Poder Ejecutivo.</w:t>
      </w:r>
    </w:p>
    <w:p w14:paraId="0E0D0BF2" w14:textId="77777777" w:rsidR="006C7A2D" w:rsidRDefault="006C7A2D" w:rsidP="009B04A7">
      <w:pPr>
        <w:spacing w:line="276" w:lineRule="auto"/>
        <w:ind w:firstLine="426"/>
        <w:jc w:val="both"/>
        <w:rPr>
          <w:rFonts w:ascii="Century Gothic" w:hAnsi="Century Gothic" w:cs="Arial"/>
        </w:rPr>
      </w:pPr>
    </w:p>
    <w:p w14:paraId="7C824762" w14:textId="74059594" w:rsidR="00915B07" w:rsidRPr="00B84C8E" w:rsidRDefault="00440F41" w:rsidP="00B84C8E">
      <w:pPr>
        <w:spacing w:line="276" w:lineRule="auto"/>
        <w:jc w:val="both"/>
        <w:rPr>
          <w:rFonts w:ascii="Century Gothic" w:hAnsi="Century Gothic" w:cs="Arial"/>
        </w:rPr>
      </w:pPr>
      <w:r w:rsidRPr="00B84C8E">
        <w:rPr>
          <w:rFonts w:ascii="Century Gothic" w:hAnsi="Century Gothic" w:cs="Arial"/>
        </w:rPr>
        <w:t xml:space="preserve">Asimismo, </w:t>
      </w:r>
      <w:r w:rsidR="00915B07" w:rsidRPr="00B84C8E">
        <w:rPr>
          <w:rFonts w:ascii="Century Gothic" w:hAnsi="Century Gothic" w:cs="Arial"/>
        </w:rPr>
        <w:t xml:space="preserve">esta Comisión dictaminadora siempre se ha encontrado </w:t>
      </w:r>
      <w:r w:rsidRPr="00B84C8E">
        <w:rPr>
          <w:rFonts w:ascii="Century Gothic" w:hAnsi="Century Gothic" w:cs="Arial"/>
        </w:rPr>
        <w:t>atenta a</w:t>
      </w:r>
      <w:r w:rsidR="00915B07" w:rsidRPr="00B84C8E">
        <w:rPr>
          <w:rFonts w:ascii="Century Gothic" w:hAnsi="Century Gothic" w:cs="Arial"/>
        </w:rPr>
        <w:t xml:space="preserve"> los</w:t>
      </w:r>
      <w:r w:rsidRPr="00B84C8E">
        <w:rPr>
          <w:rFonts w:ascii="Century Gothic" w:hAnsi="Century Gothic" w:cs="Arial"/>
        </w:rPr>
        <w:t xml:space="preserve"> análisis en materia de evaluación. En ese contexto, es oportuno señalar que CONEVAL ha realizado diagnósticos del avance en monitoreo y </w:t>
      </w:r>
      <w:r w:rsidRPr="00B84C8E">
        <w:rPr>
          <w:rFonts w:ascii="Century Gothic" w:hAnsi="Century Gothic" w:cs="Arial"/>
        </w:rPr>
        <w:lastRenderedPageBreak/>
        <w:t>evaluación en las entidades federativas</w:t>
      </w:r>
      <w:r w:rsidR="00915B07" w:rsidRPr="00B84C8E">
        <w:rPr>
          <w:rFonts w:ascii="Century Gothic" w:hAnsi="Century Gothic" w:cs="Arial"/>
        </w:rPr>
        <w:t xml:space="preserve"> y los </w:t>
      </w:r>
      <w:r w:rsidRPr="00B84C8E">
        <w:rPr>
          <w:rFonts w:ascii="Century Gothic" w:hAnsi="Century Gothic" w:cs="Arial"/>
        </w:rPr>
        <w:t>resultado</w:t>
      </w:r>
      <w:r w:rsidR="00915B07" w:rsidRPr="00B84C8E">
        <w:rPr>
          <w:rFonts w:ascii="Century Gothic" w:hAnsi="Century Gothic" w:cs="Arial"/>
        </w:rPr>
        <w:t>s</w:t>
      </w:r>
      <w:r w:rsidRPr="00B84C8E">
        <w:rPr>
          <w:rFonts w:ascii="Century Gothic" w:hAnsi="Century Gothic" w:cs="Arial"/>
        </w:rPr>
        <w:t xml:space="preserve"> </w:t>
      </w:r>
      <w:r w:rsidR="00915B07" w:rsidRPr="00B84C8E">
        <w:rPr>
          <w:rFonts w:ascii="Century Gothic" w:hAnsi="Century Gothic" w:cs="Arial"/>
        </w:rPr>
        <w:t>han sido</w:t>
      </w:r>
      <w:r w:rsidR="006C7A2D">
        <w:rPr>
          <w:rFonts w:ascii="Century Gothic" w:hAnsi="Century Gothic" w:cs="Arial"/>
        </w:rPr>
        <w:t xml:space="preserve"> bastante</w:t>
      </w:r>
      <w:r w:rsidR="00915B07" w:rsidRPr="00B84C8E">
        <w:rPr>
          <w:rFonts w:ascii="Century Gothic" w:hAnsi="Century Gothic" w:cs="Arial"/>
        </w:rPr>
        <w:t xml:space="preserve"> </w:t>
      </w:r>
      <w:r w:rsidRPr="00B84C8E">
        <w:rPr>
          <w:rFonts w:ascii="Century Gothic" w:hAnsi="Century Gothic" w:cs="Arial"/>
        </w:rPr>
        <w:t>favorable</w:t>
      </w:r>
      <w:r w:rsidR="00915B07" w:rsidRPr="00B84C8E">
        <w:rPr>
          <w:rFonts w:ascii="Century Gothic" w:hAnsi="Century Gothic" w:cs="Arial"/>
        </w:rPr>
        <w:t>s</w:t>
      </w:r>
      <w:r w:rsidRPr="00B84C8E">
        <w:rPr>
          <w:rFonts w:ascii="Century Gothic" w:hAnsi="Century Gothic" w:cs="Arial"/>
        </w:rPr>
        <w:t xml:space="preserve"> para el Estado</w:t>
      </w:r>
      <w:r w:rsidR="006C7A2D">
        <w:rPr>
          <w:rFonts w:ascii="Century Gothic" w:hAnsi="Century Gothic" w:cs="Arial"/>
        </w:rPr>
        <w:t xml:space="preserve"> de Guanajuato.</w:t>
      </w:r>
    </w:p>
    <w:p w14:paraId="797BC77E" w14:textId="77777777" w:rsidR="00915B07" w:rsidRPr="00B84C8E" w:rsidRDefault="00915B07" w:rsidP="00B84C8E">
      <w:pPr>
        <w:spacing w:line="276" w:lineRule="auto"/>
        <w:jc w:val="both"/>
        <w:rPr>
          <w:rFonts w:ascii="Century Gothic" w:hAnsi="Century Gothic" w:cs="Arial"/>
        </w:rPr>
      </w:pPr>
    </w:p>
    <w:p w14:paraId="37AF4462" w14:textId="77777777" w:rsidR="00915B07" w:rsidRPr="00B84C8E" w:rsidRDefault="00440F41" w:rsidP="00B84C8E">
      <w:pPr>
        <w:spacing w:line="276" w:lineRule="auto"/>
        <w:jc w:val="both"/>
        <w:rPr>
          <w:sz w:val="28"/>
          <w:szCs w:val="28"/>
          <w:lang w:val="es-ES"/>
        </w:rPr>
      </w:pPr>
      <w:r w:rsidRPr="00B84C8E">
        <w:rPr>
          <w:rFonts w:ascii="Century Gothic" w:hAnsi="Century Gothic" w:cs="Arial"/>
        </w:rPr>
        <w:t>De acuerdo con es</w:t>
      </w:r>
      <w:r w:rsidR="00915B07" w:rsidRPr="00B84C8E">
        <w:rPr>
          <w:rFonts w:ascii="Century Gothic" w:hAnsi="Century Gothic" w:cs="Arial"/>
        </w:rPr>
        <w:t>te</w:t>
      </w:r>
      <w:r w:rsidRPr="00B84C8E">
        <w:rPr>
          <w:rFonts w:ascii="Century Gothic" w:hAnsi="Century Gothic" w:cs="Arial"/>
        </w:rPr>
        <w:t xml:space="preserve"> organismo</w:t>
      </w:r>
      <w:r w:rsidRPr="00B84C8E">
        <w:rPr>
          <w:rStyle w:val="Refdenotaalpie"/>
          <w:sz w:val="28"/>
          <w:szCs w:val="28"/>
          <w:lang w:val="es-ES"/>
        </w:rPr>
        <w:footnoteReference w:id="4"/>
      </w:r>
      <w:r w:rsidRPr="00B84C8E">
        <w:rPr>
          <w:sz w:val="28"/>
          <w:szCs w:val="28"/>
          <w:lang w:val="es-ES"/>
        </w:rPr>
        <w:t>:</w:t>
      </w:r>
      <w:r w:rsidR="00915B07" w:rsidRPr="00B84C8E">
        <w:rPr>
          <w:sz w:val="28"/>
          <w:szCs w:val="28"/>
          <w:lang w:val="es-ES"/>
        </w:rPr>
        <w:t xml:space="preserve"> </w:t>
      </w:r>
    </w:p>
    <w:p w14:paraId="64814701" w14:textId="77777777" w:rsidR="00915B07" w:rsidRPr="00B84C8E" w:rsidRDefault="00915B07" w:rsidP="00B84C8E">
      <w:pPr>
        <w:spacing w:line="276" w:lineRule="auto"/>
        <w:jc w:val="both"/>
        <w:rPr>
          <w:sz w:val="28"/>
          <w:szCs w:val="28"/>
          <w:lang w:val="es-ES"/>
        </w:rPr>
      </w:pPr>
    </w:p>
    <w:p w14:paraId="538AFBAF" w14:textId="59DF3F03" w:rsidR="00440F41" w:rsidRPr="00B84C8E" w:rsidRDefault="00440F41" w:rsidP="00B84C8E">
      <w:pPr>
        <w:spacing w:line="276" w:lineRule="auto"/>
        <w:ind w:left="426" w:right="333"/>
        <w:jc w:val="both"/>
        <w:rPr>
          <w:rFonts w:ascii="Century Gothic" w:hAnsi="Century Gothic" w:cs="Arial"/>
          <w:i/>
          <w:iCs/>
        </w:rPr>
      </w:pPr>
      <w:r w:rsidRPr="00B84C8E">
        <w:rPr>
          <w:rFonts w:ascii="Century Gothic" w:hAnsi="Century Gothic" w:cs="Arial"/>
          <w:i/>
          <w:iCs/>
        </w:rPr>
        <w:t>“Guanajuato está clasificada como una entidad con avance alto en la generación de elementos de monitoreo y evaluación (…)</w:t>
      </w:r>
    </w:p>
    <w:p w14:paraId="15E6463D" w14:textId="77777777" w:rsidR="00440F41" w:rsidRPr="00B84C8E" w:rsidRDefault="00440F41" w:rsidP="00B84C8E">
      <w:pPr>
        <w:spacing w:line="276" w:lineRule="auto"/>
        <w:ind w:left="426" w:right="333"/>
        <w:jc w:val="both"/>
        <w:rPr>
          <w:rFonts w:ascii="Century Gothic" w:hAnsi="Century Gothic" w:cs="Arial"/>
          <w:i/>
          <w:iCs/>
        </w:rPr>
      </w:pPr>
    </w:p>
    <w:p w14:paraId="279B3EA5" w14:textId="0FF2623B" w:rsidR="001D791C" w:rsidRPr="00B84C8E" w:rsidRDefault="00440F41" w:rsidP="00B84C8E">
      <w:pPr>
        <w:spacing w:line="276" w:lineRule="auto"/>
        <w:ind w:left="426" w:right="333"/>
        <w:jc w:val="both"/>
        <w:rPr>
          <w:rFonts w:ascii="Century Gothic" w:hAnsi="Century Gothic" w:cs="Arial"/>
          <w:i/>
          <w:iCs/>
        </w:rPr>
      </w:pPr>
      <w:r w:rsidRPr="00B84C8E">
        <w:rPr>
          <w:rFonts w:ascii="Century Gothic" w:hAnsi="Century Gothic" w:cs="Arial"/>
          <w:i/>
          <w:iCs/>
        </w:rPr>
        <w:t>“Guanajuato presentó una tendencia creciente en el componente práctico entre 2011 y 2021. De 2019 a 2021 tuvo incrementos en el área responsable de la evaluación. La entidad alcanzó el puntaje máximo en las 13 variables del componente práctico”.</w:t>
      </w:r>
    </w:p>
    <w:p w14:paraId="04D2C077" w14:textId="77777777" w:rsidR="00A5473E" w:rsidRPr="00D40304" w:rsidRDefault="00A5473E" w:rsidP="009B04A7">
      <w:pPr>
        <w:spacing w:line="276" w:lineRule="auto"/>
        <w:ind w:firstLine="426"/>
        <w:jc w:val="both"/>
        <w:rPr>
          <w:rFonts w:ascii="Century Gothic" w:hAnsi="Century Gothic" w:cs="Arial"/>
        </w:rPr>
      </w:pPr>
    </w:p>
    <w:p w14:paraId="402D1F60" w14:textId="0B276665" w:rsidR="00877E24" w:rsidRPr="00D40304" w:rsidRDefault="004D2E5F" w:rsidP="009B04A7">
      <w:pPr>
        <w:spacing w:after="285" w:line="276" w:lineRule="auto"/>
        <w:ind w:right="49" w:firstLine="426"/>
        <w:jc w:val="both"/>
        <w:rPr>
          <w:rFonts w:ascii="Century Gothic" w:hAnsi="Century Gothic" w:cs="Arial"/>
          <w:b/>
          <w:bCs/>
        </w:rPr>
      </w:pPr>
      <w:r w:rsidRPr="00D40304">
        <w:rPr>
          <w:rFonts w:ascii="Century Gothic" w:hAnsi="Century Gothic" w:cs="Arial"/>
          <w:b/>
          <w:bCs/>
        </w:rPr>
        <w:t xml:space="preserve">2.2 </w:t>
      </w:r>
      <w:r w:rsidR="00050E93" w:rsidRPr="00D40304">
        <w:rPr>
          <w:rFonts w:ascii="Century Gothic" w:hAnsi="Century Gothic" w:cs="Arial"/>
          <w:b/>
          <w:bCs/>
        </w:rPr>
        <w:t xml:space="preserve">Duplicidad con la </w:t>
      </w:r>
      <w:r w:rsidR="009E4EB1" w:rsidRPr="00D40304">
        <w:rPr>
          <w:rFonts w:ascii="Century Gothic" w:hAnsi="Century Gothic" w:cs="Arial"/>
          <w:b/>
          <w:bCs/>
        </w:rPr>
        <w:t xml:space="preserve">normativa </w:t>
      </w:r>
      <w:r w:rsidR="00ED3687" w:rsidRPr="00D40304">
        <w:rPr>
          <w:rFonts w:ascii="Century Gothic" w:hAnsi="Century Gothic" w:cs="Arial"/>
          <w:b/>
          <w:bCs/>
        </w:rPr>
        <w:t xml:space="preserve">general, </w:t>
      </w:r>
      <w:r w:rsidR="00CF4021" w:rsidRPr="00D40304">
        <w:rPr>
          <w:rFonts w:ascii="Century Gothic" w:hAnsi="Century Gothic" w:cs="Arial"/>
          <w:b/>
          <w:bCs/>
        </w:rPr>
        <w:t xml:space="preserve">estatal </w:t>
      </w:r>
      <w:r w:rsidR="003B3921" w:rsidRPr="00D40304">
        <w:rPr>
          <w:rFonts w:ascii="Century Gothic" w:hAnsi="Century Gothic" w:cs="Arial"/>
          <w:b/>
          <w:bCs/>
        </w:rPr>
        <w:t>y acciones del Gobierno del Estado.</w:t>
      </w:r>
    </w:p>
    <w:p w14:paraId="40CC834A" w14:textId="68B739C0" w:rsidR="007E15E5" w:rsidRPr="00D40304" w:rsidRDefault="0000300C" w:rsidP="009B04A7">
      <w:pPr>
        <w:pStyle w:val="Estilo"/>
        <w:spacing w:line="276" w:lineRule="auto"/>
        <w:ind w:firstLine="567"/>
        <w:rPr>
          <w:rFonts w:ascii="Century Gothic" w:eastAsiaTheme="minorHAnsi" w:hAnsi="Century Gothic"/>
          <w:szCs w:val="24"/>
        </w:rPr>
      </w:pPr>
      <w:r w:rsidRPr="00D40304">
        <w:rPr>
          <w:rFonts w:ascii="Century Gothic" w:hAnsi="Century Gothic"/>
        </w:rPr>
        <w:t xml:space="preserve">Del análisis realizado, consideramos que el </w:t>
      </w:r>
      <w:r w:rsidR="005C5E9E" w:rsidRPr="00D40304">
        <w:rPr>
          <w:rFonts w:ascii="Century Gothic" w:eastAsiaTheme="minorHAnsi" w:hAnsi="Century Gothic"/>
          <w:szCs w:val="24"/>
        </w:rPr>
        <w:t xml:space="preserve">organismo que pretende crear la </w:t>
      </w:r>
      <w:r w:rsidR="007E15E5" w:rsidRPr="00D40304">
        <w:rPr>
          <w:rFonts w:ascii="Century Gothic" w:eastAsiaTheme="minorHAnsi" w:hAnsi="Century Gothic"/>
          <w:szCs w:val="24"/>
        </w:rPr>
        <w:t>iniciativa</w:t>
      </w:r>
      <w:r w:rsidR="005C5E9E" w:rsidRPr="00D40304">
        <w:rPr>
          <w:rFonts w:ascii="Century Gothic" w:eastAsiaTheme="minorHAnsi" w:hAnsi="Century Gothic"/>
          <w:szCs w:val="24"/>
        </w:rPr>
        <w:t xml:space="preserve"> </w:t>
      </w:r>
      <w:r w:rsidR="00FC5F93" w:rsidRPr="00D40304">
        <w:rPr>
          <w:rFonts w:ascii="Century Gothic" w:eastAsiaTheme="minorHAnsi" w:hAnsi="Century Gothic"/>
          <w:szCs w:val="24"/>
        </w:rPr>
        <w:t xml:space="preserve">establece atribuciones que ya se encuentran en el </w:t>
      </w:r>
      <w:r w:rsidR="00BF1371" w:rsidRPr="00D40304">
        <w:rPr>
          <w:rFonts w:ascii="Century Gothic" w:eastAsiaTheme="minorHAnsi" w:hAnsi="Century Gothic"/>
          <w:szCs w:val="24"/>
        </w:rPr>
        <w:t xml:space="preserve">marco normativo </w:t>
      </w:r>
      <w:r w:rsidR="007E15E5" w:rsidRPr="00D40304">
        <w:rPr>
          <w:rFonts w:ascii="Century Gothic" w:eastAsiaTheme="minorHAnsi" w:hAnsi="Century Gothic"/>
          <w:szCs w:val="24"/>
        </w:rPr>
        <w:t xml:space="preserve">estatal, comenzando por la estructura orgánica del Poder Ejecutivo, </w:t>
      </w:r>
      <w:r w:rsidR="005F17CA" w:rsidRPr="00D40304">
        <w:rPr>
          <w:rFonts w:ascii="Century Gothic" w:eastAsiaTheme="minorHAnsi" w:hAnsi="Century Gothic"/>
          <w:szCs w:val="24"/>
        </w:rPr>
        <w:t>en</w:t>
      </w:r>
      <w:r w:rsidR="007E15E5" w:rsidRPr="00D40304">
        <w:rPr>
          <w:rFonts w:ascii="Century Gothic" w:eastAsiaTheme="minorHAnsi" w:hAnsi="Century Gothic"/>
          <w:szCs w:val="24"/>
        </w:rPr>
        <w:t xml:space="preserve"> la Secretaría de Desarrollo Social </w:t>
      </w:r>
      <w:r w:rsidR="005F17CA" w:rsidRPr="00D40304">
        <w:rPr>
          <w:rFonts w:ascii="Century Gothic" w:eastAsiaTheme="minorHAnsi" w:hAnsi="Century Gothic"/>
          <w:szCs w:val="24"/>
        </w:rPr>
        <w:t>y Humano</w:t>
      </w:r>
      <w:r w:rsidR="007E15E5" w:rsidRPr="00D40304">
        <w:rPr>
          <w:rFonts w:ascii="Century Gothic" w:eastAsiaTheme="minorHAnsi" w:hAnsi="Century Gothic"/>
          <w:szCs w:val="24"/>
        </w:rPr>
        <w:t xml:space="preserve">, </w:t>
      </w:r>
      <w:r w:rsidR="00604DDF" w:rsidRPr="00D40304">
        <w:rPr>
          <w:rFonts w:ascii="Century Gothic" w:eastAsiaTheme="minorHAnsi" w:hAnsi="Century Gothic"/>
          <w:szCs w:val="24"/>
        </w:rPr>
        <w:t xml:space="preserve">que de conformidad al </w:t>
      </w:r>
      <w:r w:rsidR="007E15E5" w:rsidRPr="00D40304">
        <w:rPr>
          <w:rFonts w:ascii="Century Gothic" w:eastAsiaTheme="minorHAnsi" w:hAnsi="Century Gothic"/>
          <w:szCs w:val="24"/>
        </w:rPr>
        <w:t>artículo 26 de su Ley Orgánica</w:t>
      </w:r>
      <w:r w:rsidR="00604DDF" w:rsidRPr="00D40304">
        <w:rPr>
          <w:rFonts w:ascii="Century Gothic" w:eastAsiaTheme="minorHAnsi" w:hAnsi="Century Gothic"/>
          <w:szCs w:val="24"/>
        </w:rPr>
        <w:t xml:space="preserve">, </w:t>
      </w:r>
      <w:r w:rsidR="007E15E5" w:rsidRPr="00D40304">
        <w:rPr>
          <w:rFonts w:ascii="Century Gothic" w:eastAsiaTheme="minorHAnsi" w:hAnsi="Century Gothic"/>
          <w:szCs w:val="24"/>
        </w:rPr>
        <w:t>es la dependencia encargada de procurar el desarrollo individual y comunitario de la población del Estado</w:t>
      </w:r>
      <w:r w:rsidR="003B7B14" w:rsidRPr="00D40304">
        <w:rPr>
          <w:rFonts w:ascii="Century Gothic" w:eastAsiaTheme="minorHAnsi" w:hAnsi="Century Gothic"/>
          <w:szCs w:val="24"/>
        </w:rPr>
        <w:t xml:space="preserve"> para </w:t>
      </w:r>
      <w:r w:rsidR="007E15E5" w:rsidRPr="00D40304">
        <w:rPr>
          <w:rFonts w:ascii="Century Gothic" w:eastAsiaTheme="minorHAnsi" w:hAnsi="Century Gothic"/>
          <w:szCs w:val="24"/>
        </w:rPr>
        <w:t xml:space="preserve">combatir la pobreza, y que en </w:t>
      </w:r>
      <w:r w:rsidR="003B7B14" w:rsidRPr="00D40304">
        <w:rPr>
          <w:rFonts w:ascii="Century Gothic" w:eastAsiaTheme="minorHAnsi" w:hAnsi="Century Gothic"/>
          <w:szCs w:val="24"/>
        </w:rPr>
        <w:t xml:space="preserve">dicha materia </w:t>
      </w:r>
      <w:r w:rsidR="007E15E5" w:rsidRPr="00D40304">
        <w:rPr>
          <w:rFonts w:ascii="Century Gothic" w:eastAsiaTheme="minorHAnsi" w:hAnsi="Century Gothic"/>
          <w:szCs w:val="24"/>
        </w:rPr>
        <w:t>tiene</w:t>
      </w:r>
      <w:r w:rsidR="003B7B14" w:rsidRPr="00D40304">
        <w:rPr>
          <w:rFonts w:ascii="Century Gothic" w:eastAsiaTheme="minorHAnsi" w:hAnsi="Century Gothic"/>
          <w:szCs w:val="24"/>
        </w:rPr>
        <w:t>,</w:t>
      </w:r>
      <w:r w:rsidR="007E15E5" w:rsidRPr="00D40304">
        <w:rPr>
          <w:rFonts w:ascii="Century Gothic" w:eastAsiaTheme="minorHAnsi" w:hAnsi="Century Gothic"/>
          <w:szCs w:val="24"/>
        </w:rPr>
        <w:t xml:space="preserve"> entre otras, la atribución </w:t>
      </w:r>
      <w:r w:rsidR="003B7B14" w:rsidRPr="00D40304">
        <w:rPr>
          <w:rFonts w:ascii="Century Gothic" w:eastAsiaTheme="minorHAnsi" w:hAnsi="Century Gothic"/>
          <w:szCs w:val="24"/>
        </w:rPr>
        <w:t xml:space="preserve">de </w:t>
      </w:r>
      <w:r w:rsidR="007E15E5" w:rsidRPr="00D40304">
        <w:rPr>
          <w:rFonts w:ascii="Century Gothic" w:eastAsiaTheme="minorHAnsi" w:hAnsi="Century Gothic"/>
          <w:szCs w:val="24"/>
        </w:rPr>
        <w:t>formular, conducir y evaluar la política estatal de desarrollo social y las acciones correspondientes para el combate efectivo a la pobreza, procurando el desarrollo integral de la población del Estado.</w:t>
      </w:r>
    </w:p>
    <w:p w14:paraId="74184348" w14:textId="61DA160B" w:rsidR="005E01FF" w:rsidRPr="00D40304" w:rsidRDefault="005E01FF" w:rsidP="009B04A7">
      <w:pPr>
        <w:pStyle w:val="Estilo"/>
        <w:spacing w:line="276" w:lineRule="auto"/>
        <w:ind w:firstLine="567"/>
        <w:rPr>
          <w:rFonts w:ascii="Century Gothic" w:eastAsiaTheme="minorHAnsi" w:hAnsi="Century Gothic"/>
          <w:szCs w:val="24"/>
        </w:rPr>
      </w:pPr>
    </w:p>
    <w:p w14:paraId="53F44A18" w14:textId="66B93553" w:rsidR="00033A9A" w:rsidRPr="00D40304" w:rsidRDefault="005E01FF" w:rsidP="009B04A7">
      <w:pPr>
        <w:pStyle w:val="Estilo"/>
        <w:spacing w:line="276" w:lineRule="auto"/>
        <w:ind w:firstLine="567"/>
        <w:rPr>
          <w:rFonts w:ascii="Century Gothic" w:eastAsiaTheme="minorHAnsi" w:hAnsi="Century Gothic"/>
          <w:szCs w:val="24"/>
        </w:rPr>
      </w:pPr>
      <w:r w:rsidRPr="00D40304">
        <w:rPr>
          <w:rFonts w:ascii="Century Gothic" w:eastAsiaTheme="minorHAnsi" w:hAnsi="Century Gothic"/>
          <w:szCs w:val="24"/>
        </w:rPr>
        <w:lastRenderedPageBreak/>
        <w:t>En ese orden de ideas la Ley</w:t>
      </w:r>
      <w:r w:rsidR="00ED74A1">
        <w:rPr>
          <w:rFonts w:ascii="Century Gothic" w:eastAsiaTheme="minorHAnsi" w:hAnsi="Century Gothic"/>
          <w:szCs w:val="24"/>
        </w:rPr>
        <w:t xml:space="preserve"> de</w:t>
      </w:r>
      <w:r w:rsidRPr="00D40304">
        <w:rPr>
          <w:rFonts w:ascii="Century Gothic" w:eastAsiaTheme="minorHAnsi" w:hAnsi="Century Gothic"/>
          <w:szCs w:val="24"/>
        </w:rPr>
        <w:t xml:space="preserve"> Desarrollo Social y Humano para el Estado y los Municipios de Guanajuato establece</w:t>
      </w:r>
      <w:r w:rsidR="00033A9A" w:rsidRPr="00D40304">
        <w:rPr>
          <w:rFonts w:ascii="Century Gothic" w:eastAsiaTheme="minorHAnsi" w:hAnsi="Century Gothic"/>
          <w:szCs w:val="24"/>
        </w:rPr>
        <w:t xml:space="preserve"> en</w:t>
      </w:r>
      <w:r w:rsidR="009F3905" w:rsidRPr="00D40304">
        <w:rPr>
          <w:rFonts w:ascii="Century Gothic" w:eastAsiaTheme="minorHAnsi" w:hAnsi="Century Gothic"/>
          <w:szCs w:val="24"/>
        </w:rPr>
        <w:t xml:space="preserve"> el </w:t>
      </w:r>
      <w:r w:rsidR="00B34CF7" w:rsidRPr="00D40304">
        <w:rPr>
          <w:rFonts w:ascii="Century Gothic" w:eastAsiaTheme="minorHAnsi" w:hAnsi="Century Gothic"/>
          <w:szCs w:val="24"/>
        </w:rPr>
        <w:t>Título Quinto “De la Evaluación”, Capítulo</w:t>
      </w:r>
      <w:r w:rsidR="00501A80" w:rsidRPr="00D40304">
        <w:rPr>
          <w:rFonts w:ascii="Century Gothic" w:eastAsiaTheme="minorHAnsi" w:hAnsi="Century Gothic"/>
          <w:szCs w:val="24"/>
        </w:rPr>
        <w:t xml:space="preserve"> Único “De la </w:t>
      </w:r>
      <w:r w:rsidR="00033A9A" w:rsidRPr="00D40304">
        <w:rPr>
          <w:rFonts w:ascii="Century Gothic" w:eastAsiaTheme="minorHAnsi" w:hAnsi="Century Gothic"/>
          <w:szCs w:val="24"/>
        </w:rPr>
        <w:t>e</w:t>
      </w:r>
      <w:r w:rsidR="00501A80" w:rsidRPr="00D40304">
        <w:rPr>
          <w:rFonts w:ascii="Century Gothic" w:eastAsiaTheme="minorHAnsi" w:hAnsi="Century Gothic"/>
          <w:szCs w:val="24"/>
        </w:rPr>
        <w:t xml:space="preserve">valuación de la </w:t>
      </w:r>
      <w:r w:rsidR="00033A9A" w:rsidRPr="00D40304">
        <w:rPr>
          <w:rFonts w:ascii="Century Gothic" w:eastAsiaTheme="minorHAnsi" w:hAnsi="Century Gothic"/>
          <w:szCs w:val="24"/>
        </w:rPr>
        <w:t>p</w:t>
      </w:r>
      <w:r w:rsidR="00501A80" w:rsidRPr="00D40304">
        <w:rPr>
          <w:rFonts w:ascii="Century Gothic" w:eastAsiaTheme="minorHAnsi" w:hAnsi="Century Gothic"/>
          <w:szCs w:val="24"/>
        </w:rPr>
        <w:t xml:space="preserve">olítica </w:t>
      </w:r>
      <w:r w:rsidR="00033A9A" w:rsidRPr="00D40304">
        <w:rPr>
          <w:rFonts w:ascii="Century Gothic" w:eastAsiaTheme="minorHAnsi" w:hAnsi="Century Gothic"/>
          <w:szCs w:val="24"/>
        </w:rPr>
        <w:t>p</w:t>
      </w:r>
      <w:r w:rsidR="00501A80" w:rsidRPr="00D40304">
        <w:rPr>
          <w:rFonts w:ascii="Century Gothic" w:eastAsiaTheme="minorHAnsi" w:hAnsi="Century Gothic"/>
          <w:szCs w:val="24"/>
        </w:rPr>
        <w:t xml:space="preserve">ública </w:t>
      </w:r>
      <w:r w:rsidR="00033A9A" w:rsidRPr="00D40304">
        <w:rPr>
          <w:rFonts w:ascii="Century Gothic" w:eastAsiaTheme="minorHAnsi" w:hAnsi="Century Gothic"/>
          <w:szCs w:val="24"/>
        </w:rPr>
        <w:t>e</w:t>
      </w:r>
      <w:r w:rsidR="00501A80" w:rsidRPr="00D40304">
        <w:rPr>
          <w:rFonts w:ascii="Century Gothic" w:eastAsiaTheme="minorHAnsi" w:hAnsi="Century Gothic"/>
          <w:szCs w:val="24"/>
        </w:rPr>
        <w:t xml:space="preserve">statal de desarrollo </w:t>
      </w:r>
      <w:r w:rsidR="00033A9A" w:rsidRPr="00D40304">
        <w:rPr>
          <w:rFonts w:ascii="Century Gothic" w:eastAsiaTheme="minorHAnsi" w:hAnsi="Century Gothic"/>
          <w:szCs w:val="24"/>
        </w:rPr>
        <w:t>s</w:t>
      </w:r>
      <w:r w:rsidR="00501A80" w:rsidRPr="00D40304">
        <w:rPr>
          <w:rFonts w:ascii="Century Gothic" w:eastAsiaTheme="minorHAnsi" w:hAnsi="Century Gothic"/>
          <w:szCs w:val="24"/>
        </w:rPr>
        <w:t xml:space="preserve">ocial y </w:t>
      </w:r>
      <w:r w:rsidR="00033A9A" w:rsidRPr="00D40304">
        <w:rPr>
          <w:rFonts w:ascii="Century Gothic" w:eastAsiaTheme="minorHAnsi" w:hAnsi="Century Gothic"/>
          <w:szCs w:val="24"/>
        </w:rPr>
        <w:t>h</w:t>
      </w:r>
      <w:r w:rsidR="00501A80" w:rsidRPr="00D40304">
        <w:rPr>
          <w:rFonts w:ascii="Century Gothic" w:eastAsiaTheme="minorHAnsi" w:hAnsi="Century Gothic"/>
          <w:szCs w:val="24"/>
        </w:rPr>
        <w:t xml:space="preserve">umano” </w:t>
      </w:r>
      <w:r w:rsidR="004645C2" w:rsidRPr="00D40304">
        <w:rPr>
          <w:rFonts w:ascii="Century Gothic" w:eastAsiaTheme="minorHAnsi" w:hAnsi="Century Gothic"/>
          <w:szCs w:val="24"/>
        </w:rPr>
        <w:t xml:space="preserve">la obligación de la dependencia antes señalada </w:t>
      </w:r>
      <w:r w:rsidR="00033A9A" w:rsidRPr="00D40304">
        <w:rPr>
          <w:rFonts w:ascii="Century Gothic" w:eastAsiaTheme="minorHAnsi" w:hAnsi="Century Gothic"/>
          <w:szCs w:val="24"/>
        </w:rPr>
        <w:t>para revisar periódicamente el cumplimiento de los programas sociales en materia de desarrollo social y humano</w:t>
      </w:r>
      <w:r w:rsidR="00A729F2" w:rsidRPr="00D40304">
        <w:rPr>
          <w:rFonts w:ascii="Century Gothic" w:eastAsiaTheme="minorHAnsi" w:hAnsi="Century Gothic"/>
          <w:szCs w:val="24"/>
        </w:rPr>
        <w:t xml:space="preserve">, determinando </w:t>
      </w:r>
      <w:r w:rsidR="00033A9A" w:rsidRPr="00D40304">
        <w:rPr>
          <w:rFonts w:ascii="Century Gothic" w:eastAsiaTheme="minorHAnsi" w:hAnsi="Century Gothic"/>
          <w:szCs w:val="24"/>
        </w:rPr>
        <w:t>la programación de acciones de evaluación en función de la naturaleza técnica de los programas.</w:t>
      </w:r>
    </w:p>
    <w:p w14:paraId="3CA0FADC" w14:textId="06C4A09E" w:rsidR="005A5F8C" w:rsidRPr="00D40304" w:rsidRDefault="005A5F8C" w:rsidP="009B04A7">
      <w:pPr>
        <w:pStyle w:val="Estilo"/>
        <w:spacing w:line="276" w:lineRule="auto"/>
        <w:ind w:firstLine="567"/>
        <w:rPr>
          <w:rFonts w:ascii="Century Gothic" w:eastAsiaTheme="minorHAnsi" w:hAnsi="Century Gothic"/>
          <w:szCs w:val="24"/>
        </w:rPr>
      </w:pPr>
    </w:p>
    <w:p w14:paraId="6FD7D59E" w14:textId="269F9948" w:rsidR="00033A9A" w:rsidRPr="00D40304" w:rsidRDefault="005A5F8C" w:rsidP="009B04A7">
      <w:pPr>
        <w:pStyle w:val="Estilo"/>
        <w:spacing w:line="276" w:lineRule="auto"/>
        <w:ind w:firstLine="567"/>
        <w:rPr>
          <w:rFonts w:ascii="Century Gothic" w:eastAsiaTheme="minorHAnsi" w:hAnsi="Century Gothic"/>
          <w:szCs w:val="24"/>
        </w:rPr>
      </w:pPr>
      <w:r w:rsidRPr="00D40304">
        <w:rPr>
          <w:rFonts w:ascii="Century Gothic" w:eastAsiaTheme="minorHAnsi" w:hAnsi="Century Gothic"/>
          <w:szCs w:val="24"/>
        </w:rPr>
        <w:t xml:space="preserve">De igual forma establece que la </w:t>
      </w:r>
      <w:r w:rsidR="00033A9A" w:rsidRPr="00D40304">
        <w:rPr>
          <w:rFonts w:ascii="Century Gothic" w:eastAsiaTheme="minorHAnsi" w:hAnsi="Century Gothic"/>
          <w:szCs w:val="24"/>
        </w:rPr>
        <w:t>evaluación se realizará sobre las acciones de la política pública estatal de desarrollo social y humano encaminada a conocer la operación y resultados cualitativos para abatir la pobreza y mejorar el desarrollo humano en el Estado.</w:t>
      </w:r>
    </w:p>
    <w:p w14:paraId="53C83626" w14:textId="42D22539" w:rsidR="005A5F8C" w:rsidRPr="00D40304" w:rsidRDefault="005A5F8C" w:rsidP="009B04A7">
      <w:pPr>
        <w:pStyle w:val="Estilo"/>
        <w:spacing w:line="276" w:lineRule="auto"/>
        <w:ind w:firstLine="567"/>
        <w:rPr>
          <w:rFonts w:ascii="Century Gothic" w:eastAsiaTheme="minorHAnsi" w:hAnsi="Century Gothic"/>
          <w:szCs w:val="24"/>
        </w:rPr>
      </w:pPr>
    </w:p>
    <w:p w14:paraId="56C4D820" w14:textId="7C780630" w:rsidR="00033A9A" w:rsidRPr="00D40304" w:rsidRDefault="005A5F8C" w:rsidP="009B04A7">
      <w:pPr>
        <w:pStyle w:val="Estilo"/>
        <w:spacing w:line="276" w:lineRule="auto"/>
        <w:ind w:firstLine="567"/>
        <w:rPr>
          <w:rFonts w:ascii="Century Gothic" w:eastAsiaTheme="minorHAnsi" w:hAnsi="Century Gothic"/>
          <w:szCs w:val="24"/>
        </w:rPr>
      </w:pPr>
      <w:r w:rsidRPr="00D40304">
        <w:rPr>
          <w:rFonts w:ascii="Century Gothic" w:eastAsiaTheme="minorHAnsi" w:hAnsi="Century Gothic"/>
          <w:szCs w:val="24"/>
        </w:rPr>
        <w:t xml:space="preserve">Dichas evaluaciones </w:t>
      </w:r>
      <w:r w:rsidR="00033A9A" w:rsidRPr="00D40304">
        <w:rPr>
          <w:rFonts w:ascii="Century Gothic" w:eastAsiaTheme="minorHAnsi" w:hAnsi="Century Gothic"/>
          <w:szCs w:val="24"/>
        </w:rPr>
        <w:t>permitirán conocer y valorar el diseño, operación, resultados e impacto de los programas estatales y municipales de desarrollo social</w:t>
      </w:r>
      <w:r w:rsidRPr="00D40304">
        <w:rPr>
          <w:rFonts w:ascii="Century Gothic" w:eastAsiaTheme="minorHAnsi" w:hAnsi="Century Gothic"/>
          <w:szCs w:val="24"/>
        </w:rPr>
        <w:t xml:space="preserve"> y c</w:t>
      </w:r>
      <w:r w:rsidR="00033A9A" w:rsidRPr="00D40304">
        <w:rPr>
          <w:rFonts w:ascii="Century Gothic" w:eastAsiaTheme="minorHAnsi" w:hAnsi="Century Gothic"/>
          <w:szCs w:val="24"/>
        </w:rPr>
        <w:t xml:space="preserve">on base en </w:t>
      </w:r>
      <w:r w:rsidR="004C44CF" w:rsidRPr="00D40304">
        <w:rPr>
          <w:rFonts w:ascii="Century Gothic" w:eastAsiaTheme="minorHAnsi" w:hAnsi="Century Gothic"/>
          <w:szCs w:val="24"/>
        </w:rPr>
        <w:t>ellos</w:t>
      </w:r>
      <w:r w:rsidR="00033A9A" w:rsidRPr="00D40304">
        <w:rPr>
          <w:rFonts w:ascii="Century Gothic" w:eastAsiaTheme="minorHAnsi" w:hAnsi="Century Gothic"/>
          <w:szCs w:val="24"/>
        </w:rPr>
        <w:t xml:space="preserve"> se deberán formular las observaciones y recomendaciones para la reorientación, fortalecimiento y presupuestación del gasto social.</w:t>
      </w:r>
    </w:p>
    <w:p w14:paraId="58A43AFC" w14:textId="77777777" w:rsidR="00033A9A" w:rsidRPr="00D40304" w:rsidRDefault="00033A9A" w:rsidP="009B04A7">
      <w:pPr>
        <w:pStyle w:val="Estilo"/>
        <w:spacing w:line="276" w:lineRule="auto"/>
        <w:rPr>
          <w:rFonts w:ascii="Century Gothic" w:eastAsiaTheme="minorHAnsi" w:hAnsi="Century Gothic"/>
          <w:szCs w:val="24"/>
        </w:rPr>
      </w:pPr>
    </w:p>
    <w:p w14:paraId="023F29D6" w14:textId="5AD80D6B" w:rsidR="007E592A" w:rsidRPr="00D40304" w:rsidRDefault="00506B65" w:rsidP="009B04A7">
      <w:pPr>
        <w:spacing w:after="285" w:line="276" w:lineRule="auto"/>
        <w:ind w:right="49" w:firstLine="426"/>
        <w:jc w:val="both"/>
        <w:rPr>
          <w:rFonts w:ascii="Century Gothic" w:hAnsi="Century Gothic" w:cs="Arial"/>
        </w:rPr>
      </w:pPr>
      <w:r w:rsidRPr="00D40304">
        <w:rPr>
          <w:rFonts w:ascii="Century Gothic" w:hAnsi="Century Gothic" w:cs="Arial"/>
        </w:rPr>
        <w:t xml:space="preserve">Aunado a lo anterior, </w:t>
      </w:r>
      <w:r w:rsidR="004E7BEA" w:rsidRPr="00D40304">
        <w:rPr>
          <w:rFonts w:ascii="Century Gothic" w:hAnsi="Century Gothic" w:cs="Arial"/>
        </w:rPr>
        <w:t xml:space="preserve">consideramos además </w:t>
      </w:r>
      <w:r w:rsidRPr="00D40304">
        <w:rPr>
          <w:rFonts w:ascii="Century Gothic" w:hAnsi="Century Gothic" w:cs="Arial"/>
        </w:rPr>
        <w:t>que la</w:t>
      </w:r>
      <w:r w:rsidR="00EE5989" w:rsidRPr="00D40304">
        <w:rPr>
          <w:rFonts w:ascii="Century Gothic" w:hAnsi="Century Gothic" w:cs="Arial"/>
        </w:rPr>
        <w:t xml:space="preserve"> evaluación y seguimiento a la política pública en la materia, se encuentra </w:t>
      </w:r>
      <w:r w:rsidR="00BF1371" w:rsidRPr="00D40304">
        <w:rPr>
          <w:rFonts w:ascii="Century Gothic" w:hAnsi="Century Gothic" w:cs="Arial"/>
        </w:rPr>
        <w:t>contempla</w:t>
      </w:r>
      <w:r w:rsidR="00FC5F93" w:rsidRPr="00D40304">
        <w:rPr>
          <w:rFonts w:ascii="Century Gothic" w:hAnsi="Century Gothic" w:cs="Arial"/>
        </w:rPr>
        <w:t>do no sólo</w:t>
      </w:r>
      <w:r w:rsidR="00BF1371" w:rsidRPr="00D40304">
        <w:rPr>
          <w:rFonts w:ascii="Century Gothic" w:hAnsi="Century Gothic" w:cs="Arial"/>
        </w:rPr>
        <w:t xml:space="preserve"> en la Ley de Desarrollo Social y Humano para el Estado y los Municipios de Guanajuato y su Reglamento, </w:t>
      </w:r>
      <w:r w:rsidR="00FC5F93" w:rsidRPr="00D40304">
        <w:rPr>
          <w:rFonts w:ascii="Century Gothic" w:hAnsi="Century Gothic" w:cs="Arial"/>
        </w:rPr>
        <w:t xml:space="preserve">sino en algunos otros instrumentos regulatorios como </w:t>
      </w:r>
      <w:r w:rsidR="00BF1371" w:rsidRPr="00D40304">
        <w:rPr>
          <w:rFonts w:ascii="Century Gothic" w:hAnsi="Century Gothic" w:cs="Arial"/>
        </w:rPr>
        <w:t>los Lineamientos Generales de Gestión para Resultados para la Administración Pública del Estado de Guanajuato para el ejercicio fiscal 2022, los Lineamientos Generales para la Evaluación de las Políticas, Programas y Proyectos del Gobierno del Estado y la Guía para la Operación del Monitoreo y Evaluación de Programas Sociales Estatales.</w:t>
      </w:r>
    </w:p>
    <w:p w14:paraId="702C412A" w14:textId="5E7A3940" w:rsidR="00CF4021" w:rsidRPr="00D40304" w:rsidRDefault="00B81511" w:rsidP="009B04A7">
      <w:pPr>
        <w:spacing w:after="285" w:line="276" w:lineRule="auto"/>
        <w:ind w:right="49" w:firstLine="426"/>
        <w:jc w:val="both"/>
        <w:rPr>
          <w:rFonts w:ascii="Century Gothic" w:hAnsi="Century Gothic" w:cs="Arial"/>
        </w:rPr>
      </w:pPr>
      <w:r w:rsidRPr="00D40304">
        <w:rPr>
          <w:rFonts w:ascii="Century Gothic" w:hAnsi="Century Gothic" w:cs="Arial"/>
        </w:rPr>
        <w:t>L</w:t>
      </w:r>
      <w:r w:rsidR="00CF4021" w:rsidRPr="00D40304">
        <w:rPr>
          <w:rFonts w:ascii="Century Gothic" w:hAnsi="Century Gothic" w:cs="Arial"/>
        </w:rPr>
        <w:t xml:space="preserve">a actualización del Programa de Gobierno 2018-2024, dentro de la administración pública estatal, establece la visión del Estado para ofrecer </w:t>
      </w:r>
      <w:r w:rsidR="00CF4021" w:rsidRPr="00D40304">
        <w:rPr>
          <w:rFonts w:ascii="Century Gothic" w:hAnsi="Century Gothic" w:cs="Arial"/>
        </w:rPr>
        <w:lastRenderedPageBreak/>
        <w:t>condiciones óptimas para el desarrollo social incluyente</w:t>
      </w:r>
      <w:r w:rsidR="0000300C" w:rsidRPr="00D40304">
        <w:rPr>
          <w:rFonts w:ascii="Century Gothic" w:hAnsi="Century Gothic" w:cs="Arial"/>
        </w:rPr>
        <w:t>,</w:t>
      </w:r>
      <w:r w:rsidR="00CF4021" w:rsidRPr="00D40304">
        <w:rPr>
          <w:rFonts w:ascii="Century Gothic" w:hAnsi="Century Gothic" w:cs="Arial"/>
        </w:rPr>
        <w:t xml:space="preserve"> que impulse el desarrollo integral de la población con políticas públicas sostenibles e innovadoras.</w:t>
      </w:r>
    </w:p>
    <w:p w14:paraId="6CCCD979" w14:textId="77777777" w:rsidR="00CF4021" w:rsidRPr="00D40304" w:rsidRDefault="00CF4021" w:rsidP="009B04A7">
      <w:pPr>
        <w:spacing w:after="285" w:line="276" w:lineRule="auto"/>
        <w:ind w:right="49" w:firstLine="426"/>
        <w:jc w:val="both"/>
        <w:rPr>
          <w:rFonts w:ascii="Century Gothic" w:hAnsi="Century Gothic" w:cs="Arial"/>
        </w:rPr>
      </w:pPr>
      <w:r w:rsidRPr="00D40304">
        <w:rPr>
          <w:rFonts w:ascii="Century Gothic" w:hAnsi="Century Gothic" w:cs="Arial"/>
        </w:rPr>
        <w:t>Es por ello que se cuenta con el Sistema de Monitoreo y Evaluación de los Programas Sociales Estatales (SIMEG), así como el Sistema de Evaluación del Estado de Guanajuato (SEEG) como la instancia de coordinación para el cumplimiento de los objetivos, métodos y actividades de la evaluación de las intervenciones públicas.</w:t>
      </w:r>
    </w:p>
    <w:p w14:paraId="09BFE27C" w14:textId="77777777" w:rsidR="00CF4021" w:rsidRPr="00D40304" w:rsidRDefault="00CF4021" w:rsidP="009B04A7">
      <w:pPr>
        <w:spacing w:after="285" w:line="276" w:lineRule="auto"/>
        <w:ind w:right="49" w:firstLine="426"/>
        <w:jc w:val="both"/>
        <w:rPr>
          <w:rFonts w:ascii="Century Gothic" w:hAnsi="Century Gothic" w:cs="Arial"/>
        </w:rPr>
      </w:pPr>
      <w:r w:rsidRPr="00D40304">
        <w:rPr>
          <w:rFonts w:ascii="Century Gothic" w:hAnsi="Century Gothic" w:cs="Arial"/>
        </w:rPr>
        <w:t>El objeto del SEEG es generar y usar información que fortalezca la formulación de políticas públicas y el mejoramiento de la gestión del sector público, se destaca por ser una solución que genera información para la mejora continua del gasto público basada en evidencia que conjunta y alinea los esfuerzos de evaluación en el estado, incluyendo a la ciudadanía en la toma de decisiones en materia de evaluación, aprovechando la experiencia del diagnóstico del sector social.</w:t>
      </w:r>
    </w:p>
    <w:p w14:paraId="21605556" w14:textId="6F6C042D" w:rsidR="00CF4021" w:rsidRPr="00D40304" w:rsidRDefault="00CF4021" w:rsidP="009B04A7">
      <w:pPr>
        <w:spacing w:after="285" w:line="276" w:lineRule="auto"/>
        <w:ind w:right="49" w:firstLine="426"/>
        <w:jc w:val="both"/>
        <w:rPr>
          <w:rFonts w:ascii="Century Gothic" w:hAnsi="Century Gothic" w:cs="Arial"/>
        </w:rPr>
      </w:pPr>
      <w:r w:rsidRPr="00D40304">
        <w:rPr>
          <w:rFonts w:ascii="Century Gothic" w:hAnsi="Century Gothic" w:cs="Arial"/>
        </w:rPr>
        <w:t>El SEEG no genera un impacto presupuestario ni en estructuras orgánicas, ya que todos los cargos de los integrantes de los distintos órganos que lo integran son de carácter honorific</w:t>
      </w:r>
      <w:r w:rsidR="00B84C8E">
        <w:rPr>
          <w:rFonts w:ascii="Century Gothic" w:hAnsi="Century Gothic" w:cs="Arial"/>
        </w:rPr>
        <w:t>o. Cuenta</w:t>
      </w:r>
      <w:r w:rsidRPr="00D40304">
        <w:rPr>
          <w:rFonts w:ascii="Century Gothic" w:hAnsi="Century Gothic" w:cs="Arial"/>
        </w:rPr>
        <w:t xml:space="preserve"> con un Consejo Estratégico, que funge como el órgano de dirección del Sistema, donde se incluyen con voz y voto a cuatro representantes ciudadanos del Consejo de Análisis Estratégico, del Observatorio Académico de Desarrollo Social y Humano y del Consejo de Contraloría Social.</w:t>
      </w:r>
    </w:p>
    <w:p w14:paraId="07B6971E" w14:textId="77777777" w:rsidR="00CF4021" w:rsidRPr="00D40304" w:rsidRDefault="00CF4021" w:rsidP="009B04A7">
      <w:pPr>
        <w:spacing w:after="285" w:line="276" w:lineRule="auto"/>
        <w:ind w:right="49" w:firstLine="426"/>
        <w:jc w:val="both"/>
        <w:rPr>
          <w:rFonts w:ascii="Century Gothic" w:hAnsi="Century Gothic" w:cs="Arial"/>
        </w:rPr>
      </w:pPr>
      <w:r w:rsidRPr="00D40304">
        <w:rPr>
          <w:rFonts w:ascii="Century Gothic" w:hAnsi="Century Gothic" w:cs="Arial"/>
        </w:rPr>
        <w:t xml:space="preserve">En su carácter de órgano directivo, el Consejo define las orientaciones estratégicas del Sistema: aprueba el plan de trabajo, los estatutos y los lineamientos; valida los mecanismos de cooperación y coordinación; aprueba la agenda anual de evaluación, los términos de referencia y metodologías de evaluación; aprueba los mecanismos para la instrumentación de los aspectos susceptibles de mejora (ASM); y valida los </w:t>
      </w:r>
      <w:r w:rsidRPr="00D40304">
        <w:rPr>
          <w:rFonts w:ascii="Century Gothic" w:hAnsi="Century Gothic" w:cs="Arial"/>
        </w:rPr>
        <w:lastRenderedPageBreak/>
        <w:t>mecanismos para la difusión de los avances y resultados del Sistema; entre otros.</w:t>
      </w:r>
    </w:p>
    <w:p w14:paraId="02D00955" w14:textId="77777777" w:rsidR="00CF4021" w:rsidRPr="00D40304" w:rsidRDefault="00CF4021" w:rsidP="009B04A7">
      <w:pPr>
        <w:spacing w:after="285" w:line="276" w:lineRule="auto"/>
        <w:ind w:right="49" w:firstLine="426"/>
        <w:jc w:val="both"/>
        <w:rPr>
          <w:rFonts w:ascii="Century Gothic" w:hAnsi="Century Gothic" w:cs="Arial"/>
        </w:rPr>
      </w:pPr>
      <w:r w:rsidRPr="00D40304">
        <w:rPr>
          <w:rFonts w:ascii="Century Gothic" w:hAnsi="Century Gothic" w:cs="Arial"/>
        </w:rPr>
        <w:t>De igual manera, cuenta con un grupo consultivo integrado por representantes de la academia y por personas con trayectoria destacada de las actividades productivas y con perfil de investigación, experiencia, capacidad o conocimientos en materia de evaluación.</w:t>
      </w:r>
    </w:p>
    <w:p w14:paraId="0202B489" w14:textId="77777777" w:rsidR="00CF4021" w:rsidRPr="00D40304" w:rsidRDefault="00CF4021" w:rsidP="009B04A7">
      <w:pPr>
        <w:spacing w:after="285" w:line="276" w:lineRule="auto"/>
        <w:ind w:right="49" w:firstLine="426"/>
        <w:jc w:val="both"/>
        <w:rPr>
          <w:rFonts w:ascii="Century Gothic" w:hAnsi="Century Gothic" w:cs="Arial"/>
        </w:rPr>
      </w:pPr>
      <w:r w:rsidRPr="00D40304">
        <w:rPr>
          <w:rFonts w:ascii="Century Gothic" w:hAnsi="Century Gothic" w:cs="Arial"/>
        </w:rPr>
        <w:t>Por su parte el Instituto de Planeación, Estadística y Geografía del Estado de Guanajuato, tiene a su cargo la Secretaría Técnica del Sistema, encargándose de coordinar sus labores; en tanto que el grupo coordinador se integra por diversos servidores públicos adscritos a las dependencias y entidades con atribuciones en materia de evaluación, colaborando como el brazo operativo del SEEG.</w:t>
      </w:r>
    </w:p>
    <w:p w14:paraId="5B4E8EFB" w14:textId="0A32E4B2" w:rsidR="00807F87" w:rsidRDefault="004D2E5F" w:rsidP="009B04A7">
      <w:pPr>
        <w:spacing w:after="285" w:line="276" w:lineRule="auto"/>
        <w:ind w:right="49" w:firstLine="426"/>
        <w:jc w:val="both"/>
        <w:rPr>
          <w:rFonts w:ascii="Century Gothic" w:hAnsi="Century Gothic" w:cs="Arial"/>
          <w:b/>
          <w:bCs/>
        </w:rPr>
      </w:pPr>
      <w:r w:rsidRPr="00D40304">
        <w:rPr>
          <w:rFonts w:ascii="Century Gothic" w:hAnsi="Century Gothic" w:cs="Arial"/>
          <w:b/>
          <w:bCs/>
        </w:rPr>
        <w:t>2.3</w:t>
      </w:r>
      <w:r w:rsidR="00807F87">
        <w:rPr>
          <w:rFonts w:ascii="Century Gothic" w:hAnsi="Century Gothic" w:cs="Arial"/>
          <w:b/>
          <w:bCs/>
        </w:rPr>
        <w:t xml:space="preserve"> De la participación ciudadana.</w:t>
      </w:r>
    </w:p>
    <w:p w14:paraId="5D7C345D" w14:textId="4692C9EA" w:rsidR="00807F87" w:rsidRDefault="00982188" w:rsidP="009B04A7">
      <w:pPr>
        <w:spacing w:after="285" w:line="276" w:lineRule="auto"/>
        <w:ind w:right="49" w:firstLine="426"/>
        <w:jc w:val="both"/>
        <w:rPr>
          <w:rFonts w:ascii="Century Gothic" w:hAnsi="Century Gothic" w:cs="Arial"/>
        </w:rPr>
      </w:pPr>
      <w:r>
        <w:rPr>
          <w:rFonts w:ascii="Century Gothic" w:hAnsi="Century Gothic" w:cs="Arial"/>
        </w:rPr>
        <w:t xml:space="preserve">En la exposición de motivos señalada por el iniciante, refiere que </w:t>
      </w:r>
      <w:r w:rsidRPr="00982188">
        <w:rPr>
          <w:rFonts w:ascii="Century Gothic" w:hAnsi="Century Gothic" w:cs="Arial"/>
        </w:rPr>
        <w:t>es necesari</w:t>
      </w:r>
      <w:r>
        <w:rPr>
          <w:rFonts w:ascii="Century Gothic" w:hAnsi="Century Gothic" w:cs="Arial"/>
        </w:rPr>
        <w:t>o fortalecer la participación ciudadana, al respecto, quienes dictaminamos, consideramos que dentro de la evaluación en la materia de Desarrollo Social ya se cuenta con representación ciudadana, pues como ya se ha mencionado, el Sistema de Evaluación del Estado de Guanajuato (SEEG), integra  a cuatro representantes ciudadanos del Consejo de Análisis Estratégico, del Observatorio Académico de Desarrollo Social y Humano y del Consejo de Contraloría Social.</w:t>
      </w:r>
    </w:p>
    <w:p w14:paraId="45F58FA0" w14:textId="329E5117" w:rsidR="003650A1" w:rsidRPr="00BA0D13" w:rsidRDefault="00982188" w:rsidP="00171081">
      <w:pPr>
        <w:spacing w:after="285" w:line="276" w:lineRule="auto"/>
        <w:ind w:right="49" w:firstLine="426"/>
        <w:jc w:val="both"/>
        <w:rPr>
          <w:rFonts w:ascii="Century Gothic" w:hAnsi="Century Gothic" w:cs="Arial"/>
        </w:rPr>
      </w:pPr>
      <w:r>
        <w:rPr>
          <w:rFonts w:ascii="Century Gothic" w:hAnsi="Century Gothic" w:cs="Arial"/>
        </w:rPr>
        <w:t>Aunado a lo anterior, es importante señalar que</w:t>
      </w:r>
      <w:r w:rsidR="00ED74A1">
        <w:rPr>
          <w:rFonts w:ascii="Century Gothic" w:hAnsi="Century Gothic" w:cs="Arial"/>
        </w:rPr>
        <w:t xml:space="preserve"> en</w:t>
      </w:r>
      <w:r>
        <w:rPr>
          <w:rFonts w:ascii="Century Gothic" w:hAnsi="Century Gothic" w:cs="Arial"/>
        </w:rPr>
        <w:t xml:space="preserve"> la Ley </w:t>
      </w:r>
      <w:r w:rsidR="00ED74A1">
        <w:rPr>
          <w:rFonts w:ascii="Century Gothic" w:hAnsi="Century Gothic"/>
        </w:rPr>
        <w:t>de</w:t>
      </w:r>
      <w:r w:rsidR="00ED74A1" w:rsidRPr="00D40304">
        <w:rPr>
          <w:rFonts w:ascii="Century Gothic" w:hAnsi="Century Gothic"/>
        </w:rPr>
        <w:t xml:space="preserve"> </w:t>
      </w:r>
      <w:r w:rsidR="00ED74A1" w:rsidRPr="00D40304">
        <w:rPr>
          <w:rFonts w:ascii="Century Gothic" w:hAnsi="Century Gothic" w:cs="Arial"/>
        </w:rPr>
        <w:t>Desarrollo Social y Humano para el Estado y los Municipios de Guanajuato</w:t>
      </w:r>
      <w:r w:rsidR="00ED74A1">
        <w:rPr>
          <w:rFonts w:ascii="Century Gothic" w:hAnsi="Century Gothic" w:cs="Arial"/>
        </w:rPr>
        <w:t xml:space="preserve"> se establece </w:t>
      </w:r>
      <w:r w:rsidR="00343A03">
        <w:rPr>
          <w:rFonts w:ascii="Century Gothic" w:hAnsi="Century Gothic" w:cs="Arial"/>
        </w:rPr>
        <w:t xml:space="preserve">el Consejo </w:t>
      </w:r>
      <w:r w:rsidR="00ED74A1" w:rsidRPr="00BA0D13">
        <w:rPr>
          <w:rFonts w:ascii="Century Gothic" w:hAnsi="Century Gothic" w:cs="Arial"/>
        </w:rPr>
        <w:t>Consultivo para el Desarrollo Social y Humano</w:t>
      </w:r>
      <w:r w:rsidR="00343A03" w:rsidRPr="00BA0D13">
        <w:rPr>
          <w:rFonts w:ascii="Century Gothic" w:hAnsi="Century Gothic" w:cs="Arial"/>
        </w:rPr>
        <w:t xml:space="preserve">, como </w:t>
      </w:r>
      <w:r w:rsidR="00ED74A1" w:rsidRPr="00BA0D13">
        <w:rPr>
          <w:rFonts w:ascii="Century Gothic" w:hAnsi="Century Gothic" w:cs="Arial"/>
        </w:rPr>
        <w:t xml:space="preserve">órgano permanente de conformación plural, que tiene por objeto brindar asesoría y consulta especializada a la Secretaria, el cual </w:t>
      </w:r>
      <w:r w:rsidR="00343A03" w:rsidRPr="00BA0D13">
        <w:rPr>
          <w:rFonts w:ascii="Century Gothic" w:hAnsi="Century Gothic" w:cs="Arial"/>
        </w:rPr>
        <w:t xml:space="preserve">tiene entre sus </w:t>
      </w:r>
      <w:r w:rsidR="00ED74A1" w:rsidRPr="00BA0D13">
        <w:rPr>
          <w:rFonts w:ascii="Century Gothic" w:hAnsi="Century Gothic" w:cs="Arial"/>
        </w:rPr>
        <w:t>atribuciones</w:t>
      </w:r>
      <w:r w:rsidR="003650A1" w:rsidRPr="00BA0D13">
        <w:rPr>
          <w:rFonts w:ascii="Century Gothic" w:hAnsi="Century Gothic" w:cs="Arial"/>
        </w:rPr>
        <w:t>, e</w:t>
      </w:r>
      <w:r w:rsidR="00ED74A1" w:rsidRPr="00BA0D13">
        <w:rPr>
          <w:rFonts w:ascii="Century Gothic" w:hAnsi="Century Gothic" w:cs="Arial"/>
        </w:rPr>
        <w:t xml:space="preserve">mitir opiniones y formular propuestas sobre la aplicación y orientación de las políticas públicas en materia de desarrollo social y </w:t>
      </w:r>
      <w:r w:rsidR="00ED74A1" w:rsidRPr="00BA0D13">
        <w:rPr>
          <w:rFonts w:ascii="Century Gothic" w:hAnsi="Century Gothic" w:cs="Arial"/>
        </w:rPr>
        <w:lastRenderedPageBreak/>
        <w:t>humano;</w:t>
      </w:r>
      <w:r w:rsidR="003650A1" w:rsidRPr="00BA0D13">
        <w:rPr>
          <w:rFonts w:ascii="Century Gothic" w:hAnsi="Century Gothic" w:cs="Arial"/>
        </w:rPr>
        <w:t xml:space="preserve"> a</w:t>
      </w:r>
      <w:r w:rsidR="00ED74A1" w:rsidRPr="00BA0D13">
        <w:rPr>
          <w:rFonts w:ascii="Century Gothic" w:hAnsi="Century Gothic" w:cs="Arial"/>
        </w:rPr>
        <w:t>nalizar y proponer los programas y acciones que incidan en el cumplimiento de las políticas públicas en materia de desarrollo social y humano;</w:t>
      </w:r>
      <w:r w:rsidR="003650A1" w:rsidRPr="00BA0D13">
        <w:rPr>
          <w:rFonts w:ascii="Century Gothic" w:hAnsi="Century Gothic" w:cs="Arial"/>
        </w:rPr>
        <w:t xml:space="preserve"> p</w:t>
      </w:r>
      <w:r w:rsidR="00ED74A1" w:rsidRPr="00BA0D13">
        <w:rPr>
          <w:rFonts w:ascii="Century Gothic" w:hAnsi="Century Gothic" w:cs="Arial"/>
        </w:rPr>
        <w:t>roponer la realización de estudios de investigación en materia de desarrollo social y humano, así como de aquéllos que sustenten el diagnóstico, instrumentación y evolución, de políticas públicas y sus programas</w:t>
      </w:r>
      <w:r w:rsidR="003650A1" w:rsidRPr="00BA0D13">
        <w:rPr>
          <w:rFonts w:ascii="Century Gothic" w:hAnsi="Century Gothic" w:cs="Arial"/>
        </w:rPr>
        <w:t xml:space="preserve">, entre otras. </w:t>
      </w:r>
    </w:p>
    <w:p w14:paraId="30DA2DCB" w14:textId="3C612BDA" w:rsidR="00BA0D13" w:rsidRPr="00BA0D13" w:rsidRDefault="00BA0D13" w:rsidP="00171081">
      <w:pPr>
        <w:pStyle w:val="Estilo"/>
        <w:spacing w:line="276" w:lineRule="auto"/>
        <w:rPr>
          <w:rFonts w:ascii="Century Gothic" w:eastAsiaTheme="minorHAnsi" w:hAnsi="Century Gothic"/>
          <w:szCs w:val="24"/>
        </w:rPr>
      </w:pPr>
      <w:r w:rsidRPr="00BA0D13">
        <w:rPr>
          <w:rFonts w:ascii="Century Gothic" w:eastAsiaTheme="minorHAnsi" w:hAnsi="Century Gothic"/>
          <w:szCs w:val="24"/>
        </w:rPr>
        <w:t xml:space="preserve">Dicho consejo es integrado por </w:t>
      </w:r>
      <w:r w:rsidR="00171081" w:rsidRPr="00BA0D13">
        <w:rPr>
          <w:rFonts w:ascii="Century Gothic" w:eastAsiaTheme="minorHAnsi" w:hAnsi="Century Gothic"/>
          <w:szCs w:val="24"/>
        </w:rPr>
        <w:t>representantes ciudadanos</w:t>
      </w:r>
      <w:r w:rsidRPr="00BA0D13">
        <w:rPr>
          <w:rFonts w:ascii="Century Gothic" w:eastAsiaTheme="minorHAnsi" w:hAnsi="Century Gothic"/>
          <w:szCs w:val="24"/>
        </w:rPr>
        <w:t>, de los sectores social y privado, así como de los ámbitos académico, científico y cultural vinculados con el desarrollo social y humano.</w:t>
      </w:r>
    </w:p>
    <w:p w14:paraId="1519CFE8" w14:textId="77777777" w:rsidR="00171081" w:rsidRDefault="00171081" w:rsidP="00B84C8E">
      <w:pPr>
        <w:spacing w:after="285" w:line="276" w:lineRule="auto"/>
        <w:ind w:right="49"/>
        <w:jc w:val="both"/>
        <w:rPr>
          <w:rFonts w:ascii="Century Gothic" w:hAnsi="Century Gothic" w:cs="Arial"/>
          <w:b/>
          <w:bCs/>
        </w:rPr>
      </w:pPr>
    </w:p>
    <w:p w14:paraId="5DC6DCE8" w14:textId="7DEBEDDF" w:rsidR="00702953" w:rsidRPr="00D40304" w:rsidRDefault="00807F87" w:rsidP="009B04A7">
      <w:pPr>
        <w:spacing w:after="285" w:line="276" w:lineRule="auto"/>
        <w:ind w:right="49" w:firstLine="426"/>
        <w:jc w:val="both"/>
        <w:rPr>
          <w:rFonts w:ascii="Century Gothic" w:hAnsi="Century Gothic" w:cs="Arial"/>
          <w:b/>
          <w:bCs/>
        </w:rPr>
      </w:pPr>
      <w:r>
        <w:rPr>
          <w:rFonts w:ascii="Century Gothic" w:hAnsi="Century Gothic" w:cs="Arial"/>
          <w:b/>
          <w:bCs/>
        </w:rPr>
        <w:t xml:space="preserve">2.4. </w:t>
      </w:r>
      <w:r w:rsidR="00702953" w:rsidRPr="00D40304">
        <w:rPr>
          <w:rFonts w:ascii="Century Gothic" w:hAnsi="Century Gothic" w:cs="Arial"/>
          <w:b/>
          <w:bCs/>
        </w:rPr>
        <w:t>En cuanto al impacto presupuestal.</w:t>
      </w:r>
    </w:p>
    <w:p w14:paraId="245B429A" w14:textId="4273A4B6" w:rsidR="0091484A" w:rsidRPr="00D40304" w:rsidRDefault="00B65785" w:rsidP="000C6CFF">
      <w:pPr>
        <w:spacing w:line="276" w:lineRule="auto"/>
        <w:ind w:firstLine="426"/>
        <w:jc w:val="both"/>
        <w:rPr>
          <w:rFonts w:ascii="Century Gothic" w:hAnsi="Century Gothic" w:cs="Arial"/>
        </w:rPr>
      </w:pPr>
      <w:r w:rsidRPr="00D40304">
        <w:rPr>
          <w:rFonts w:ascii="Century Gothic" w:hAnsi="Century Gothic" w:cs="Arial"/>
        </w:rPr>
        <w:t xml:space="preserve">Del análisis realizado a la propuesta de iniciativa, </w:t>
      </w:r>
      <w:r w:rsidR="00A4294C" w:rsidRPr="00D40304">
        <w:rPr>
          <w:rFonts w:ascii="Century Gothic" w:hAnsi="Century Gothic" w:cs="Arial"/>
        </w:rPr>
        <w:t xml:space="preserve">se </w:t>
      </w:r>
      <w:r w:rsidR="00D35F92" w:rsidRPr="00D40304">
        <w:rPr>
          <w:rFonts w:ascii="Century Gothic" w:hAnsi="Century Gothic" w:cs="Arial"/>
        </w:rPr>
        <w:t>considera</w:t>
      </w:r>
      <w:r w:rsidR="00A4294C" w:rsidRPr="00D40304">
        <w:rPr>
          <w:rFonts w:ascii="Century Gothic" w:hAnsi="Century Gothic" w:cs="Arial"/>
        </w:rPr>
        <w:t xml:space="preserve"> que el iniciante no contempló</w:t>
      </w:r>
      <w:r w:rsidR="00D35F92" w:rsidRPr="00D40304">
        <w:rPr>
          <w:rFonts w:ascii="Century Gothic" w:hAnsi="Century Gothic" w:cs="Arial"/>
        </w:rPr>
        <w:t xml:space="preserve"> el</w:t>
      </w:r>
      <w:r w:rsidR="00A4294C" w:rsidRPr="00D40304">
        <w:rPr>
          <w:rFonts w:ascii="Century Gothic" w:hAnsi="Century Gothic" w:cs="Arial"/>
        </w:rPr>
        <w:t xml:space="preserve"> impacto presupuestal</w:t>
      </w:r>
      <w:r w:rsidR="00D35F92" w:rsidRPr="00D40304">
        <w:rPr>
          <w:rFonts w:ascii="Century Gothic" w:hAnsi="Century Gothic" w:cs="Arial"/>
        </w:rPr>
        <w:t xml:space="preserve"> con</w:t>
      </w:r>
      <w:r w:rsidRPr="00D40304">
        <w:rPr>
          <w:rFonts w:ascii="Century Gothic" w:hAnsi="Century Gothic" w:cs="Arial"/>
        </w:rPr>
        <w:t xml:space="preserve"> los alcances cuantificables acorde al diseño para la estructura operativa </w:t>
      </w:r>
      <w:r w:rsidR="009703CA" w:rsidRPr="00D40304">
        <w:rPr>
          <w:rFonts w:ascii="Century Gothic" w:hAnsi="Century Gothic" w:cs="Arial"/>
        </w:rPr>
        <w:t xml:space="preserve">necesaria </w:t>
      </w:r>
      <w:r w:rsidR="00D35F92" w:rsidRPr="00D40304">
        <w:rPr>
          <w:rFonts w:ascii="Century Gothic" w:hAnsi="Century Gothic" w:cs="Arial"/>
        </w:rPr>
        <w:t>para el</w:t>
      </w:r>
      <w:r w:rsidR="009703CA" w:rsidRPr="00D40304">
        <w:rPr>
          <w:rFonts w:ascii="Century Gothic" w:hAnsi="Century Gothic" w:cs="Arial"/>
        </w:rPr>
        <w:t xml:space="preserve"> organismo que pretende </w:t>
      </w:r>
      <w:r w:rsidRPr="00D40304">
        <w:rPr>
          <w:rFonts w:ascii="Century Gothic" w:hAnsi="Century Gothic" w:cs="Arial"/>
        </w:rPr>
        <w:t xml:space="preserve">en su constitución de descentralizado, </w:t>
      </w:r>
      <w:r w:rsidR="00D35F92" w:rsidRPr="00D40304">
        <w:rPr>
          <w:rFonts w:ascii="Century Gothic" w:hAnsi="Century Gothic" w:cs="Arial"/>
        </w:rPr>
        <w:t xml:space="preserve">pues debió tomar </w:t>
      </w:r>
      <w:r w:rsidR="00593000" w:rsidRPr="00D40304">
        <w:rPr>
          <w:rFonts w:ascii="Century Gothic" w:hAnsi="Century Gothic" w:cs="Arial"/>
        </w:rPr>
        <w:t xml:space="preserve">como </w:t>
      </w:r>
      <w:r w:rsidR="0091484A" w:rsidRPr="00D40304">
        <w:rPr>
          <w:rFonts w:ascii="Century Gothic" w:hAnsi="Century Gothic" w:cs="Arial"/>
        </w:rPr>
        <w:t>referencia la estructura organizacional</w:t>
      </w:r>
      <w:r w:rsidR="001939D2">
        <w:rPr>
          <w:rFonts w:ascii="Century Gothic" w:hAnsi="Century Gothic" w:cs="Arial"/>
        </w:rPr>
        <w:t xml:space="preserve"> </w:t>
      </w:r>
      <w:r w:rsidR="0091484A" w:rsidRPr="00D40304">
        <w:rPr>
          <w:rFonts w:ascii="Century Gothic" w:hAnsi="Century Gothic" w:cs="Arial"/>
        </w:rPr>
        <w:t xml:space="preserve">y la remuneración de sus plazas, equiparándola con el tabulador de sueldos y salarios del Gobierno del Estado de Guanajuato, </w:t>
      </w:r>
      <w:r w:rsidR="00D26B8E" w:rsidRPr="00D40304">
        <w:rPr>
          <w:rFonts w:ascii="Century Gothic" w:hAnsi="Century Gothic" w:cs="Arial"/>
        </w:rPr>
        <w:t xml:space="preserve">dando como resultado </w:t>
      </w:r>
      <w:r w:rsidR="0091484A" w:rsidRPr="00D40304">
        <w:rPr>
          <w:rFonts w:ascii="Century Gothic" w:hAnsi="Century Gothic" w:cs="Arial"/>
        </w:rPr>
        <w:t xml:space="preserve">un impacto presupuestal </w:t>
      </w:r>
      <w:r w:rsidR="00363004" w:rsidRPr="00D40304">
        <w:rPr>
          <w:rFonts w:ascii="Century Gothic" w:hAnsi="Century Gothic" w:cs="Arial"/>
        </w:rPr>
        <w:t xml:space="preserve">anual </w:t>
      </w:r>
      <w:r w:rsidR="0091484A" w:rsidRPr="00D40304">
        <w:rPr>
          <w:rFonts w:ascii="Century Gothic" w:hAnsi="Century Gothic" w:cs="Arial"/>
        </w:rPr>
        <w:t>de hasta $84.5 millones de pesos</w:t>
      </w:r>
      <w:r w:rsidR="00363004" w:rsidRPr="00D40304">
        <w:rPr>
          <w:rFonts w:ascii="Century Gothic" w:hAnsi="Century Gothic" w:cs="Arial"/>
        </w:rPr>
        <w:t xml:space="preserve">, </w:t>
      </w:r>
      <w:r w:rsidR="0091484A" w:rsidRPr="00D40304">
        <w:rPr>
          <w:rFonts w:ascii="Century Gothic" w:hAnsi="Century Gothic" w:cs="Arial"/>
        </w:rPr>
        <w:t>para el desarrollo de sus funciones</w:t>
      </w:r>
      <w:r w:rsidR="00554027">
        <w:rPr>
          <w:rFonts w:ascii="Century Gothic" w:hAnsi="Century Gothic" w:cs="Arial"/>
        </w:rPr>
        <w:t xml:space="preserve">, por lo que </w:t>
      </w:r>
      <w:r w:rsidR="00A56E07">
        <w:rPr>
          <w:rFonts w:ascii="Century Gothic" w:hAnsi="Century Gothic" w:cs="Arial"/>
        </w:rPr>
        <w:t xml:space="preserve">consideramos que no es viable, pues como ya se hizo referencia, las atribuciones </w:t>
      </w:r>
      <w:r w:rsidR="0079098D">
        <w:rPr>
          <w:rFonts w:ascii="Century Gothic" w:hAnsi="Century Gothic" w:cs="Arial"/>
        </w:rPr>
        <w:t xml:space="preserve">en materia de evaluación en la materia </w:t>
      </w:r>
      <w:r w:rsidR="00A56E07">
        <w:rPr>
          <w:rFonts w:ascii="Century Gothic" w:hAnsi="Century Gothic" w:cs="Arial"/>
        </w:rPr>
        <w:t>ya</w:t>
      </w:r>
      <w:r w:rsidR="000C6CFF">
        <w:rPr>
          <w:rFonts w:ascii="Century Gothic" w:hAnsi="Century Gothic" w:cs="Arial"/>
        </w:rPr>
        <w:t xml:space="preserve"> se encuentran dentro de </w:t>
      </w:r>
      <w:r w:rsidR="004F64E7">
        <w:rPr>
          <w:rFonts w:ascii="Century Gothic" w:hAnsi="Century Gothic" w:cs="Arial"/>
        </w:rPr>
        <w:t>la Secretaría de Desarrollo Social y Humano del Poder Ejecutivo.</w:t>
      </w:r>
    </w:p>
    <w:p w14:paraId="15904101" w14:textId="5A1A70FE" w:rsidR="0091484A" w:rsidRPr="00D40304" w:rsidRDefault="0091484A" w:rsidP="00C4673F">
      <w:pPr>
        <w:spacing w:line="276" w:lineRule="auto"/>
        <w:ind w:firstLine="426"/>
        <w:jc w:val="both"/>
        <w:rPr>
          <w:rFonts w:ascii="Century Gothic" w:hAnsi="Century Gothic" w:cs="Arial"/>
        </w:rPr>
      </w:pPr>
    </w:p>
    <w:p w14:paraId="166406B9" w14:textId="2B5C41C3" w:rsidR="00102FBD" w:rsidRPr="00D40304" w:rsidRDefault="00102FBD" w:rsidP="009B04A7">
      <w:pPr>
        <w:spacing w:line="276" w:lineRule="auto"/>
        <w:jc w:val="both"/>
        <w:rPr>
          <w:rFonts w:ascii="Century Gothic" w:hAnsi="Century Gothic" w:cs="Arial"/>
        </w:rPr>
      </w:pPr>
      <w:r w:rsidRPr="00D40304">
        <w:rPr>
          <w:rFonts w:ascii="Century Gothic" w:hAnsi="Century Gothic" w:cs="Arial"/>
        </w:rPr>
        <w:tab/>
        <w:t>Por lo anteriormente expuesto y con fundamento en el artículo 171 la Ley Orgánica del Poder Legislativo del Estado de Guanajuato, nos permitimos proponer a la Asamblea la aprobación del siguiente:</w:t>
      </w:r>
      <w:bookmarkEnd w:id="2"/>
    </w:p>
    <w:p w14:paraId="6195C509" w14:textId="120A8F3B" w:rsidR="00FD1C6B" w:rsidRDefault="00FD1C6B" w:rsidP="009B04A7">
      <w:pPr>
        <w:spacing w:line="276" w:lineRule="auto"/>
        <w:jc w:val="center"/>
        <w:rPr>
          <w:rFonts w:ascii="Century Gothic" w:hAnsi="Century Gothic" w:cs="Arial"/>
          <w:b/>
        </w:rPr>
      </w:pPr>
    </w:p>
    <w:p w14:paraId="3A2596B6" w14:textId="77777777" w:rsidR="00B84C8E" w:rsidRPr="00D40304" w:rsidRDefault="00B84C8E" w:rsidP="009B04A7">
      <w:pPr>
        <w:spacing w:line="276" w:lineRule="auto"/>
        <w:jc w:val="center"/>
        <w:rPr>
          <w:rFonts w:ascii="Century Gothic" w:hAnsi="Century Gothic" w:cs="Arial"/>
          <w:b/>
        </w:rPr>
      </w:pPr>
    </w:p>
    <w:p w14:paraId="3E1B57A0" w14:textId="77777777" w:rsidR="00B84C8E" w:rsidRDefault="00B84C8E" w:rsidP="00B84C8E">
      <w:pPr>
        <w:spacing w:line="276" w:lineRule="auto"/>
        <w:jc w:val="center"/>
        <w:rPr>
          <w:rFonts w:ascii="Century Gothic" w:hAnsi="Century Gothic" w:cs="Arial"/>
          <w:b/>
        </w:rPr>
      </w:pPr>
    </w:p>
    <w:p w14:paraId="36A07A2C" w14:textId="39FD6C44" w:rsidR="00FD1C6B" w:rsidRDefault="00102FBD" w:rsidP="00B84C8E">
      <w:pPr>
        <w:spacing w:line="276" w:lineRule="auto"/>
        <w:jc w:val="center"/>
        <w:rPr>
          <w:rFonts w:ascii="Century Gothic" w:hAnsi="Century Gothic" w:cs="Arial"/>
          <w:b/>
        </w:rPr>
      </w:pPr>
      <w:r w:rsidRPr="00D40304">
        <w:rPr>
          <w:rFonts w:ascii="Century Gothic" w:hAnsi="Century Gothic" w:cs="Arial"/>
          <w:b/>
        </w:rPr>
        <w:t>ACUERDO</w:t>
      </w:r>
    </w:p>
    <w:p w14:paraId="4A2F500F" w14:textId="77777777" w:rsidR="00B84C8E" w:rsidRDefault="00B84C8E" w:rsidP="00B84C8E">
      <w:pPr>
        <w:spacing w:line="276" w:lineRule="auto"/>
        <w:jc w:val="center"/>
        <w:rPr>
          <w:rFonts w:ascii="Century Gothic" w:hAnsi="Century Gothic" w:cs="Arial"/>
          <w:b/>
        </w:rPr>
      </w:pPr>
    </w:p>
    <w:p w14:paraId="68B1669E" w14:textId="77777777" w:rsidR="00B84C8E" w:rsidRPr="00B84C8E" w:rsidRDefault="00B84C8E" w:rsidP="00B84C8E">
      <w:pPr>
        <w:spacing w:line="276" w:lineRule="auto"/>
        <w:jc w:val="center"/>
        <w:rPr>
          <w:rFonts w:ascii="Century Gothic" w:hAnsi="Century Gothic" w:cs="Arial"/>
          <w:b/>
        </w:rPr>
      </w:pPr>
    </w:p>
    <w:p w14:paraId="7B86B885" w14:textId="78BA9FE0" w:rsidR="0079098D" w:rsidRDefault="00102FBD" w:rsidP="00B84C8E">
      <w:pPr>
        <w:spacing w:line="276" w:lineRule="auto"/>
        <w:ind w:firstLine="708"/>
        <w:jc w:val="both"/>
        <w:rPr>
          <w:rFonts w:ascii="Century Gothic" w:hAnsi="Century Gothic" w:cs="Arial"/>
        </w:rPr>
      </w:pPr>
      <w:r w:rsidRPr="00D40304">
        <w:rPr>
          <w:rFonts w:ascii="Century Gothic" w:hAnsi="Century Gothic" w:cs="Arial"/>
          <w:b/>
          <w:bCs/>
        </w:rPr>
        <w:t>Único.</w:t>
      </w:r>
      <w:r w:rsidRPr="00D40304">
        <w:rPr>
          <w:rFonts w:ascii="Century Gothic" w:hAnsi="Century Gothic" w:cs="Arial"/>
        </w:rPr>
        <w:t xml:space="preserve"> </w:t>
      </w:r>
      <w:r w:rsidR="003E0039" w:rsidRPr="00D40304">
        <w:rPr>
          <w:rFonts w:ascii="Century Gothic" w:hAnsi="Century Gothic" w:cs="Arial"/>
        </w:rPr>
        <w:t>La Sexagésima Quinta Legislatura,</w:t>
      </w:r>
      <w:r w:rsidRPr="00D40304">
        <w:rPr>
          <w:rFonts w:ascii="Century Gothic" w:hAnsi="Century Gothic" w:cs="Arial"/>
        </w:rPr>
        <w:t xml:space="preserve"> ordena el archivo definitivo </w:t>
      </w:r>
      <w:r w:rsidR="00211C44" w:rsidRPr="00D40304">
        <w:rPr>
          <w:rFonts w:ascii="Century Gothic" w:hAnsi="Century Gothic" w:cs="Arial"/>
        </w:rPr>
        <w:t xml:space="preserve">de </w:t>
      </w:r>
      <w:r w:rsidR="003F35FF" w:rsidRPr="00D40304">
        <w:rPr>
          <w:rFonts w:ascii="Century Gothic" w:hAnsi="Century Gothic" w:cs="Arial"/>
        </w:rPr>
        <w:t xml:space="preserve">la iniciativa formulada </w:t>
      </w:r>
      <w:r w:rsidR="004F64E7" w:rsidRPr="00D40304">
        <w:rPr>
          <w:rFonts w:ascii="Century Gothic" w:hAnsi="Century Gothic" w:cs="Arial"/>
        </w:rPr>
        <w:t>por el diputado David Martínez Mendizábal integrante del Grupo Parlamentario del Partido MORENA a efecto de reformar y adicionar diversas disposiciones a la Ley de Desarrollo Social y Humano para el Estado y los Municipios de Guanajuato</w:t>
      </w:r>
      <w:r w:rsidR="003E0039" w:rsidRPr="00D40304">
        <w:rPr>
          <w:rFonts w:ascii="Century Gothic" w:hAnsi="Century Gothic" w:cs="Arial"/>
        </w:rPr>
        <w:t>.</w:t>
      </w:r>
    </w:p>
    <w:p w14:paraId="4BBEAD91" w14:textId="77777777" w:rsidR="004F64E7" w:rsidRPr="00D40304" w:rsidRDefault="004F64E7" w:rsidP="009B04A7">
      <w:pPr>
        <w:spacing w:line="276" w:lineRule="auto"/>
        <w:jc w:val="both"/>
        <w:rPr>
          <w:rFonts w:ascii="Century Gothic" w:hAnsi="Century Gothic" w:cs="Arial"/>
        </w:rPr>
      </w:pPr>
    </w:p>
    <w:p w14:paraId="2D729F5A" w14:textId="1B4B2449" w:rsidR="00102FBD" w:rsidRPr="00D40304" w:rsidRDefault="00102FBD" w:rsidP="009B04A7">
      <w:pPr>
        <w:pStyle w:val="Sinespaciado"/>
        <w:spacing w:line="276" w:lineRule="auto"/>
        <w:jc w:val="center"/>
        <w:rPr>
          <w:rFonts w:ascii="Century Gothic" w:eastAsia="Arial Unicode MS" w:hAnsi="Century Gothic" w:cs="Arial"/>
          <w:b/>
          <w:sz w:val="24"/>
          <w:szCs w:val="24"/>
        </w:rPr>
      </w:pPr>
      <w:r w:rsidRPr="00D40304">
        <w:rPr>
          <w:rFonts w:ascii="Century Gothic" w:eastAsia="Arial Unicode MS" w:hAnsi="Century Gothic" w:cs="Arial"/>
          <w:b/>
          <w:sz w:val="24"/>
          <w:szCs w:val="24"/>
        </w:rPr>
        <w:t>Guanajuato, Gto.,</w:t>
      </w:r>
      <w:r w:rsidR="00480BD8" w:rsidRPr="00D40304">
        <w:rPr>
          <w:rFonts w:ascii="Century Gothic" w:eastAsia="Arial Unicode MS" w:hAnsi="Century Gothic" w:cs="Arial"/>
          <w:b/>
          <w:sz w:val="24"/>
          <w:szCs w:val="24"/>
        </w:rPr>
        <w:t xml:space="preserve"> </w:t>
      </w:r>
      <w:r w:rsidR="000A23B0" w:rsidRPr="00D40304">
        <w:rPr>
          <w:rFonts w:ascii="Century Gothic" w:eastAsia="Arial Unicode MS" w:hAnsi="Century Gothic" w:cs="Arial"/>
          <w:b/>
          <w:sz w:val="24"/>
          <w:szCs w:val="24"/>
        </w:rPr>
        <w:t xml:space="preserve">30 de agosto </w:t>
      </w:r>
      <w:r w:rsidRPr="00D40304">
        <w:rPr>
          <w:rFonts w:ascii="Century Gothic" w:eastAsia="Arial Unicode MS" w:hAnsi="Century Gothic" w:cs="Arial"/>
          <w:b/>
          <w:sz w:val="24"/>
          <w:szCs w:val="24"/>
        </w:rPr>
        <w:t>de 202</w:t>
      </w:r>
      <w:r w:rsidR="00F66309" w:rsidRPr="00D40304">
        <w:rPr>
          <w:rFonts w:ascii="Century Gothic" w:eastAsia="Arial Unicode MS" w:hAnsi="Century Gothic" w:cs="Arial"/>
          <w:b/>
          <w:sz w:val="24"/>
          <w:szCs w:val="24"/>
        </w:rPr>
        <w:t>2</w:t>
      </w:r>
    </w:p>
    <w:p w14:paraId="21580FB9" w14:textId="77777777" w:rsidR="00102FBD" w:rsidRPr="00D40304" w:rsidRDefault="00102FBD" w:rsidP="009B04A7">
      <w:pPr>
        <w:pStyle w:val="Sinespaciado"/>
        <w:spacing w:line="276" w:lineRule="auto"/>
        <w:jc w:val="center"/>
        <w:rPr>
          <w:rFonts w:ascii="Century Gothic" w:eastAsia="Arial Unicode MS" w:hAnsi="Century Gothic" w:cs="Arial"/>
          <w:b/>
          <w:sz w:val="24"/>
          <w:szCs w:val="24"/>
        </w:rPr>
      </w:pPr>
      <w:r w:rsidRPr="00D40304">
        <w:rPr>
          <w:rFonts w:ascii="Century Gothic" w:eastAsia="Arial Unicode MS" w:hAnsi="Century Gothic" w:cs="Arial"/>
          <w:b/>
          <w:sz w:val="24"/>
          <w:szCs w:val="24"/>
        </w:rPr>
        <w:t>La Comisión de Desarrollo Económico y Social</w:t>
      </w:r>
    </w:p>
    <w:p w14:paraId="5E7C070F" w14:textId="4BFF299D" w:rsidR="00102FBD" w:rsidRPr="00D40304" w:rsidRDefault="00102FBD" w:rsidP="009B04A7">
      <w:pPr>
        <w:pStyle w:val="Sinespaciado"/>
        <w:spacing w:line="276" w:lineRule="auto"/>
        <w:jc w:val="both"/>
        <w:rPr>
          <w:rFonts w:ascii="Century Gothic" w:eastAsia="Arial Unicode MS" w:hAnsi="Century Gothic" w:cs="Arial"/>
          <w:sz w:val="24"/>
          <w:szCs w:val="24"/>
        </w:rPr>
      </w:pPr>
    </w:p>
    <w:p w14:paraId="16EC4461" w14:textId="77777777" w:rsidR="00FE1529" w:rsidRPr="00D40304" w:rsidRDefault="00FE1529" w:rsidP="009B04A7">
      <w:pPr>
        <w:pStyle w:val="Sinespaciado"/>
        <w:spacing w:line="276" w:lineRule="auto"/>
        <w:ind w:firstLine="708"/>
        <w:jc w:val="both"/>
        <w:rPr>
          <w:rFonts w:ascii="Century Gothic" w:eastAsia="Arial Unicode MS" w:hAnsi="Century Gothic" w:cs="Arial"/>
          <w:sz w:val="24"/>
          <w:szCs w:val="24"/>
        </w:rPr>
      </w:pPr>
    </w:p>
    <w:tbl>
      <w:tblPr>
        <w:tblW w:w="0" w:type="auto"/>
        <w:tblLook w:val="04A0" w:firstRow="1" w:lastRow="0" w:firstColumn="1" w:lastColumn="0" w:noHBand="0" w:noVBand="1"/>
      </w:tblPr>
      <w:tblGrid>
        <w:gridCol w:w="4411"/>
        <w:gridCol w:w="4427"/>
      </w:tblGrid>
      <w:tr w:rsidR="00102FBD" w:rsidRPr="00D40304" w14:paraId="79583E5F" w14:textId="77777777" w:rsidTr="00C87A27">
        <w:tc>
          <w:tcPr>
            <w:tcW w:w="8838" w:type="dxa"/>
            <w:gridSpan w:val="2"/>
          </w:tcPr>
          <w:p w14:paraId="5727B525" w14:textId="77777777" w:rsidR="00102FBD" w:rsidRPr="00D40304" w:rsidRDefault="00102FBD" w:rsidP="009B04A7">
            <w:pPr>
              <w:pStyle w:val="Sinespaciado"/>
              <w:spacing w:line="276" w:lineRule="auto"/>
              <w:jc w:val="center"/>
              <w:rPr>
                <w:rFonts w:ascii="Century Gothic" w:eastAsia="Arial Unicode MS" w:hAnsi="Century Gothic" w:cs="Arial"/>
                <w:b/>
                <w:sz w:val="24"/>
                <w:szCs w:val="24"/>
              </w:rPr>
            </w:pPr>
            <w:r w:rsidRPr="00D40304">
              <w:rPr>
                <w:rFonts w:ascii="Century Gothic" w:eastAsia="Arial Unicode MS" w:hAnsi="Century Gothic" w:cs="Arial"/>
                <w:b/>
                <w:sz w:val="24"/>
                <w:szCs w:val="24"/>
              </w:rPr>
              <w:t>Dip. Miguel Ángel Salim Alle</w:t>
            </w:r>
          </w:p>
          <w:p w14:paraId="42433963" w14:textId="77777777" w:rsidR="00102FBD" w:rsidRPr="00D40304" w:rsidRDefault="00102FBD" w:rsidP="009B04A7">
            <w:pPr>
              <w:pStyle w:val="Sinespaciado"/>
              <w:spacing w:line="276" w:lineRule="auto"/>
              <w:jc w:val="center"/>
              <w:rPr>
                <w:rFonts w:ascii="Century Gothic" w:eastAsia="Arial Unicode MS" w:hAnsi="Century Gothic" w:cs="Arial"/>
                <w:b/>
                <w:sz w:val="24"/>
                <w:szCs w:val="24"/>
              </w:rPr>
            </w:pPr>
            <w:r w:rsidRPr="00D40304">
              <w:rPr>
                <w:rFonts w:ascii="Century Gothic" w:eastAsia="Arial Unicode MS" w:hAnsi="Century Gothic" w:cs="Arial"/>
                <w:b/>
                <w:sz w:val="24"/>
                <w:szCs w:val="24"/>
              </w:rPr>
              <w:t>Presidente</w:t>
            </w:r>
          </w:p>
          <w:p w14:paraId="295D3F75" w14:textId="4BB6E385" w:rsidR="00BA2143" w:rsidRPr="00D40304" w:rsidRDefault="00BA2143" w:rsidP="009B04A7">
            <w:pPr>
              <w:pStyle w:val="Sinespaciado"/>
              <w:spacing w:line="276" w:lineRule="auto"/>
              <w:ind w:firstLine="708"/>
              <w:jc w:val="center"/>
              <w:rPr>
                <w:rFonts w:ascii="Century Gothic" w:eastAsia="Arial Unicode MS" w:hAnsi="Century Gothic" w:cs="Arial"/>
                <w:b/>
                <w:sz w:val="24"/>
                <w:szCs w:val="24"/>
              </w:rPr>
            </w:pPr>
          </w:p>
        </w:tc>
      </w:tr>
      <w:tr w:rsidR="00102FBD" w:rsidRPr="00D40304" w14:paraId="5A9FD428" w14:textId="77777777" w:rsidTr="00C87A27">
        <w:tc>
          <w:tcPr>
            <w:tcW w:w="4411" w:type="dxa"/>
          </w:tcPr>
          <w:p w14:paraId="2C687F36" w14:textId="457BC0D4" w:rsidR="00102FBD" w:rsidRPr="00D40304" w:rsidRDefault="00102FBD" w:rsidP="009B04A7">
            <w:pPr>
              <w:pStyle w:val="Sinespaciado"/>
              <w:spacing w:line="276" w:lineRule="auto"/>
              <w:rPr>
                <w:rFonts w:ascii="Century Gothic" w:eastAsia="Arial Unicode MS" w:hAnsi="Century Gothic" w:cs="Arial"/>
                <w:b/>
                <w:sz w:val="24"/>
                <w:szCs w:val="24"/>
              </w:rPr>
            </w:pPr>
          </w:p>
          <w:p w14:paraId="37A14C80" w14:textId="77777777" w:rsidR="00FD1C6B" w:rsidRPr="00D40304" w:rsidRDefault="00FD1C6B" w:rsidP="009B04A7">
            <w:pPr>
              <w:pStyle w:val="Sinespaciado"/>
              <w:spacing w:line="276" w:lineRule="auto"/>
              <w:jc w:val="center"/>
              <w:rPr>
                <w:rFonts w:ascii="Century Gothic" w:eastAsia="Arial Unicode MS" w:hAnsi="Century Gothic" w:cs="Arial"/>
                <w:b/>
                <w:sz w:val="24"/>
                <w:szCs w:val="24"/>
              </w:rPr>
            </w:pPr>
          </w:p>
          <w:p w14:paraId="3FE51355" w14:textId="211622BE" w:rsidR="00102FBD" w:rsidRPr="00D40304" w:rsidRDefault="00102FBD" w:rsidP="009B04A7">
            <w:pPr>
              <w:pStyle w:val="Sinespaciado"/>
              <w:spacing w:line="276" w:lineRule="auto"/>
              <w:ind w:hanging="9"/>
              <w:jc w:val="center"/>
              <w:rPr>
                <w:rFonts w:ascii="Century Gothic" w:eastAsia="Arial Unicode MS" w:hAnsi="Century Gothic" w:cs="Arial"/>
                <w:b/>
                <w:sz w:val="24"/>
                <w:szCs w:val="24"/>
              </w:rPr>
            </w:pPr>
            <w:r w:rsidRPr="00D40304">
              <w:rPr>
                <w:rFonts w:ascii="Century Gothic" w:eastAsia="Arial Unicode MS" w:hAnsi="Century Gothic" w:cs="Arial"/>
                <w:b/>
                <w:sz w:val="24"/>
                <w:szCs w:val="24"/>
              </w:rPr>
              <w:t xml:space="preserve">Dip. </w:t>
            </w:r>
            <w:r w:rsidR="00326808" w:rsidRPr="00D40304">
              <w:rPr>
                <w:rFonts w:ascii="Century Gothic" w:eastAsia="Arial Unicode MS" w:hAnsi="Century Gothic" w:cs="Arial"/>
                <w:b/>
                <w:sz w:val="24"/>
                <w:szCs w:val="24"/>
              </w:rPr>
              <w:t>Alejandro Arias Ávila</w:t>
            </w:r>
          </w:p>
          <w:p w14:paraId="44838115" w14:textId="77777777" w:rsidR="00586F6C" w:rsidRPr="00D40304" w:rsidRDefault="00102FBD" w:rsidP="009B04A7">
            <w:pPr>
              <w:pStyle w:val="Sinespaciado"/>
              <w:spacing w:line="276" w:lineRule="auto"/>
              <w:jc w:val="center"/>
              <w:rPr>
                <w:rFonts w:ascii="Century Gothic" w:eastAsia="Arial Unicode MS" w:hAnsi="Century Gothic" w:cs="Arial"/>
                <w:b/>
                <w:sz w:val="24"/>
                <w:szCs w:val="24"/>
              </w:rPr>
            </w:pPr>
            <w:r w:rsidRPr="00D40304">
              <w:rPr>
                <w:rFonts w:ascii="Century Gothic" w:eastAsia="Arial Unicode MS" w:hAnsi="Century Gothic" w:cs="Arial"/>
                <w:b/>
                <w:sz w:val="24"/>
                <w:szCs w:val="24"/>
              </w:rPr>
              <w:t>Secretario</w:t>
            </w:r>
          </w:p>
          <w:p w14:paraId="6F236653" w14:textId="77777777" w:rsidR="00586F6C" w:rsidRPr="00D40304" w:rsidRDefault="00586F6C" w:rsidP="009B04A7">
            <w:pPr>
              <w:pStyle w:val="Sinespaciado"/>
              <w:spacing w:line="276" w:lineRule="auto"/>
              <w:jc w:val="center"/>
              <w:rPr>
                <w:rFonts w:ascii="Century Gothic" w:eastAsia="Arial Unicode MS" w:hAnsi="Century Gothic" w:cs="Arial"/>
                <w:b/>
                <w:sz w:val="24"/>
                <w:szCs w:val="24"/>
              </w:rPr>
            </w:pPr>
          </w:p>
          <w:p w14:paraId="3DEBD1B3" w14:textId="77777777" w:rsidR="00BA2143" w:rsidRPr="00D40304" w:rsidRDefault="00BA2143" w:rsidP="009B04A7">
            <w:pPr>
              <w:pStyle w:val="Sinespaciado"/>
              <w:spacing w:line="276" w:lineRule="auto"/>
              <w:rPr>
                <w:rFonts w:ascii="Century Gothic" w:eastAsia="Arial Unicode MS" w:hAnsi="Century Gothic" w:cs="Arial"/>
                <w:b/>
                <w:sz w:val="24"/>
                <w:szCs w:val="24"/>
              </w:rPr>
            </w:pPr>
          </w:p>
          <w:p w14:paraId="02870251" w14:textId="77777777" w:rsidR="00102FBD" w:rsidRPr="00D40304" w:rsidRDefault="00102FBD" w:rsidP="009B04A7">
            <w:pPr>
              <w:pStyle w:val="Sinespaciado"/>
              <w:spacing w:line="276" w:lineRule="auto"/>
              <w:jc w:val="center"/>
              <w:rPr>
                <w:rFonts w:ascii="Century Gothic" w:eastAsia="Arial Unicode MS" w:hAnsi="Century Gothic" w:cs="Arial"/>
                <w:b/>
                <w:sz w:val="24"/>
                <w:szCs w:val="24"/>
              </w:rPr>
            </w:pPr>
          </w:p>
          <w:p w14:paraId="07279B98" w14:textId="77777777" w:rsidR="00586F6C" w:rsidRPr="00D40304" w:rsidRDefault="00586F6C" w:rsidP="009B04A7">
            <w:pPr>
              <w:pStyle w:val="Sinespaciado"/>
              <w:spacing w:line="276" w:lineRule="auto"/>
              <w:jc w:val="center"/>
              <w:rPr>
                <w:rFonts w:ascii="Century Gothic" w:eastAsia="Arial Unicode MS" w:hAnsi="Century Gothic" w:cs="Arial"/>
                <w:b/>
                <w:sz w:val="24"/>
                <w:szCs w:val="24"/>
              </w:rPr>
            </w:pPr>
            <w:r w:rsidRPr="00D40304">
              <w:rPr>
                <w:rFonts w:ascii="Century Gothic" w:eastAsia="Arial Unicode MS" w:hAnsi="Century Gothic" w:cs="Arial"/>
                <w:b/>
                <w:sz w:val="24"/>
                <w:szCs w:val="24"/>
              </w:rPr>
              <w:t>Dip. Vícto</w:t>
            </w:r>
            <w:r w:rsidR="0090131E" w:rsidRPr="00D40304">
              <w:rPr>
                <w:rFonts w:ascii="Century Gothic" w:eastAsia="Arial Unicode MS" w:hAnsi="Century Gothic" w:cs="Arial"/>
                <w:b/>
                <w:sz w:val="24"/>
                <w:szCs w:val="24"/>
              </w:rPr>
              <w:t>r Manuel Zanella Huerta</w:t>
            </w:r>
          </w:p>
          <w:p w14:paraId="36F6C961" w14:textId="31D492D7" w:rsidR="0090131E" w:rsidRPr="00D40304" w:rsidRDefault="0090131E" w:rsidP="009B04A7">
            <w:pPr>
              <w:pStyle w:val="Sinespaciado"/>
              <w:spacing w:line="276" w:lineRule="auto"/>
              <w:jc w:val="center"/>
              <w:rPr>
                <w:rFonts w:ascii="Century Gothic" w:eastAsia="Arial Unicode MS" w:hAnsi="Century Gothic" w:cs="Arial"/>
                <w:b/>
                <w:sz w:val="24"/>
                <w:szCs w:val="24"/>
              </w:rPr>
            </w:pPr>
            <w:r w:rsidRPr="00D40304">
              <w:rPr>
                <w:rFonts w:ascii="Century Gothic" w:eastAsia="Arial Unicode MS" w:hAnsi="Century Gothic" w:cs="Arial"/>
                <w:b/>
                <w:sz w:val="24"/>
                <w:szCs w:val="24"/>
              </w:rPr>
              <w:t>Vocal</w:t>
            </w:r>
          </w:p>
        </w:tc>
        <w:tc>
          <w:tcPr>
            <w:tcW w:w="4427" w:type="dxa"/>
          </w:tcPr>
          <w:p w14:paraId="534876AE" w14:textId="420088EA" w:rsidR="00102FBD" w:rsidRPr="00D40304" w:rsidRDefault="00102FBD" w:rsidP="009B04A7">
            <w:pPr>
              <w:pStyle w:val="Sinespaciado"/>
              <w:spacing w:line="276" w:lineRule="auto"/>
              <w:rPr>
                <w:rFonts w:ascii="Century Gothic" w:eastAsia="Arial Unicode MS" w:hAnsi="Century Gothic" w:cs="Arial"/>
                <w:b/>
                <w:sz w:val="24"/>
                <w:szCs w:val="24"/>
              </w:rPr>
            </w:pPr>
          </w:p>
          <w:p w14:paraId="29915E9D" w14:textId="77777777" w:rsidR="00FD1C6B" w:rsidRPr="00D40304" w:rsidRDefault="00FD1C6B" w:rsidP="009B04A7">
            <w:pPr>
              <w:pStyle w:val="Sinespaciado"/>
              <w:spacing w:line="276" w:lineRule="auto"/>
              <w:ind w:firstLine="708"/>
              <w:jc w:val="center"/>
              <w:rPr>
                <w:rFonts w:ascii="Century Gothic" w:eastAsia="Arial Unicode MS" w:hAnsi="Century Gothic" w:cs="Arial"/>
                <w:b/>
                <w:sz w:val="24"/>
                <w:szCs w:val="24"/>
              </w:rPr>
            </w:pPr>
          </w:p>
          <w:p w14:paraId="5C09FA69" w14:textId="77777777" w:rsidR="00102FBD" w:rsidRPr="00D40304" w:rsidRDefault="00102FBD" w:rsidP="009B04A7">
            <w:pPr>
              <w:pStyle w:val="Sinespaciado"/>
              <w:spacing w:line="276" w:lineRule="auto"/>
              <w:ind w:hanging="9"/>
              <w:jc w:val="center"/>
              <w:rPr>
                <w:rFonts w:ascii="Century Gothic" w:eastAsia="Arial Unicode MS" w:hAnsi="Century Gothic" w:cs="Arial"/>
                <w:b/>
                <w:sz w:val="24"/>
                <w:szCs w:val="24"/>
              </w:rPr>
            </w:pPr>
            <w:r w:rsidRPr="00D40304">
              <w:rPr>
                <w:rFonts w:ascii="Century Gothic" w:eastAsia="Arial Unicode MS" w:hAnsi="Century Gothic" w:cs="Arial"/>
                <w:b/>
                <w:sz w:val="24"/>
                <w:szCs w:val="24"/>
              </w:rPr>
              <w:t xml:space="preserve">Dip. </w:t>
            </w:r>
            <w:r w:rsidR="00326808" w:rsidRPr="00D40304">
              <w:rPr>
                <w:rFonts w:ascii="Century Gothic" w:eastAsia="Arial Unicode MS" w:hAnsi="Century Gothic" w:cs="Arial"/>
                <w:b/>
                <w:sz w:val="24"/>
                <w:szCs w:val="24"/>
              </w:rPr>
              <w:t xml:space="preserve">Janet Melanie </w:t>
            </w:r>
            <w:r w:rsidR="00586F6C" w:rsidRPr="00D40304">
              <w:rPr>
                <w:rFonts w:ascii="Century Gothic" w:eastAsia="Arial Unicode MS" w:hAnsi="Century Gothic" w:cs="Arial"/>
                <w:b/>
                <w:sz w:val="24"/>
                <w:szCs w:val="24"/>
              </w:rPr>
              <w:t xml:space="preserve">Murillo Chávez </w:t>
            </w:r>
            <w:r w:rsidRPr="00D40304">
              <w:rPr>
                <w:rFonts w:ascii="Century Gothic" w:eastAsia="Arial Unicode MS" w:hAnsi="Century Gothic" w:cs="Arial"/>
                <w:b/>
                <w:sz w:val="24"/>
                <w:szCs w:val="24"/>
              </w:rPr>
              <w:t>Vocal</w:t>
            </w:r>
          </w:p>
          <w:p w14:paraId="59EC0249" w14:textId="1AD897C5" w:rsidR="0090131E" w:rsidRPr="00D40304" w:rsidRDefault="0090131E" w:rsidP="009B04A7">
            <w:pPr>
              <w:pStyle w:val="Sinespaciado"/>
              <w:spacing w:line="276" w:lineRule="auto"/>
              <w:ind w:hanging="9"/>
              <w:jc w:val="center"/>
              <w:rPr>
                <w:rFonts w:ascii="Century Gothic" w:eastAsia="Arial Unicode MS" w:hAnsi="Century Gothic" w:cs="Arial"/>
                <w:b/>
                <w:sz w:val="24"/>
                <w:szCs w:val="24"/>
              </w:rPr>
            </w:pPr>
          </w:p>
          <w:p w14:paraId="02432EF2" w14:textId="77777777" w:rsidR="00BA2143" w:rsidRPr="00D40304" w:rsidRDefault="00BA2143" w:rsidP="009B04A7">
            <w:pPr>
              <w:pStyle w:val="Sinespaciado"/>
              <w:spacing w:line="276" w:lineRule="auto"/>
              <w:ind w:hanging="9"/>
              <w:jc w:val="center"/>
              <w:rPr>
                <w:rFonts w:ascii="Century Gothic" w:eastAsia="Arial Unicode MS" w:hAnsi="Century Gothic" w:cs="Arial"/>
                <w:b/>
                <w:sz w:val="24"/>
                <w:szCs w:val="24"/>
              </w:rPr>
            </w:pPr>
          </w:p>
          <w:p w14:paraId="55F51ACC" w14:textId="77777777" w:rsidR="0090131E" w:rsidRPr="00D40304" w:rsidRDefault="0090131E" w:rsidP="009B04A7">
            <w:pPr>
              <w:pStyle w:val="Sinespaciado"/>
              <w:spacing w:line="276" w:lineRule="auto"/>
              <w:rPr>
                <w:rFonts w:ascii="Century Gothic" w:eastAsia="Arial Unicode MS" w:hAnsi="Century Gothic" w:cs="Arial"/>
                <w:b/>
                <w:sz w:val="24"/>
                <w:szCs w:val="24"/>
              </w:rPr>
            </w:pPr>
          </w:p>
          <w:p w14:paraId="6D223891" w14:textId="77777777" w:rsidR="0090131E" w:rsidRPr="00D40304" w:rsidRDefault="0090131E" w:rsidP="009B04A7">
            <w:pPr>
              <w:pStyle w:val="Sinespaciado"/>
              <w:spacing w:line="276" w:lineRule="auto"/>
              <w:rPr>
                <w:rFonts w:ascii="Century Gothic" w:eastAsia="Arial Unicode MS" w:hAnsi="Century Gothic" w:cs="Arial"/>
                <w:b/>
                <w:sz w:val="24"/>
                <w:szCs w:val="24"/>
              </w:rPr>
            </w:pPr>
            <w:r w:rsidRPr="00D40304">
              <w:rPr>
                <w:rFonts w:ascii="Century Gothic" w:eastAsia="Arial Unicode MS" w:hAnsi="Century Gothic" w:cs="Arial"/>
                <w:b/>
                <w:sz w:val="24"/>
                <w:szCs w:val="24"/>
              </w:rPr>
              <w:t xml:space="preserve">Dip. Martha Edith Moreno </w:t>
            </w:r>
            <w:r w:rsidR="00BA2143" w:rsidRPr="00D40304">
              <w:rPr>
                <w:rFonts w:ascii="Century Gothic" w:eastAsia="Arial Unicode MS" w:hAnsi="Century Gothic" w:cs="Arial"/>
                <w:b/>
                <w:sz w:val="24"/>
                <w:szCs w:val="24"/>
              </w:rPr>
              <w:t>Valencia</w:t>
            </w:r>
          </w:p>
          <w:p w14:paraId="3062D55B" w14:textId="5BFA27BD" w:rsidR="00BA2143" w:rsidRPr="00D40304" w:rsidRDefault="00BA2143" w:rsidP="009B04A7">
            <w:pPr>
              <w:pStyle w:val="Sinespaciado"/>
              <w:spacing w:line="276" w:lineRule="auto"/>
              <w:jc w:val="center"/>
              <w:rPr>
                <w:rFonts w:ascii="Century Gothic" w:eastAsia="Arial Unicode MS" w:hAnsi="Century Gothic" w:cs="Arial"/>
                <w:b/>
                <w:sz w:val="24"/>
                <w:szCs w:val="24"/>
              </w:rPr>
            </w:pPr>
            <w:r w:rsidRPr="00D40304">
              <w:rPr>
                <w:rFonts w:ascii="Century Gothic" w:eastAsia="Arial Unicode MS" w:hAnsi="Century Gothic" w:cs="Arial"/>
                <w:b/>
                <w:sz w:val="24"/>
                <w:szCs w:val="24"/>
              </w:rPr>
              <w:t>Voca</w:t>
            </w:r>
            <w:r w:rsidR="00480BD8" w:rsidRPr="00D40304">
              <w:rPr>
                <w:rFonts w:ascii="Century Gothic" w:eastAsia="Arial Unicode MS" w:hAnsi="Century Gothic" w:cs="Arial"/>
                <w:b/>
                <w:sz w:val="24"/>
                <w:szCs w:val="24"/>
              </w:rPr>
              <w:t>l</w:t>
            </w:r>
          </w:p>
        </w:tc>
      </w:tr>
    </w:tbl>
    <w:p w14:paraId="4A15375A" w14:textId="28D129CF" w:rsidR="001764D8" w:rsidRPr="00D40304" w:rsidRDefault="001764D8" w:rsidP="009B04A7">
      <w:pPr>
        <w:spacing w:line="276" w:lineRule="auto"/>
        <w:jc w:val="both"/>
        <w:rPr>
          <w:rFonts w:ascii="Century Gothic" w:hAnsi="Century Gothic" w:cs="Arial"/>
          <w:b/>
          <w:bCs/>
        </w:rPr>
      </w:pPr>
    </w:p>
    <w:sectPr w:rsidR="001764D8" w:rsidRPr="00D40304" w:rsidSect="00B84C8E">
      <w:headerReference w:type="default" r:id="rId20"/>
      <w:footerReference w:type="default" r:id="rId21"/>
      <w:pgSz w:w="12240" w:h="15840"/>
      <w:pgMar w:top="3261" w:right="1701" w:bottom="1702" w:left="1701" w:header="52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4B564" w14:textId="77777777" w:rsidR="002B712D" w:rsidRDefault="002B712D" w:rsidP="008157F5">
      <w:r>
        <w:separator/>
      </w:r>
    </w:p>
  </w:endnote>
  <w:endnote w:type="continuationSeparator" w:id="0">
    <w:p w14:paraId="40E212BE" w14:textId="77777777" w:rsidR="002B712D" w:rsidRDefault="002B712D" w:rsidP="00815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Arial"/>
    <w:charset w:val="00"/>
    <w:family w:val="auto"/>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7212282"/>
      <w:docPartObj>
        <w:docPartGallery w:val="Page Numbers (Bottom of Page)"/>
        <w:docPartUnique/>
      </w:docPartObj>
    </w:sdtPr>
    <w:sdtEndPr>
      <w:rPr>
        <w:sz w:val="20"/>
        <w:szCs w:val="20"/>
      </w:rPr>
    </w:sdtEndPr>
    <w:sdtContent>
      <w:p w14:paraId="12D76D3B" w14:textId="4F8982E4" w:rsidR="002707EE" w:rsidRPr="002707EE" w:rsidRDefault="002707EE">
        <w:pPr>
          <w:pStyle w:val="Piedepgina"/>
          <w:jc w:val="right"/>
          <w:rPr>
            <w:sz w:val="20"/>
            <w:szCs w:val="20"/>
          </w:rPr>
        </w:pPr>
        <w:r w:rsidRPr="002707EE">
          <w:rPr>
            <w:sz w:val="22"/>
            <w:szCs w:val="22"/>
          </w:rPr>
          <w:fldChar w:fldCharType="begin"/>
        </w:r>
        <w:r w:rsidRPr="002707EE">
          <w:rPr>
            <w:sz w:val="22"/>
            <w:szCs w:val="22"/>
          </w:rPr>
          <w:instrText>PAGE   \* MERGEFORMAT</w:instrText>
        </w:r>
        <w:r w:rsidRPr="002707EE">
          <w:rPr>
            <w:sz w:val="22"/>
            <w:szCs w:val="22"/>
          </w:rPr>
          <w:fldChar w:fldCharType="separate"/>
        </w:r>
        <w:r w:rsidRPr="002707EE">
          <w:rPr>
            <w:sz w:val="22"/>
            <w:szCs w:val="22"/>
            <w:lang w:val="es-ES"/>
          </w:rPr>
          <w:t>2</w:t>
        </w:r>
        <w:r w:rsidRPr="002707EE">
          <w:rPr>
            <w:sz w:val="22"/>
            <w:szCs w:val="22"/>
          </w:rPr>
          <w:fldChar w:fldCharType="end"/>
        </w:r>
      </w:p>
    </w:sdtContent>
  </w:sdt>
  <w:p w14:paraId="7923F1EA" w14:textId="77777777" w:rsidR="00525D9E" w:rsidRPr="002707EE" w:rsidRDefault="00525D9E">
    <w:pPr>
      <w:pStyle w:val="Piedepgin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7FC8" w14:textId="77777777" w:rsidR="002B712D" w:rsidRDefault="002B712D" w:rsidP="008157F5">
      <w:r>
        <w:separator/>
      </w:r>
    </w:p>
  </w:footnote>
  <w:footnote w:type="continuationSeparator" w:id="0">
    <w:p w14:paraId="71A1B572" w14:textId="77777777" w:rsidR="002B712D" w:rsidRDefault="002B712D" w:rsidP="008157F5">
      <w:r>
        <w:continuationSeparator/>
      </w:r>
    </w:p>
  </w:footnote>
  <w:footnote w:id="1">
    <w:p w14:paraId="4BCB6E80" w14:textId="77777777" w:rsidR="00E04C6E" w:rsidRDefault="00E04C6E" w:rsidP="00E04C6E">
      <w:pPr>
        <w:pStyle w:val="Textonotapie"/>
      </w:pPr>
      <w:r>
        <w:rPr>
          <w:rStyle w:val="Refdenotaalpie"/>
        </w:rPr>
        <w:footnoteRef/>
      </w:r>
      <w:r>
        <w:t xml:space="preserve"> </w:t>
      </w:r>
      <w:r w:rsidRPr="00E3254D">
        <w:t xml:space="preserve">Estudio derechos humanos y pobreza, Políticas públicas frente a la pobreza con la perspectiva de derechos del artículo 1º constitucional, pp. 5-6. Consultable en: </w:t>
      </w:r>
      <w:hyperlink r:id="rId1" w:history="1">
        <w:r w:rsidRPr="002556CD">
          <w:rPr>
            <w:rStyle w:val="Hipervnculo"/>
          </w:rPr>
          <w:t>https://www.cndh.org.mx/sites/default/files/doc/Informes/Especiales/Pobreza_DH_SE_082018.pdf</w:t>
        </w:r>
      </w:hyperlink>
      <w:r w:rsidRPr="00E3254D">
        <w:t>.</w:t>
      </w:r>
    </w:p>
    <w:p w14:paraId="565B109F" w14:textId="77777777" w:rsidR="00E04C6E" w:rsidRDefault="00E04C6E" w:rsidP="00E04C6E">
      <w:pPr>
        <w:pStyle w:val="Textonotapie"/>
      </w:pPr>
    </w:p>
  </w:footnote>
  <w:footnote w:id="2">
    <w:p w14:paraId="0862CE63" w14:textId="77777777" w:rsidR="0061548C" w:rsidRPr="009F060B" w:rsidRDefault="0061548C" w:rsidP="0061548C">
      <w:pPr>
        <w:autoSpaceDE w:val="0"/>
        <w:autoSpaceDN w:val="0"/>
        <w:adjustRightInd w:val="0"/>
        <w:jc w:val="both"/>
        <w:rPr>
          <w:rFonts w:ascii="Arial" w:hAnsi="Arial" w:cs="Arial"/>
          <w:sz w:val="16"/>
          <w:szCs w:val="16"/>
        </w:rPr>
      </w:pPr>
      <w:r w:rsidRPr="009F060B">
        <w:rPr>
          <w:rStyle w:val="Refdenotaalpie"/>
          <w:rFonts w:ascii="Arial" w:hAnsi="Arial" w:cs="Arial"/>
          <w:sz w:val="16"/>
          <w:szCs w:val="16"/>
        </w:rPr>
        <w:footnoteRef/>
      </w:r>
      <w:r w:rsidRPr="009F060B">
        <w:rPr>
          <w:rFonts w:ascii="Arial" w:hAnsi="Arial" w:cs="Arial"/>
          <w:sz w:val="16"/>
          <w:szCs w:val="16"/>
        </w:rPr>
        <w:t xml:space="preserve"> Suprema Corte de Justicia de la Nación. Época: Décima Época. Registro: 2002583. Instancia: Segunda Sala. Tipo de Tesis:</w:t>
      </w:r>
    </w:p>
    <w:p w14:paraId="19B8E53E" w14:textId="17E0BDB4" w:rsidR="0061548C" w:rsidRDefault="0061548C" w:rsidP="009F060B">
      <w:pPr>
        <w:autoSpaceDE w:val="0"/>
        <w:autoSpaceDN w:val="0"/>
        <w:adjustRightInd w:val="0"/>
        <w:jc w:val="both"/>
        <w:rPr>
          <w:rFonts w:ascii="Arial" w:hAnsi="Arial" w:cs="Arial"/>
          <w:sz w:val="16"/>
          <w:szCs w:val="16"/>
        </w:rPr>
      </w:pPr>
      <w:r w:rsidRPr="009F060B">
        <w:rPr>
          <w:rFonts w:ascii="Arial" w:hAnsi="Arial" w:cs="Arial"/>
          <w:sz w:val="16"/>
          <w:szCs w:val="16"/>
        </w:rPr>
        <w:t>Jurisprudencia. Fuente: Semanario Judicial de la Federación y su Gaceta. Libro XVI, enero de 2013, Tomo 2. Materia(s): Constitucional,</w:t>
      </w:r>
      <w:r w:rsidR="009F060B">
        <w:rPr>
          <w:rFonts w:ascii="Arial" w:hAnsi="Arial" w:cs="Arial"/>
          <w:sz w:val="16"/>
          <w:szCs w:val="16"/>
        </w:rPr>
        <w:t xml:space="preserve"> </w:t>
      </w:r>
      <w:r w:rsidRPr="009F060B">
        <w:rPr>
          <w:rFonts w:ascii="Arial" w:hAnsi="Arial" w:cs="Arial"/>
          <w:sz w:val="16"/>
          <w:szCs w:val="16"/>
        </w:rPr>
        <w:t>Administrativa. Tesis: 2a./J. 179/2012 (10a.). Página: 731.</w:t>
      </w:r>
    </w:p>
    <w:p w14:paraId="23DA57BE" w14:textId="77777777" w:rsidR="000862CD" w:rsidRPr="009F060B" w:rsidRDefault="000862CD" w:rsidP="009F060B">
      <w:pPr>
        <w:autoSpaceDE w:val="0"/>
        <w:autoSpaceDN w:val="0"/>
        <w:adjustRightInd w:val="0"/>
        <w:jc w:val="both"/>
        <w:rPr>
          <w:rFonts w:ascii="Arial" w:hAnsi="Arial" w:cs="Arial"/>
          <w:sz w:val="16"/>
          <w:szCs w:val="16"/>
        </w:rPr>
      </w:pPr>
    </w:p>
  </w:footnote>
  <w:footnote w:id="3">
    <w:p w14:paraId="78A0A3A8" w14:textId="6EFAA470" w:rsidR="00AD3084" w:rsidRPr="009F060B" w:rsidRDefault="00AD3084" w:rsidP="009F060B">
      <w:pPr>
        <w:autoSpaceDE w:val="0"/>
        <w:autoSpaceDN w:val="0"/>
        <w:adjustRightInd w:val="0"/>
        <w:rPr>
          <w:rFonts w:ascii="Arial" w:hAnsi="Arial" w:cs="Arial"/>
          <w:sz w:val="16"/>
          <w:szCs w:val="16"/>
        </w:rPr>
      </w:pPr>
      <w:r w:rsidRPr="009F060B">
        <w:rPr>
          <w:rStyle w:val="Refdenotaalpie"/>
          <w:rFonts w:ascii="Arial" w:hAnsi="Arial" w:cs="Arial"/>
          <w:sz w:val="16"/>
          <w:szCs w:val="16"/>
        </w:rPr>
        <w:footnoteRef/>
      </w:r>
      <w:r w:rsidRPr="009F060B">
        <w:rPr>
          <w:rFonts w:ascii="Arial" w:hAnsi="Arial" w:cs="Arial"/>
          <w:sz w:val="16"/>
          <w:szCs w:val="16"/>
        </w:rPr>
        <w:t xml:space="preserve"> </w:t>
      </w:r>
      <w:r w:rsidR="009F060B" w:rsidRPr="009F060B">
        <w:rPr>
          <w:rFonts w:ascii="Arial" w:hAnsi="Arial" w:cs="Arial"/>
          <w:sz w:val="16"/>
          <w:szCs w:val="16"/>
        </w:rPr>
        <w:t>Suprema Corte de Justicia de la Nación. Época: Décima Época. Registro: 2002582. Instancia: Segunda Sala. Tipo de Tesis:</w:t>
      </w:r>
      <w:r w:rsidR="009F060B">
        <w:rPr>
          <w:rFonts w:ascii="Arial" w:hAnsi="Arial" w:cs="Arial"/>
          <w:sz w:val="16"/>
          <w:szCs w:val="16"/>
        </w:rPr>
        <w:t xml:space="preserve"> </w:t>
      </w:r>
      <w:r w:rsidR="009F060B" w:rsidRPr="009F060B">
        <w:rPr>
          <w:rFonts w:ascii="Arial" w:hAnsi="Arial" w:cs="Arial"/>
          <w:sz w:val="16"/>
          <w:szCs w:val="16"/>
        </w:rPr>
        <w:t>Jurisprudencia. Fuente: Semanario Judicial de la Federación y su Gaceta. Libro XVI, enero de 2013, Tomo 2. Materia(s): Constitucional,</w:t>
      </w:r>
      <w:r w:rsidR="009F060B">
        <w:rPr>
          <w:rFonts w:ascii="Arial" w:hAnsi="Arial" w:cs="Arial"/>
          <w:sz w:val="16"/>
          <w:szCs w:val="16"/>
        </w:rPr>
        <w:t xml:space="preserve"> </w:t>
      </w:r>
      <w:r w:rsidR="009F060B" w:rsidRPr="009F060B">
        <w:rPr>
          <w:rFonts w:ascii="Arial" w:hAnsi="Arial" w:cs="Arial"/>
          <w:sz w:val="16"/>
          <w:szCs w:val="16"/>
        </w:rPr>
        <w:t>Administrativa. Tesis: 2a./J. 178/2012 (10a.). Página: 729</w:t>
      </w:r>
    </w:p>
  </w:footnote>
  <w:footnote w:id="4">
    <w:p w14:paraId="7FF1502E" w14:textId="2EB5953B" w:rsidR="00440F41" w:rsidRPr="00440F41" w:rsidRDefault="00440F41" w:rsidP="00B84C8E">
      <w:pPr>
        <w:pStyle w:val="Prrafodelista"/>
        <w:ind w:left="0"/>
        <w:jc w:val="both"/>
      </w:pPr>
      <w:r w:rsidRPr="00440F41">
        <w:rPr>
          <w:rStyle w:val="Refdenotaalpie"/>
          <w:sz w:val="18"/>
          <w:szCs w:val="18"/>
        </w:rPr>
        <w:footnoteRef/>
      </w:r>
      <w:hyperlink r:id="rId2" w:history="1">
        <w:r w:rsidR="00B84C8E" w:rsidRPr="00E162A4">
          <w:rPr>
            <w:rStyle w:val="Hipervnculo"/>
          </w:rPr>
          <w:t>https://www.coneval.org.mx/InformesPublicaciones/Documents/Diagnostico_2021/Fichas_Diagnostico_2021.pdf</w:t>
        </w:r>
      </w:hyperlink>
    </w:p>
    <w:p w14:paraId="0076532D" w14:textId="679DE015" w:rsidR="00440F41" w:rsidRPr="00440F41" w:rsidRDefault="00440F41">
      <w:pPr>
        <w:pStyle w:val="Textonotapie"/>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26D0F" w14:textId="74E14F8C" w:rsidR="008157F5" w:rsidRDefault="00AC2EE3" w:rsidP="00AC2EE3">
    <w:pPr>
      <w:pStyle w:val="Encabezado"/>
    </w:pPr>
    <w:r>
      <w:rPr>
        <w:rFonts w:ascii="Times New Roman" w:eastAsiaTheme="minorEastAsia" w:hAnsi="Times New Roman" w:cs="Times New Roman"/>
        <w:noProof/>
      </w:rPr>
      <mc:AlternateContent>
        <mc:Choice Requires="wps">
          <w:drawing>
            <wp:anchor distT="45720" distB="45720" distL="114300" distR="114300" simplePos="0" relativeHeight="251659264" behindDoc="0" locked="0" layoutInCell="1" allowOverlap="1" wp14:anchorId="02B5B363" wp14:editId="6B3D5D9A">
              <wp:simplePos x="0" y="0"/>
              <wp:positionH relativeFrom="margin">
                <wp:posOffset>2348180</wp:posOffset>
              </wp:positionH>
              <wp:positionV relativeFrom="paragraph">
                <wp:posOffset>520269</wp:posOffset>
              </wp:positionV>
              <wp:extent cx="3223895" cy="357505"/>
              <wp:effectExtent l="0" t="0" r="0" b="4445"/>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3895" cy="357505"/>
                      </a:xfrm>
                      <a:prstGeom prst="rect">
                        <a:avLst/>
                      </a:prstGeom>
                      <a:solidFill>
                        <a:srgbClr val="FFFFFF"/>
                      </a:solidFill>
                      <a:ln w="9525">
                        <a:noFill/>
                        <a:miter lim="800000"/>
                        <a:headEnd/>
                        <a:tailEnd/>
                      </a:ln>
                    </wps:spPr>
                    <wps:txbx>
                      <w:txbxContent>
                        <w:p w14:paraId="0DA87391" w14:textId="77777777" w:rsidR="00AC2EE3" w:rsidRDefault="00AC2EE3" w:rsidP="00AC2EE3">
                          <w:pPr>
                            <w:jc w:val="center"/>
                            <w:rPr>
                              <w:b/>
                              <w:bCs/>
                              <w:i/>
                              <w:iCs/>
                              <w:sz w:val="14"/>
                              <w:szCs w:val="14"/>
                              <w:lang w:val="es-ES"/>
                            </w:rPr>
                          </w:pPr>
                          <w:r>
                            <w:rPr>
                              <w:b/>
                              <w:bCs/>
                              <w:i/>
                              <w:iCs/>
                              <w:sz w:val="14"/>
                              <w:szCs w:val="14"/>
                            </w:rPr>
                            <w:t>“2022 AÑO DEL FESTIVAL INTERNACIONAL CERVANTINO, 50 AÑOS DE DIÁLOGO CULTURAL”</w:t>
                          </w:r>
                        </w:p>
                        <w:p w14:paraId="12662D37" w14:textId="77777777" w:rsidR="00AC2EE3" w:rsidRDefault="00AC2EE3" w:rsidP="00AC2EE3">
                          <w:pPr>
                            <w:rPr>
                              <w:sz w:val="20"/>
                              <w:szCs w:val="22"/>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B5B363" id="_x0000_t202" coordsize="21600,21600" o:spt="202" path="m,l,21600r21600,l21600,xe">
              <v:stroke joinstyle="miter"/>
              <v:path gradientshapeok="t" o:connecttype="rect"/>
            </v:shapetype>
            <v:shape id="Cuadro de texto 1" o:spid="_x0000_s1026" type="#_x0000_t202" style="position:absolute;margin-left:184.9pt;margin-top:40.95pt;width:253.85pt;height:28.1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" stroked="f">
              <v:textbox>
                <w:txbxContent>
                  <w:p w14:paraId="0DA87391" w14:textId="77777777" w:rsidR="00AC2EE3" w:rsidRDefault="00AC2EE3" w:rsidP="00AC2EE3">
                    <w:pPr>
                      <w:jc w:val="center"/>
                      <w:rPr>
                        <w:b/>
                        <w:bCs/>
                        <w:i/>
                        <w:iCs/>
                        <w:sz w:val="14"/>
                        <w:szCs w:val="14"/>
                        <w:lang w:val="es-ES"/>
                      </w:rPr>
                    </w:pPr>
                    <w:r>
                      <w:rPr>
                        <w:b/>
                        <w:bCs/>
                        <w:i/>
                        <w:iCs/>
                        <w:sz w:val="14"/>
                        <w:szCs w:val="14"/>
                      </w:rPr>
                      <w:t>“2022 AÑO DEL FESTIVAL INTERNACIONAL CERVANTINO, 50 AÑOS DE DIÁLOGO CULTURAL”</w:t>
                    </w:r>
                  </w:p>
                  <w:p w14:paraId="12662D37" w14:textId="77777777" w:rsidR="00AC2EE3" w:rsidRDefault="00AC2EE3" w:rsidP="00AC2EE3">
                    <w:pPr>
                      <w:rPr>
                        <w:sz w:val="20"/>
                        <w:szCs w:val="22"/>
                      </w:rPr>
                    </w:pPr>
                  </w:p>
                </w:txbxContent>
              </v:textbox>
              <w10:wrap type="square" anchorx="margin"/>
            </v:shape>
          </w:pict>
        </mc:Fallback>
      </mc:AlternateContent>
    </w:r>
    <w:r w:rsidR="008157F5">
      <w:rPr>
        <w:noProof/>
      </w:rPr>
      <w:drawing>
        <wp:inline distT="0" distB="0" distL="0" distR="0" wp14:anchorId="0CC2D033" wp14:editId="28B9F39E">
          <wp:extent cx="1307432" cy="1265705"/>
          <wp:effectExtent l="0" t="0" r="127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a de Pantalla 2019-11-29 a la(s) 12.48.52 p. m..png"/>
                  <pic:cNvPicPr/>
                </pic:nvPicPr>
                <pic:blipFill>
                  <a:blip r:embed="rId1">
                    <a:extLst>
                      <a:ext uri="{28A0092B-C50C-407E-A947-70E740481C1C}">
                        <a14:useLocalDpi xmlns:a14="http://schemas.microsoft.com/office/drawing/2010/main" val="0"/>
                      </a:ext>
                    </a:extLst>
                  </a:blip>
                  <a:stretch>
                    <a:fillRect/>
                  </a:stretch>
                </pic:blipFill>
                <pic:spPr>
                  <a:xfrm>
                    <a:off x="0" y="0"/>
                    <a:ext cx="1325111" cy="1282820"/>
                  </a:xfrm>
                  <a:prstGeom prst="rect">
                    <a:avLst/>
                  </a:prstGeom>
                </pic:spPr>
              </pic:pic>
            </a:graphicData>
          </a:graphic>
        </wp:inline>
      </w:drawing>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75pt;height:.75pt;visibility:visible;mso-wrap-style:square" o:bullet="t">
        <v:imagedata r:id="rId1" o:title=""/>
      </v:shape>
    </w:pict>
  </w:numPicBullet>
  <w:abstractNum w:abstractNumId="0" w15:restartNumberingAfterBreak="0">
    <w:nsid w:val="023A0779"/>
    <w:multiLevelType w:val="multilevel"/>
    <w:tmpl w:val="D512AA5C"/>
    <w:styleLink w:val="Estilo18"/>
    <w:lvl w:ilvl="0">
      <w:start w:val="1"/>
      <w:numFmt w:val="upperRoman"/>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44A0D02"/>
    <w:multiLevelType w:val="hybridMultilevel"/>
    <w:tmpl w:val="6652C414"/>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 w15:restartNumberingAfterBreak="0">
    <w:nsid w:val="1FC8609E"/>
    <w:multiLevelType w:val="multilevel"/>
    <w:tmpl w:val="83DE82A4"/>
    <w:styleLink w:val="Estilo19"/>
    <w:lvl w:ilvl="0">
      <w:start w:val="1"/>
      <w:numFmt w:val="upperRoman"/>
      <w:lvlText w:val="%1."/>
      <w:lvlJc w:val="left"/>
      <w:pPr>
        <w:ind w:left="720"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20726D77"/>
    <w:multiLevelType w:val="multilevel"/>
    <w:tmpl w:val="6C9E72B8"/>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4" w15:restartNumberingAfterBreak="0">
    <w:nsid w:val="279C4515"/>
    <w:multiLevelType w:val="multilevel"/>
    <w:tmpl w:val="363E72CE"/>
    <w:lvl w:ilvl="0">
      <w:start w:val="1"/>
      <w:numFmt w:val="decimal"/>
      <w:lvlText w:val="%1."/>
      <w:lvlJc w:val="left"/>
      <w:pPr>
        <w:ind w:left="720" w:hanging="360"/>
      </w:pPr>
      <w:rPr>
        <w:rFonts w:hint="default"/>
        <w:b/>
        <w:bCs/>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283775F5"/>
    <w:multiLevelType w:val="multilevel"/>
    <w:tmpl w:val="83DE82A4"/>
    <w:numStyleLink w:val="Estilo19"/>
  </w:abstractNum>
  <w:abstractNum w:abstractNumId="6" w15:restartNumberingAfterBreak="0">
    <w:nsid w:val="33091456"/>
    <w:multiLevelType w:val="multilevel"/>
    <w:tmpl w:val="BBAEB0B8"/>
    <w:lvl w:ilvl="0">
      <w:start w:val="1"/>
      <w:numFmt w:val="decimal"/>
      <w:lvlText w:val="%1."/>
      <w:lvlJc w:val="left"/>
      <w:pPr>
        <w:ind w:left="1004"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919" w:hanging="1080"/>
      </w:pPr>
      <w:rPr>
        <w:rFonts w:hint="default"/>
      </w:rPr>
    </w:lvl>
    <w:lvl w:ilvl="4">
      <w:start w:val="1"/>
      <w:numFmt w:val="decimal"/>
      <w:isLgl/>
      <w:lvlText w:val="%1.%2.%3.%4.%5"/>
      <w:lvlJc w:val="left"/>
      <w:pPr>
        <w:ind w:left="1984" w:hanging="1080"/>
      </w:pPr>
      <w:rPr>
        <w:rFonts w:hint="default"/>
      </w:rPr>
    </w:lvl>
    <w:lvl w:ilvl="5">
      <w:start w:val="1"/>
      <w:numFmt w:val="decimal"/>
      <w:isLgl/>
      <w:lvlText w:val="%1.%2.%3.%4.%5.%6"/>
      <w:lvlJc w:val="left"/>
      <w:pPr>
        <w:ind w:left="2409" w:hanging="1440"/>
      </w:pPr>
      <w:rPr>
        <w:rFonts w:hint="default"/>
      </w:rPr>
    </w:lvl>
    <w:lvl w:ilvl="6">
      <w:start w:val="1"/>
      <w:numFmt w:val="decimal"/>
      <w:isLgl/>
      <w:lvlText w:val="%1.%2.%3.%4.%5.%6.%7"/>
      <w:lvlJc w:val="left"/>
      <w:pPr>
        <w:ind w:left="2474" w:hanging="1440"/>
      </w:pPr>
      <w:rPr>
        <w:rFonts w:hint="default"/>
      </w:rPr>
    </w:lvl>
    <w:lvl w:ilvl="7">
      <w:start w:val="1"/>
      <w:numFmt w:val="decimal"/>
      <w:isLgl/>
      <w:lvlText w:val="%1.%2.%3.%4.%5.%6.%7.%8"/>
      <w:lvlJc w:val="left"/>
      <w:pPr>
        <w:ind w:left="2899" w:hanging="1800"/>
      </w:pPr>
      <w:rPr>
        <w:rFonts w:hint="default"/>
      </w:rPr>
    </w:lvl>
    <w:lvl w:ilvl="8">
      <w:start w:val="1"/>
      <w:numFmt w:val="decimal"/>
      <w:isLgl/>
      <w:lvlText w:val="%1.%2.%3.%4.%5.%6.%7.%8.%9"/>
      <w:lvlJc w:val="left"/>
      <w:pPr>
        <w:ind w:left="2964" w:hanging="1800"/>
      </w:pPr>
      <w:rPr>
        <w:rFonts w:hint="default"/>
      </w:rPr>
    </w:lvl>
  </w:abstractNum>
  <w:abstractNum w:abstractNumId="7" w15:restartNumberingAfterBreak="0">
    <w:nsid w:val="38D74315"/>
    <w:multiLevelType w:val="hybridMultilevel"/>
    <w:tmpl w:val="39D28B10"/>
    <w:lvl w:ilvl="0" w:tplc="85A69F9A">
      <w:start w:val="1"/>
      <w:numFmt w:val="decimal"/>
      <w:lvlText w:val="%1."/>
      <w:lvlJc w:val="left"/>
      <w:pPr>
        <w:ind w:left="819" w:hanging="360"/>
      </w:pPr>
      <w:rPr>
        <w:rFonts w:ascii="Arial" w:eastAsia="Arial" w:hAnsi="Arial" w:cs="Arial" w:hint="default"/>
        <w:b/>
        <w:bCs/>
        <w:spacing w:val="-1"/>
        <w:w w:val="100"/>
        <w:sz w:val="22"/>
        <w:szCs w:val="22"/>
        <w:lang w:val="es-ES" w:eastAsia="es-ES" w:bidi="es-ES"/>
      </w:rPr>
    </w:lvl>
    <w:lvl w:ilvl="1" w:tplc="3B2A18A2">
      <w:start w:val="1"/>
      <w:numFmt w:val="lowerLetter"/>
      <w:lvlText w:val="%2)"/>
      <w:lvlJc w:val="left"/>
      <w:pPr>
        <w:ind w:left="1539" w:hanging="360"/>
      </w:pPr>
      <w:rPr>
        <w:rFonts w:ascii="Arial" w:eastAsia="Arial" w:hAnsi="Arial" w:cs="Arial" w:hint="default"/>
        <w:spacing w:val="-1"/>
        <w:w w:val="100"/>
        <w:sz w:val="22"/>
        <w:szCs w:val="22"/>
        <w:lang w:val="es-ES" w:eastAsia="es-ES" w:bidi="es-ES"/>
      </w:rPr>
    </w:lvl>
    <w:lvl w:ilvl="2" w:tplc="61F20B02">
      <w:numFmt w:val="bullet"/>
      <w:lvlText w:val="•"/>
      <w:lvlJc w:val="left"/>
      <w:pPr>
        <w:ind w:left="2375" w:hanging="360"/>
      </w:pPr>
      <w:rPr>
        <w:rFonts w:hint="default"/>
        <w:lang w:val="es-ES" w:eastAsia="es-ES" w:bidi="es-ES"/>
      </w:rPr>
    </w:lvl>
    <w:lvl w:ilvl="3" w:tplc="9C02A96E">
      <w:numFmt w:val="bullet"/>
      <w:lvlText w:val="•"/>
      <w:lvlJc w:val="left"/>
      <w:pPr>
        <w:ind w:left="3211" w:hanging="360"/>
      </w:pPr>
      <w:rPr>
        <w:rFonts w:hint="default"/>
        <w:lang w:val="es-ES" w:eastAsia="es-ES" w:bidi="es-ES"/>
      </w:rPr>
    </w:lvl>
    <w:lvl w:ilvl="4" w:tplc="83F6D9EC">
      <w:numFmt w:val="bullet"/>
      <w:lvlText w:val="•"/>
      <w:lvlJc w:val="left"/>
      <w:pPr>
        <w:ind w:left="4047" w:hanging="360"/>
      </w:pPr>
      <w:rPr>
        <w:rFonts w:hint="default"/>
        <w:lang w:val="es-ES" w:eastAsia="es-ES" w:bidi="es-ES"/>
      </w:rPr>
    </w:lvl>
    <w:lvl w:ilvl="5" w:tplc="B734E7B8">
      <w:numFmt w:val="bullet"/>
      <w:lvlText w:val="•"/>
      <w:lvlJc w:val="left"/>
      <w:pPr>
        <w:ind w:left="4883" w:hanging="360"/>
      </w:pPr>
      <w:rPr>
        <w:rFonts w:hint="default"/>
        <w:lang w:val="es-ES" w:eastAsia="es-ES" w:bidi="es-ES"/>
      </w:rPr>
    </w:lvl>
    <w:lvl w:ilvl="6" w:tplc="2F1A8264">
      <w:numFmt w:val="bullet"/>
      <w:lvlText w:val="•"/>
      <w:lvlJc w:val="left"/>
      <w:pPr>
        <w:ind w:left="5719" w:hanging="360"/>
      </w:pPr>
      <w:rPr>
        <w:rFonts w:hint="default"/>
        <w:lang w:val="es-ES" w:eastAsia="es-ES" w:bidi="es-ES"/>
      </w:rPr>
    </w:lvl>
    <w:lvl w:ilvl="7" w:tplc="A6E41B8E">
      <w:numFmt w:val="bullet"/>
      <w:lvlText w:val="•"/>
      <w:lvlJc w:val="left"/>
      <w:pPr>
        <w:ind w:left="6554" w:hanging="360"/>
      </w:pPr>
      <w:rPr>
        <w:rFonts w:hint="default"/>
        <w:lang w:val="es-ES" w:eastAsia="es-ES" w:bidi="es-ES"/>
      </w:rPr>
    </w:lvl>
    <w:lvl w:ilvl="8" w:tplc="802E0B3E">
      <w:numFmt w:val="bullet"/>
      <w:lvlText w:val="•"/>
      <w:lvlJc w:val="left"/>
      <w:pPr>
        <w:ind w:left="7390" w:hanging="360"/>
      </w:pPr>
      <w:rPr>
        <w:rFonts w:hint="default"/>
        <w:lang w:val="es-ES" w:eastAsia="es-ES" w:bidi="es-ES"/>
      </w:rPr>
    </w:lvl>
  </w:abstractNum>
  <w:abstractNum w:abstractNumId="8" w15:restartNumberingAfterBreak="0">
    <w:nsid w:val="480A79B9"/>
    <w:multiLevelType w:val="hybridMultilevel"/>
    <w:tmpl w:val="19F07E00"/>
    <w:lvl w:ilvl="0" w:tplc="4EF2FD6C">
      <w:start w:val="1"/>
      <w:numFmt w:val="decimal"/>
      <w:lvlText w:val="%1."/>
      <w:lvlJc w:val="left"/>
      <w:pPr>
        <w:ind w:left="852"/>
      </w:pPr>
      <w:rPr>
        <w:rFonts w:ascii="Arial" w:eastAsia="Bookman Old Style" w:hAnsi="Arial" w:cs="Arial" w:hint="default"/>
        <w:b/>
        <w:bCs/>
        <w:i w:val="0"/>
        <w:strike w:val="0"/>
        <w:dstrike w:val="0"/>
        <w:color w:val="000000"/>
        <w:sz w:val="20"/>
        <w:szCs w:val="20"/>
        <w:u w:val="none" w:color="000000"/>
        <w:bdr w:val="none" w:sz="0" w:space="0" w:color="auto"/>
        <w:shd w:val="clear" w:color="auto" w:fill="auto"/>
        <w:vertAlign w:val="baseline"/>
      </w:rPr>
    </w:lvl>
    <w:lvl w:ilvl="1" w:tplc="6F4C1158">
      <w:start w:val="1"/>
      <w:numFmt w:val="bullet"/>
      <w:lvlText w:val="•"/>
      <w:lvlJc w:val="left"/>
      <w:pPr>
        <w:ind w:left="127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C910F3DA">
      <w:start w:val="1"/>
      <w:numFmt w:val="bullet"/>
      <w:lvlText w:val="▪"/>
      <w:lvlJc w:val="left"/>
      <w:pPr>
        <w:ind w:left="19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93324E6C">
      <w:start w:val="1"/>
      <w:numFmt w:val="bullet"/>
      <w:lvlText w:val="•"/>
      <w:lvlJc w:val="left"/>
      <w:pPr>
        <w:ind w:left="265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DB6EA698">
      <w:start w:val="1"/>
      <w:numFmt w:val="bullet"/>
      <w:lvlText w:val="o"/>
      <w:lvlJc w:val="left"/>
      <w:pPr>
        <w:ind w:left="337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89D8B370">
      <w:start w:val="1"/>
      <w:numFmt w:val="bullet"/>
      <w:lvlText w:val="▪"/>
      <w:lvlJc w:val="left"/>
      <w:pPr>
        <w:ind w:left="40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4EB86998">
      <w:start w:val="1"/>
      <w:numFmt w:val="bullet"/>
      <w:lvlText w:val="•"/>
      <w:lvlJc w:val="left"/>
      <w:pPr>
        <w:ind w:left="481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705CF080">
      <w:start w:val="1"/>
      <w:numFmt w:val="bullet"/>
      <w:lvlText w:val="o"/>
      <w:lvlJc w:val="left"/>
      <w:pPr>
        <w:ind w:left="55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EF6C8C16">
      <w:start w:val="1"/>
      <w:numFmt w:val="bullet"/>
      <w:lvlText w:val="▪"/>
      <w:lvlJc w:val="left"/>
      <w:pPr>
        <w:ind w:left="625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9" w15:restartNumberingAfterBreak="0">
    <w:nsid w:val="48495B9E"/>
    <w:multiLevelType w:val="hybridMultilevel"/>
    <w:tmpl w:val="25382BD6"/>
    <w:lvl w:ilvl="0" w:tplc="F50A255A">
      <w:start w:val="1"/>
      <w:numFmt w:val="bullet"/>
      <w:lvlText w:val="•"/>
      <w:lvlJc w:val="left"/>
      <w:pPr>
        <w:ind w:left="14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48D448">
      <w:start w:val="1"/>
      <w:numFmt w:val="bullet"/>
      <w:lvlText w:val="o"/>
      <w:lvlJc w:val="left"/>
      <w:pPr>
        <w:ind w:left="2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61A1AD0">
      <w:start w:val="1"/>
      <w:numFmt w:val="bullet"/>
      <w:lvlText w:val="▪"/>
      <w:lvlJc w:val="left"/>
      <w:pPr>
        <w:ind w:left="2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97226E6">
      <w:start w:val="1"/>
      <w:numFmt w:val="bullet"/>
      <w:lvlText w:val="•"/>
      <w:lvlJc w:val="left"/>
      <w:pPr>
        <w:ind w:left="36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06A2718">
      <w:start w:val="1"/>
      <w:numFmt w:val="bullet"/>
      <w:lvlText w:val="o"/>
      <w:lvlJc w:val="left"/>
      <w:pPr>
        <w:ind w:left="44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5A23226">
      <w:start w:val="1"/>
      <w:numFmt w:val="bullet"/>
      <w:lvlText w:val="▪"/>
      <w:lvlJc w:val="left"/>
      <w:pPr>
        <w:ind w:left="51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DEC1F72">
      <w:start w:val="1"/>
      <w:numFmt w:val="bullet"/>
      <w:lvlText w:val="•"/>
      <w:lvlJc w:val="left"/>
      <w:pPr>
        <w:ind w:left="5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1A8C8C">
      <w:start w:val="1"/>
      <w:numFmt w:val="bullet"/>
      <w:lvlText w:val="o"/>
      <w:lvlJc w:val="left"/>
      <w:pPr>
        <w:ind w:left="65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2501408">
      <w:start w:val="1"/>
      <w:numFmt w:val="bullet"/>
      <w:lvlText w:val="▪"/>
      <w:lvlJc w:val="left"/>
      <w:pPr>
        <w:ind w:left="72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D563495"/>
    <w:multiLevelType w:val="hybridMultilevel"/>
    <w:tmpl w:val="4562256C"/>
    <w:lvl w:ilvl="0" w:tplc="19DC8C98">
      <w:start w:val="1"/>
      <w:numFmt w:val="lowerRoman"/>
      <w:lvlText w:val="%1."/>
      <w:lvlJc w:val="left"/>
      <w:pPr>
        <w:ind w:left="1080" w:hanging="720"/>
      </w:pPr>
      <w:rPr>
        <w:rFonts w:hint="default"/>
        <w:b/>
        <w:color w:val="4472C4" w:themeColor="accen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DD661F0"/>
    <w:multiLevelType w:val="hybridMultilevel"/>
    <w:tmpl w:val="AD006A22"/>
    <w:lvl w:ilvl="0" w:tplc="2A94CF22">
      <w:start w:val="1"/>
      <w:numFmt w:val="decimal"/>
      <w:lvlText w:val="%1."/>
      <w:lvlJc w:val="left"/>
      <w:pPr>
        <w:ind w:left="422" w:firstLine="0"/>
      </w:pPr>
      <w:rPr>
        <w:rFonts w:ascii="Arial" w:eastAsiaTheme="minorHAnsi" w:hAnsi="Arial" w:cs="Arial"/>
        <w:b w:val="0"/>
        <w:i w:val="0"/>
        <w:strike w:val="0"/>
        <w:dstrike w:val="0"/>
        <w:color w:val="000000"/>
        <w:sz w:val="20"/>
        <w:szCs w:val="20"/>
        <w:u w:val="none" w:color="000000"/>
        <w:effect w:val="none"/>
        <w:bdr w:val="none" w:sz="0" w:space="0" w:color="auto" w:frame="1"/>
        <w:vertAlign w:val="baseline"/>
      </w:rPr>
    </w:lvl>
    <w:lvl w:ilvl="1" w:tplc="FFFFFFFF">
      <w:start w:val="2"/>
      <w:numFmt w:val="decimal"/>
      <w:lvlText w:val="%2."/>
      <w:lvlJc w:val="left"/>
      <w:pPr>
        <w:ind w:left="790"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2" w:tplc="FFFFFFFF">
      <w:start w:val="1"/>
      <w:numFmt w:val="lowerRoman"/>
      <w:lvlText w:val="%3"/>
      <w:lvlJc w:val="left"/>
      <w:pPr>
        <w:ind w:left="117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3" w:tplc="FFFFFFFF">
      <w:start w:val="1"/>
      <w:numFmt w:val="decimal"/>
      <w:lvlText w:val="%4"/>
      <w:lvlJc w:val="left"/>
      <w:pPr>
        <w:ind w:left="189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4" w:tplc="FFFFFFFF">
      <w:start w:val="1"/>
      <w:numFmt w:val="lowerLetter"/>
      <w:lvlText w:val="%5"/>
      <w:lvlJc w:val="left"/>
      <w:pPr>
        <w:ind w:left="261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5" w:tplc="FFFFFFFF">
      <w:start w:val="1"/>
      <w:numFmt w:val="lowerRoman"/>
      <w:lvlText w:val="%6"/>
      <w:lvlJc w:val="left"/>
      <w:pPr>
        <w:ind w:left="333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6" w:tplc="FFFFFFFF">
      <w:start w:val="1"/>
      <w:numFmt w:val="decimal"/>
      <w:lvlText w:val="%7"/>
      <w:lvlJc w:val="left"/>
      <w:pPr>
        <w:ind w:left="405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7" w:tplc="FFFFFFFF">
      <w:start w:val="1"/>
      <w:numFmt w:val="lowerLetter"/>
      <w:lvlText w:val="%8"/>
      <w:lvlJc w:val="left"/>
      <w:pPr>
        <w:ind w:left="477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8" w:tplc="FFFFFFFF">
      <w:start w:val="1"/>
      <w:numFmt w:val="lowerRoman"/>
      <w:lvlText w:val="%9"/>
      <w:lvlJc w:val="left"/>
      <w:pPr>
        <w:ind w:left="549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abstractNum>
  <w:abstractNum w:abstractNumId="12" w15:restartNumberingAfterBreak="0">
    <w:nsid w:val="5399558C"/>
    <w:multiLevelType w:val="hybridMultilevel"/>
    <w:tmpl w:val="683E89B4"/>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439560E"/>
    <w:multiLevelType w:val="hybridMultilevel"/>
    <w:tmpl w:val="746A9724"/>
    <w:lvl w:ilvl="0" w:tplc="A4DCF3CA">
      <w:start w:val="5"/>
      <w:numFmt w:val="decimal"/>
      <w:lvlText w:val="%1."/>
      <w:lvlJc w:val="left"/>
      <w:pPr>
        <w:ind w:left="14" w:firstLine="0"/>
      </w:pPr>
      <w:rPr>
        <w:rFonts w:ascii="Arial" w:eastAsia="Courier New" w:hAnsi="Arial" w:cs="Arial" w:hint="default"/>
        <w:b w:val="0"/>
        <w:i w:val="0"/>
        <w:strike w:val="0"/>
        <w:dstrike w:val="0"/>
        <w:color w:val="000000"/>
        <w:sz w:val="20"/>
        <w:szCs w:val="20"/>
        <w:u w:val="none" w:color="000000"/>
        <w:effect w:val="none"/>
        <w:bdr w:val="none" w:sz="0" w:space="0" w:color="auto" w:frame="1"/>
        <w:vertAlign w:val="baseline"/>
      </w:rPr>
    </w:lvl>
    <w:lvl w:ilvl="1" w:tplc="019C3BD4">
      <w:start w:val="1"/>
      <w:numFmt w:val="lowerLetter"/>
      <w:lvlText w:val="%2"/>
      <w:lvlJc w:val="left"/>
      <w:pPr>
        <w:ind w:left="109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2" w:tplc="C4F6A4A2">
      <w:start w:val="1"/>
      <w:numFmt w:val="lowerRoman"/>
      <w:lvlText w:val="%3"/>
      <w:lvlJc w:val="left"/>
      <w:pPr>
        <w:ind w:left="181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3" w:tplc="4F5AC7CE">
      <w:start w:val="1"/>
      <w:numFmt w:val="decimal"/>
      <w:lvlText w:val="%4"/>
      <w:lvlJc w:val="left"/>
      <w:pPr>
        <w:ind w:left="253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4" w:tplc="C07AA470">
      <w:start w:val="1"/>
      <w:numFmt w:val="lowerLetter"/>
      <w:lvlText w:val="%5"/>
      <w:lvlJc w:val="left"/>
      <w:pPr>
        <w:ind w:left="325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5" w:tplc="F7F4F7E4">
      <w:start w:val="1"/>
      <w:numFmt w:val="lowerRoman"/>
      <w:lvlText w:val="%6"/>
      <w:lvlJc w:val="left"/>
      <w:pPr>
        <w:ind w:left="397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6" w:tplc="AEF69C32">
      <w:start w:val="1"/>
      <w:numFmt w:val="decimal"/>
      <w:lvlText w:val="%7"/>
      <w:lvlJc w:val="left"/>
      <w:pPr>
        <w:ind w:left="469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7" w:tplc="AE88304C">
      <w:start w:val="1"/>
      <w:numFmt w:val="lowerLetter"/>
      <w:lvlText w:val="%8"/>
      <w:lvlJc w:val="left"/>
      <w:pPr>
        <w:ind w:left="541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8" w:tplc="5600958A">
      <w:start w:val="1"/>
      <w:numFmt w:val="lowerRoman"/>
      <w:lvlText w:val="%9"/>
      <w:lvlJc w:val="left"/>
      <w:pPr>
        <w:ind w:left="613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abstractNum>
  <w:abstractNum w:abstractNumId="14" w15:restartNumberingAfterBreak="0">
    <w:nsid w:val="549E6937"/>
    <w:multiLevelType w:val="multilevel"/>
    <w:tmpl w:val="8ED64410"/>
    <w:lvl w:ilvl="0">
      <w:start w:val="1"/>
      <w:numFmt w:val="decimal"/>
      <w:lvlText w:val="%1."/>
      <w:lvlJc w:val="left"/>
      <w:pPr>
        <w:ind w:left="1069" w:hanging="360"/>
      </w:pPr>
      <w:rPr>
        <w:rFonts w:hint="default"/>
      </w:rPr>
    </w:lvl>
    <w:lvl w:ilvl="1">
      <w:start w:val="3"/>
      <w:numFmt w:val="decimal"/>
      <w:isLgl/>
      <w:lvlText w:val="%1.%2."/>
      <w:lvlJc w:val="left"/>
      <w:pPr>
        <w:ind w:left="1429" w:hanging="720"/>
      </w:pPr>
      <w:rPr>
        <w:rFonts w:hint="default"/>
        <w:sz w:val="24"/>
        <w:szCs w:val="24"/>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15:restartNumberingAfterBreak="0">
    <w:nsid w:val="579418F8"/>
    <w:multiLevelType w:val="hybridMultilevel"/>
    <w:tmpl w:val="E214B462"/>
    <w:lvl w:ilvl="0" w:tplc="AA82E1E4">
      <w:start w:val="1"/>
      <w:numFmt w:val="decimal"/>
      <w:lvlText w:val="%1."/>
      <w:lvlJc w:val="left"/>
      <w:pPr>
        <w:ind w:left="14" w:firstLine="0"/>
      </w:pPr>
      <w:rPr>
        <w:rFonts w:ascii="Arial" w:eastAsia="Courier New" w:hAnsi="Arial" w:cs="Arial" w:hint="default"/>
        <w:b w:val="0"/>
        <w:i w:val="0"/>
        <w:strike w:val="0"/>
        <w:dstrike w:val="0"/>
        <w:color w:val="000000"/>
        <w:sz w:val="20"/>
        <w:szCs w:val="20"/>
        <w:u w:val="none" w:color="000000"/>
        <w:effect w:val="none"/>
        <w:bdr w:val="none" w:sz="0" w:space="0" w:color="auto" w:frame="1"/>
        <w:vertAlign w:val="baseline"/>
      </w:rPr>
    </w:lvl>
    <w:lvl w:ilvl="1" w:tplc="907ECD8A">
      <w:start w:val="1"/>
      <w:numFmt w:val="lowerLetter"/>
      <w:lvlText w:val="%2"/>
      <w:lvlJc w:val="left"/>
      <w:pPr>
        <w:ind w:left="109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2" w:tplc="B9D83528">
      <w:start w:val="1"/>
      <w:numFmt w:val="lowerRoman"/>
      <w:lvlText w:val="%3"/>
      <w:lvlJc w:val="left"/>
      <w:pPr>
        <w:ind w:left="181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3" w:tplc="CB7CD6DC">
      <w:start w:val="1"/>
      <w:numFmt w:val="decimal"/>
      <w:lvlText w:val="%4"/>
      <w:lvlJc w:val="left"/>
      <w:pPr>
        <w:ind w:left="253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4" w:tplc="62E69F28">
      <w:start w:val="1"/>
      <w:numFmt w:val="lowerLetter"/>
      <w:lvlText w:val="%5"/>
      <w:lvlJc w:val="left"/>
      <w:pPr>
        <w:ind w:left="325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5" w:tplc="596CF50E">
      <w:start w:val="1"/>
      <w:numFmt w:val="lowerRoman"/>
      <w:lvlText w:val="%6"/>
      <w:lvlJc w:val="left"/>
      <w:pPr>
        <w:ind w:left="397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6" w:tplc="A724ABE6">
      <w:start w:val="1"/>
      <w:numFmt w:val="decimal"/>
      <w:lvlText w:val="%7"/>
      <w:lvlJc w:val="left"/>
      <w:pPr>
        <w:ind w:left="469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7" w:tplc="0F883C54">
      <w:start w:val="1"/>
      <w:numFmt w:val="lowerLetter"/>
      <w:lvlText w:val="%8"/>
      <w:lvlJc w:val="left"/>
      <w:pPr>
        <w:ind w:left="541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8" w:tplc="C66CD2B2">
      <w:start w:val="1"/>
      <w:numFmt w:val="lowerRoman"/>
      <w:lvlText w:val="%9"/>
      <w:lvlJc w:val="left"/>
      <w:pPr>
        <w:ind w:left="613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abstractNum>
  <w:abstractNum w:abstractNumId="16" w15:restartNumberingAfterBreak="0">
    <w:nsid w:val="5D1F2A75"/>
    <w:multiLevelType w:val="hybridMultilevel"/>
    <w:tmpl w:val="75B87234"/>
    <w:lvl w:ilvl="0" w:tplc="9F642A20">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D3D3EDB"/>
    <w:multiLevelType w:val="multilevel"/>
    <w:tmpl w:val="D512AA5C"/>
    <w:numStyleLink w:val="Estilo18"/>
  </w:abstractNum>
  <w:abstractNum w:abstractNumId="18" w15:restartNumberingAfterBreak="0">
    <w:nsid w:val="642D5A3F"/>
    <w:multiLevelType w:val="hybridMultilevel"/>
    <w:tmpl w:val="20BE7698"/>
    <w:lvl w:ilvl="0" w:tplc="D9E25722">
      <w:start w:val="1"/>
      <w:numFmt w:val="decimal"/>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9" w15:restartNumberingAfterBreak="0">
    <w:nsid w:val="6BA017C4"/>
    <w:multiLevelType w:val="hybridMultilevel"/>
    <w:tmpl w:val="DA84BDF8"/>
    <w:lvl w:ilvl="0" w:tplc="CFF443B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C5C4745"/>
    <w:multiLevelType w:val="hybridMultilevel"/>
    <w:tmpl w:val="F9FE3F02"/>
    <w:lvl w:ilvl="0" w:tplc="8D0A4026">
      <w:start w:val="1"/>
      <w:numFmt w:val="decimal"/>
      <w:lvlText w:val="%1."/>
      <w:lvlJc w:val="left"/>
      <w:pPr>
        <w:ind w:left="720" w:hanging="360"/>
      </w:pPr>
      <w:rPr>
        <w:b/>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3B82183"/>
    <w:multiLevelType w:val="hybridMultilevel"/>
    <w:tmpl w:val="BF466876"/>
    <w:lvl w:ilvl="0" w:tplc="1352874C">
      <w:start w:val="1"/>
      <w:numFmt w:val="decimal"/>
      <w:lvlText w:val="%1."/>
      <w:lvlJc w:val="left"/>
      <w:pPr>
        <w:ind w:left="422" w:firstLine="0"/>
      </w:pPr>
      <w:rPr>
        <w:rFonts w:ascii="Arial" w:eastAsiaTheme="minorHAnsi" w:hAnsi="Arial" w:cs="Arial"/>
        <w:b w:val="0"/>
        <w:i w:val="0"/>
        <w:strike w:val="0"/>
        <w:dstrike w:val="0"/>
        <w:color w:val="000000"/>
        <w:sz w:val="26"/>
        <w:szCs w:val="26"/>
        <w:u w:val="none" w:color="000000"/>
        <w:effect w:val="none"/>
        <w:bdr w:val="none" w:sz="0" w:space="0" w:color="auto" w:frame="1"/>
        <w:vertAlign w:val="baseline"/>
      </w:rPr>
    </w:lvl>
    <w:lvl w:ilvl="1" w:tplc="ADBA5F34">
      <w:start w:val="2"/>
      <w:numFmt w:val="decimal"/>
      <w:lvlText w:val="%2."/>
      <w:lvlJc w:val="left"/>
      <w:pPr>
        <w:ind w:left="790"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2" w:tplc="C00ACDFE">
      <w:start w:val="1"/>
      <w:numFmt w:val="lowerRoman"/>
      <w:lvlText w:val="%3"/>
      <w:lvlJc w:val="left"/>
      <w:pPr>
        <w:ind w:left="117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3" w:tplc="02B06F12">
      <w:start w:val="1"/>
      <w:numFmt w:val="decimal"/>
      <w:lvlText w:val="%4"/>
      <w:lvlJc w:val="left"/>
      <w:pPr>
        <w:ind w:left="189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4" w:tplc="7456A1C2">
      <w:start w:val="1"/>
      <w:numFmt w:val="lowerLetter"/>
      <w:lvlText w:val="%5"/>
      <w:lvlJc w:val="left"/>
      <w:pPr>
        <w:ind w:left="261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5" w:tplc="40601CB0">
      <w:start w:val="1"/>
      <w:numFmt w:val="lowerRoman"/>
      <w:lvlText w:val="%6"/>
      <w:lvlJc w:val="left"/>
      <w:pPr>
        <w:ind w:left="333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6" w:tplc="FD203DC0">
      <w:start w:val="1"/>
      <w:numFmt w:val="decimal"/>
      <w:lvlText w:val="%7"/>
      <w:lvlJc w:val="left"/>
      <w:pPr>
        <w:ind w:left="405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7" w:tplc="5810E524">
      <w:start w:val="1"/>
      <w:numFmt w:val="lowerLetter"/>
      <w:lvlText w:val="%8"/>
      <w:lvlJc w:val="left"/>
      <w:pPr>
        <w:ind w:left="477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lvl w:ilvl="8" w:tplc="235A84EA">
      <w:start w:val="1"/>
      <w:numFmt w:val="lowerRoman"/>
      <w:lvlText w:val="%9"/>
      <w:lvlJc w:val="left"/>
      <w:pPr>
        <w:ind w:left="5494" w:firstLine="0"/>
      </w:pPr>
      <w:rPr>
        <w:rFonts w:ascii="Calibri" w:eastAsia="Calibri" w:hAnsi="Calibri" w:cs="Calibri"/>
        <w:b w:val="0"/>
        <w:i w:val="0"/>
        <w:strike w:val="0"/>
        <w:dstrike w:val="0"/>
        <w:color w:val="000000"/>
        <w:sz w:val="28"/>
        <w:szCs w:val="28"/>
        <w:u w:val="none" w:color="000000"/>
        <w:effect w:val="none"/>
        <w:bdr w:val="none" w:sz="0" w:space="0" w:color="auto" w:frame="1"/>
        <w:vertAlign w:val="baseline"/>
      </w:rPr>
    </w:lvl>
  </w:abstractNum>
  <w:abstractNum w:abstractNumId="22" w15:restartNumberingAfterBreak="0">
    <w:nsid w:val="76BF5116"/>
    <w:multiLevelType w:val="hybridMultilevel"/>
    <w:tmpl w:val="0DE2E200"/>
    <w:lvl w:ilvl="0" w:tplc="30CEDCA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118867447">
    <w:abstractNumId w:val="19"/>
  </w:num>
  <w:num w:numId="2" w16cid:durableId="835801197">
    <w:abstractNumId w:val="20"/>
  </w:num>
  <w:num w:numId="3" w16cid:durableId="2125728478">
    <w:abstractNumId w:val="12"/>
  </w:num>
  <w:num w:numId="4" w16cid:durableId="1180317202">
    <w:abstractNumId w:val="22"/>
  </w:num>
  <w:num w:numId="5" w16cid:durableId="1359426482">
    <w:abstractNumId w:val="16"/>
  </w:num>
  <w:num w:numId="6" w16cid:durableId="172652948">
    <w:abstractNumId w:val="7"/>
  </w:num>
  <w:num w:numId="7" w16cid:durableId="700135222">
    <w:abstractNumId w:val="1"/>
  </w:num>
  <w:num w:numId="8" w16cid:durableId="194463729">
    <w:abstractNumId w:val="3"/>
  </w:num>
  <w:num w:numId="9" w16cid:durableId="1659646720">
    <w:abstractNumId w:val="4"/>
  </w:num>
  <w:num w:numId="10" w16cid:durableId="1048186661">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11" w16cid:durableId="12828842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24819507">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42068472">
    <w:abstractNumId w:val="8"/>
  </w:num>
  <w:num w:numId="14" w16cid:durableId="1296834548">
    <w:abstractNumId w:val="14"/>
  </w:num>
  <w:num w:numId="15" w16cid:durableId="1190680270">
    <w:abstractNumId w:val="9"/>
  </w:num>
  <w:num w:numId="16" w16cid:durableId="2079206193">
    <w:abstractNumId w:val="6"/>
  </w:num>
  <w:num w:numId="17" w16cid:durableId="1673798562">
    <w:abstractNumId w:val="2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1438777">
    <w:abstractNumId w:val="18"/>
  </w:num>
  <w:num w:numId="19" w16cid:durableId="205529598">
    <w:abstractNumId w:val="21"/>
  </w:num>
  <w:num w:numId="20" w16cid:durableId="1882404539">
    <w:abstractNumId w:val="11"/>
  </w:num>
  <w:num w:numId="21" w16cid:durableId="307561295">
    <w:abstractNumId w:val="1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863192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71446014">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898927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87349762">
    <w:abstractNumId w:val="0"/>
  </w:num>
  <w:num w:numId="26" w16cid:durableId="9145578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84746985">
    <w:abstractNumId w:val="2"/>
  </w:num>
  <w:num w:numId="28" w16cid:durableId="9222973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7F5"/>
    <w:rsid w:val="00001054"/>
    <w:rsid w:val="0000300C"/>
    <w:rsid w:val="00005FD0"/>
    <w:rsid w:val="00023520"/>
    <w:rsid w:val="00023E22"/>
    <w:rsid w:val="00024EA5"/>
    <w:rsid w:val="00032A9C"/>
    <w:rsid w:val="00033A9A"/>
    <w:rsid w:val="00034700"/>
    <w:rsid w:val="00035C44"/>
    <w:rsid w:val="00040665"/>
    <w:rsid w:val="00046A4B"/>
    <w:rsid w:val="00050E93"/>
    <w:rsid w:val="00050EB7"/>
    <w:rsid w:val="000512AF"/>
    <w:rsid w:val="00053B67"/>
    <w:rsid w:val="00062CAB"/>
    <w:rsid w:val="00075973"/>
    <w:rsid w:val="0008001E"/>
    <w:rsid w:val="00080757"/>
    <w:rsid w:val="00081E85"/>
    <w:rsid w:val="00085C25"/>
    <w:rsid w:val="000862CD"/>
    <w:rsid w:val="0009164A"/>
    <w:rsid w:val="00095B1E"/>
    <w:rsid w:val="00096B47"/>
    <w:rsid w:val="000A23B0"/>
    <w:rsid w:val="000A2CB8"/>
    <w:rsid w:val="000A5EA1"/>
    <w:rsid w:val="000B0469"/>
    <w:rsid w:val="000B4CCB"/>
    <w:rsid w:val="000B7CBB"/>
    <w:rsid w:val="000C1E45"/>
    <w:rsid w:val="000C2306"/>
    <w:rsid w:val="000C3E28"/>
    <w:rsid w:val="000C6CFF"/>
    <w:rsid w:val="000D01CB"/>
    <w:rsid w:val="000D1D8B"/>
    <w:rsid w:val="000D76C8"/>
    <w:rsid w:val="000E602C"/>
    <w:rsid w:val="000F3FFB"/>
    <w:rsid w:val="00102FBD"/>
    <w:rsid w:val="0010332A"/>
    <w:rsid w:val="00107641"/>
    <w:rsid w:val="00114BB3"/>
    <w:rsid w:val="00115073"/>
    <w:rsid w:val="00120F19"/>
    <w:rsid w:val="001256C7"/>
    <w:rsid w:val="001257E6"/>
    <w:rsid w:val="00126223"/>
    <w:rsid w:val="00126D44"/>
    <w:rsid w:val="001314A7"/>
    <w:rsid w:val="00131A12"/>
    <w:rsid w:val="00143179"/>
    <w:rsid w:val="001515C1"/>
    <w:rsid w:val="00157CBE"/>
    <w:rsid w:val="00171074"/>
    <w:rsid w:val="00171081"/>
    <w:rsid w:val="00171965"/>
    <w:rsid w:val="001764D8"/>
    <w:rsid w:val="00177708"/>
    <w:rsid w:val="00181C20"/>
    <w:rsid w:val="00182BFF"/>
    <w:rsid w:val="00184257"/>
    <w:rsid w:val="00190F08"/>
    <w:rsid w:val="001939D2"/>
    <w:rsid w:val="001A7F4C"/>
    <w:rsid w:val="001B70EB"/>
    <w:rsid w:val="001C536F"/>
    <w:rsid w:val="001D791C"/>
    <w:rsid w:val="001E1039"/>
    <w:rsid w:val="001E23FE"/>
    <w:rsid w:val="001E379A"/>
    <w:rsid w:val="001F14C2"/>
    <w:rsid w:val="001F4C3F"/>
    <w:rsid w:val="00201ECA"/>
    <w:rsid w:val="00203A2D"/>
    <w:rsid w:val="00211C44"/>
    <w:rsid w:val="002142F0"/>
    <w:rsid w:val="00243516"/>
    <w:rsid w:val="00245ECD"/>
    <w:rsid w:val="002540AD"/>
    <w:rsid w:val="00265F19"/>
    <w:rsid w:val="002661D0"/>
    <w:rsid w:val="00266C19"/>
    <w:rsid w:val="002707EE"/>
    <w:rsid w:val="00275344"/>
    <w:rsid w:val="002766AE"/>
    <w:rsid w:val="00286A06"/>
    <w:rsid w:val="002923A7"/>
    <w:rsid w:val="0029267A"/>
    <w:rsid w:val="00294AA1"/>
    <w:rsid w:val="00296F48"/>
    <w:rsid w:val="002A009F"/>
    <w:rsid w:val="002B6F5A"/>
    <w:rsid w:val="002B712D"/>
    <w:rsid w:val="002B7F53"/>
    <w:rsid w:val="002C1749"/>
    <w:rsid w:val="002C473E"/>
    <w:rsid w:val="002E0209"/>
    <w:rsid w:val="002E0A1A"/>
    <w:rsid w:val="002E0FBA"/>
    <w:rsid w:val="002E1BAF"/>
    <w:rsid w:val="002F373C"/>
    <w:rsid w:val="002F426B"/>
    <w:rsid w:val="0030135B"/>
    <w:rsid w:val="003116E3"/>
    <w:rsid w:val="00315EBB"/>
    <w:rsid w:val="00326808"/>
    <w:rsid w:val="00326A9F"/>
    <w:rsid w:val="0033322A"/>
    <w:rsid w:val="00343A03"/>
    <w:rsid w:val="00343ACD"/>
    <w:rsid w:val="003567FB"/>
    <w:rsid w:val="00363004"/>
    <w:rsid w:val="00364368"/>
    <w:rsid w:val="003650A1"/>
    <w:rsid w:val="003658B4"/>
    <w:rsid w:val="0037048F"/>
    <w:rsid w:val="00371C73"/>
    <w:rsid w:val="003739AE"/>
    <w:rsid w:val="00375F38"/>
    <w:rsid w:val="00377DA8"/>
    <w:rsid w:val="00381BD3"/>
    <w:rsid w:val="00387BB3"/>
    <w:rsid w:val="00390C5D"/>
    <w:rsid w:val="00393257"/>
    <w:rsid w:val="003A0AD1"/>
    <w:rsid w:val="003A39CB"/>
    <w:rsid w:val="003B1742"/>
    <w:rsid w:val="003B3921"/>
    <w:rsid w:val="003B6D79"/>
    <w:rsid w:val="003B7B14"/>
    <w:rsid w:val="003C1AD5"/>
    <w:rsid w:val="003D3140"/>
    <w:rsid w:val="003D4184"/>
    <w:rsid w:val="003E0039"/>
    <w:rsid w:val="003E2E36"/>
    <w:rsid w:val="003F35FF"/>
    <w:rsid w:val="0040452A"/>
    <w:rsid w:val="00405053"/>
    <w:rsid w:val="00405C6D"/>
    <w:rsid w:val="00411395"/>
    <w:rsid w:val="004130DC"/>
    <w:rsid w:val="004138A2"/>
    <w:rsid w:val="004147F8"/>
    <w:rsid w:val="00415155"/>
    <w:rsid w:val="00416085"/>
    <w:rsid w:val="004162EA"/>
    <w:rsid w:val="00421A3B"/>
    <w:rsid w:val="004239CD"/>
    <w:rsid w:val="00424C08"/>
    <w:rsid w:val="0043061A"/>
    <w:rsid w:val="0044095C"/>
    <w:rsid w:val="00440F41"/>
    <w:rsid w:val="0044139D"/>
    <w:rsid w:val="00444245"/>
    <w:rsid w:val="0044738E"/>
    <w:rsid w:val="00454673"/>
    <w:rsid w:val="00457FF9"/>
    <w:rsid w:val="00462771"/>
    <w:rsid w:val="004645C2"/>
    <w:rsid w:val="0046552F"/>
    <w:rsid w:val="0047270E"/>
    <w:rsid w:val="00475D50"/>
    <w:rsid w:val="00480BD8"/>
    <w:rsid w:val="00487C18"/>
    <w:rsid w:val="00490C26"/>
    <w:rsid w:val="00492E11"/>
    <w:rsid w:val="00494304"/>
    <w:rsid w:val="004966B1"/>
    <w:rsid w:val="004A27AE"/>
    <w:rsid w:val="004A2CEB"/>
    <w:rsid w:val="004A3F6A"/>
    <w:rsid w:val="004B1C76"/>
    <w:rsid w:val="004B5B04"/>
    <w:rsid w:val="004B7241"/>
    <w:rsid w:val="004C44CF"/>
    <w:rsid w:val="004D17D0"/>
    <w:rsid w:val="004D2E5F"/>
    <w:rsid w:val="004D7105"/>
    <w:rsid w:val="004E216B"/>
    <w:rsid w:val="004E24CE"/>
    <w:rsid w:val="004E2E13"/>
    <w:rsid w:val="004E3186"/>
    <w:rsid w:val="004E4974"/>
    <w:rsid w:val="004E7BEA"/>
    <w:rsid w:val="004F64E7"/>
    <w:rsid w:val="004F65DE"/>
    <w:rsid w:val="00501A80"/>
    <w:rsid w:val="005054F1"/>
    <w:rsid w:val="0050560A"/>
    <w:rsid w:val="00506B65"/>
    <w:rsid w:val="00512CD4"/>
    <w:rsid w:val="00516652"/>
    <w:rsid w:val="00525D9E"/>
    <w:rsid w:val="005311FC"/>
    <w:rsid w:val="00533505"/>
    <w:rsid w:val="00533CAB"/>
    <w:rsid w:val="005346CF"/>
    <w:rsid w:val="00542C8F"/>
    <w:rsid w:val="00545EB0"/>
    <w:rsid w:val="00554027"/>
    <w:rsid w:val="00572648"/>
    <w:rsid w:val="0058013D"/>
    <w:rsid w:val="0058123F"/>
    <w:rsid w:val="00581795"/>
    <w:rsid w:val="0058572B"/>
    <w:rsid w:val="00585A6B"/>
    <w:rsid w:val="00586F6C"/>
    <w:rsid w:val="005917FE"/>
    <w:rsid w:val="00592EFC"/>
    <w:rsid w:val="00593000"/>
    <w:rsid w:val="005A5F8C"/>
    <w:rsid w:val="005A6BDA"/>
    <w:rsid w:val="005B3FAD"/>
    <w:rsid w:val="005B5263"/>
    <w:rsid w:val="005B70CF"/>
    <w:rsid w:val="005B72A8"/>
    <w:rsid w:val="005C4F96"/>
    <w:rsid w:val="005C5E9E"/>
    <w:rsid w:val="005D03F0"/>
    <w:rsid w:val="005D3069"/>
    <w:rsid w:val="005D3303"/>
    <w:rsid w:val="005E01FF"/>
    <w:rsid w:val="005F026D"/>
    <w:rsid w:val="005F17CA"/>
    <w:rsid w:val="005F53DB"/>
    <w:rsid w:val="005F68C2"/>
    <w:rsid w:val="005F780A"/>
    <w:rsid w:val="005F7FEB"/>
    <w:rsid w:val="00604DDF"/>
    <w:rsid w:val="00614101"/>
    <w:rsid w:val="0061548C"/>
    <w:rsid w:val="0063097B"/>
    <w:rsid w:val="00632DCA"/>
    <w:rsid w:val="006368F4"/>
    <w:rsid w:val="0064482D"/>
    <w:rsid w:val="00653ECE"/>
    <w:rsid w:val="00672B79"/>
    <w:rsid w:val="00680D2D"/>
    <w:rsid w:val="0068334A"/>
    <w:rsid w:val="0069324F"/>
    <w:rsid w:val="006A2FD7"/>
    <w:rsid w:val="006A5F30"/>
    <w:rsid w:val="006A66B4"/>
    <w:rsid w:val="006A6AD2"/>
    <w:rsid w:val="006B169E"/>
    <w:rsid w:val="006B398A"/>
    <w:rsid w:val="006B5882"/>
    <w:rsid w:val="006C5A01"/>
    <w:rsid w:val="006C5D9C"/>
    <w:rsid w:val="006C67F0"/>
    <w:rsid w:val="006C7A2D"/>
    <w:rsid w:val="006D0001"/>
    <w:rsid w:val="006D222D"/>
    <w:rsid w:val="006D67BC"/>
    <w:rsid w:val="006E547B"/>
    <w:rsid w:val="00702953"/>
    <w:rsid w:val="00717320"/>
    <w:rsid w:val="00725DB5"/>
    <w:rsid w:val="0073520A"/>
    <w:rsid w:val="00735861"/>
    <w:rsid w:val="00740383"/>
    <w:rsid w:val="00742A47"/>
    <w:rsid w:val="00752B93"/>
    <w:rsid w:val="007537D2"/>
    <w:rsid w:val="00754E62"/>
    <w:rsid w:val="00760556"/>
    <w:rsid w:val="0076650A"/>
    <w:rsid w:val="00770CAF"/>
    <w:rsid w:val="007742AD"/>
    <w:rsid w:val="007822D0"/>
    <w:rsid w:val="00782ACA"/>
    <w:rsid w:val="0079098D"/>
    <w:rsid w:val="0079114F"/>
    <w:rsid w:val="00791F74"/>
    <w:rsid w:val="007A2999"/>
    <w:rsid w:val="007A549A"/>
    <w:rsid w:val="007A7EF2"/>
    <w:rsid w:val="007B1887"/>
    <w:rsid w:val="007C1A38"/>
    <w:rsid w:val="007C4F18"/>
    <w:rsid w:val="007D245A"/>
    <w:rsid w:val="007D495C"/>
    <w:rsid w:val="007E15E5"/>
    <w:rsid w:val="007E592A"/>
    <w:rsid w:val="007F0F7A"/>
    <w:rsid w:val="007F1251"/>
    <w:rsid w:val="0080245F"/>
    <w:rsid w:val="00807F87"/>
    <w:rsid w:val="00811782"/>
    <w:rsid w:val="00814A3C"/>
    <w:rsid w:val="008157F5"/>
    <w:rsid w:val="008236B6"/>
    <w:rsid w:val="008261DF"/>
    <w:rsid w:val="008365CD"/>
    <w:rsid w:val="008411B1"/>
    <w:rsid w:val="0087347B"/>
    <w:rsid w:val="00877E24"/>
    <w:rsid w:val="00882FEC"/>
    <w:rsid w:val="00884FE7"/>
    <w:rsid w:val="0088640D"/>
    <w:rsid w:val="00886450"/>
    <w:rsid w:val="008B59C5"/>
    <w:rsid w:val="008B7357"/>
    <w:rsid w:val="008C54C0"/>
    <w:rsid w:val="008C5FF1"/>
    <w:rsid w:val="008C7FD6"/>
    <w:rsid w:val="008D2C06"/>
    <w:rsid w:val="008F37D6"/>
    <w:rsid w:val="008F3CC7"/>
    <w:rsid w:val="008F4E16"/>
    <w:rsid w:val="008F7600"/>
    <w:rsid w:val="0090131E"/>
    <w:rsid w:val="00901B47"/>
    <w:rsid w:val="00910EE1"/>
    <w:rsid w:val="0091484A"/>
    <w:rsid w:val="00915B07"/>
    <w:rsid w:val="00922DE1"/>
    <w:rsid w:val="0092427D"/>
    <w:rsid w:val="009339DD"/>
    <w:rsid w:val="00936FCF"/>
    <w:rsid w:val="00937211"/>
    <w:rsid w:val="00940900"/>
    <w:rsid w:val="009422CC"/>
    <w:rsid w:val="0095409B"/>
    <w:rsid w:val="00957F79"/>
    <w:rsid w:val="00960B3E"/>
    <w:rsid w:val="00962BF3"/>
    <w:rsid w:val="009639E1"/>
    <w:rsid w:val="009646EB"/>
    <w:rsid w:val="00967FF2"/>
    <w:rsid w:val="00970254"/>
    <w:rsid w:val="009702FA"/>
    <w:rsid w:val="009703CA"/>
    <w:rsid w:val="00972F46"/>
    <w:rsid w:val="0097476C"/>
    <w:rsid w:val="00982188"/>
    <w:rsid w:val="00984C13"/>
    <w:rsid w:val="00986CAC"/>
    <w:rsid w:val="00992DEC"/>
    <w:rsid w:val="00995CFC"/>
    <w:rsid w:val="00997C9A"/>
    <w:rsid w:val="00997D14"/>
    <w:rsid w:val="009A76ED"/>
    <w:rsid w:val="009B04A7"/>
    <w:rsid w:val="009B0695"/>
    <w:rsid w:val="009B6516"/>
    <w:rsid w:val="009C07D8"/>
    <w:rsid w:val="009C194C"/>
    <w:rsid w:val="009E08DD"/>
    <w:rsid w:val="009E282D"/>
    <w:rsid w:val="009E4EB1"/>
    <w:rsid w:val="009F060B"/>
    <w:rsid w:val="009F3905"/>
    <w:rsid w:val="009F6379"/>
    <w:rsid w:val="00A004C6"/>
    <w:rsid w:val="00A03A6B"/>
    <w:rsid w:val="00A1343D"/>
    <w:rsid w:val="00A27D27"/>
    <w:rsid w:val="00A342AB"/>
    <w:rsid w:val="00A36648"/>
    <w:rsid w:val="00A4294C"/>
    <w:rsid w:val="00A43002"/>
    <w:rsid w:val="00A50A29"/>
    <w:rsid w:val="00A51573"/>
    <w:rsid w:val="00A5473E"/>
    <w:rsid w:val="00A56E07"/>
    <w:rsid w:val="00A61FF4"/>
    <w:rsid w:val="00A729F2"/>
    <w:rsid w:val="00A731FB"/>
    <w:rsid w:val="00A7526A"/>
    <w:rsid w:val="00A7578A"/>
    <w:rsid w:val="00A77B25"/>
    <w:rsid w:val="00A8378B"/>
    <w:rsid w:val="00A96752"/>
    <w:rsid w:val="00A96771"/>
    <w:rsid w:val="00A9719E"/>
    <w:rsid w:val="00A971EA"/>
    <w:rsid w:val="00A97ECA"/>
    <w:rsid w:val="00AA06B6"/>
    <w:rsid w:val="00AA6092"/>
    <w:rsid w:val="00AC2EE3"/>
    <w:rsid w:val="00AD0037"/>
    <w:rsid w:val="00AD129B"/>
    <w:rsid w:val="00AD3084"/>
    <w:rsid w:val="00AF45E4"/>
    <w:rsid w:val="00B0237A"/>
    <w:rsid w:val="00B20C4C"/>
    <w:rsid w:val="00B2298E"/>
    <w:rsid w:val="00B34CF7"/>
    <w:rsid w:val="00B35F76"/>
    <w:rsid w:val="00B4198F"/>
    <w:rsid w:val="00B45845"/>
    <w:rsid w:val="00B460AC"/>
    <w:rsid w:val="00B52817"/>
    <w:rsid w:val="00B6291A"/>
    <w:rsid w:val="00B630B8"/>
    <w:rsid w:val="00B65785"/>
    <w:rsid w:val="00B66D8E"/>
    <w:rsid w:val="00B71C53"/>
    <w:rsid w:val="00B731CC"/>
    <w:rsid w:val="00B739AE"/>
    <w:rsid w:val="00B81511"/>
    <w:rsid w:val="00B84C8E"/>
    <w:rsid w:val="00B84D37"/>
    <w:rsid w:val="00B91653"/>
    <w:rsid w:val="00BA0D13"/>
    <w:rsid w:val="00BA2143"/>
    <w:rsid w:val="00BC1B10"/>
    <w:rsid w:val="00BC3DEE"/>
    <w:rsid w:val="00BD27AA"/>
    <w:rsid w:val="00BD2E20"/>
    <w:rsid w:val="00BE05F0"/>
    <w:rsid w:val="00BE3AD2"/>
    <w:rsid w:val="00BE450A"/>
    <w:rsid w:val="00BE5E20"/>
    <w:rsid w:val="00BE7599"/>
    <w:rsid w:val="00BF1371"/>
    <w:rsid w:val="00BF5436"/>
    <w:rsid w:val="00BF6A5F"/>
    <w:rsid w:val="00BF7DD7"/>
    <w:rsid w:val="00C008CB"/>
    <w:rsid w:val="00C025AD"/>
    <w:rsid w:val="00C02EE2"/>
    <w:rsid w:val="00C12240"/>
    <w:rsid w:val="00C31452"/>
    <w:rsid w:val="00C4673F"/>
    <w:rsid w:val="00C503C4"/>
    <w:rsid w:val="00C50DAB"/>
    <w:rsid w:val="00C51C09"/>
    <w:rsid w:val="00C53C60"/>
    <w:rsid w:val="00C601D1"/>
    <w:rsid w:val="00C6274D"/>
    <w:rsid w:val="00C652DF"/>
    <w:rsid w:val="00C75348"/>
    <w:rsid w:val="00C7779C"/>
    <w:rsid w:val="00C95AFC"/>
    <w:rsid w:val="00C97355"/>
    <w:rsid w:val="00CA402E"/>
    <w:rsid w:val="00CA4EC9"/>
    <w:rsid w:val="00CB10CC"/>
    <w:rsid w:val="00CB4CBA"/>
    <w:rsid w:val="00CB4E84"/>
    <w:rsid w:val="00CB51D5"/>
    <w:rsid w:val="00CC4070"/>
    <w:rsid w:val="00CD2602"/>
    <w:rsid w:val="00CD6528"/>
    <w:rsid w:val="00CE7355"/>
    <w:rsid w:val="00CF3A23"/>
    <w:rsid w:val="00CF4021"/>
    <w:rsid w:val="00CF6A9A"/>
    <w:rsid w:val="00D00CC0"/>
    <w:rsid w:val="00D01826"/>
    <w:rsid w:val="00D10E31"/>
    <w:rsid w:val="00D2105B"/>
    <w:rsid w:val="00D2566F"/>
    <w:rsid w:val="00D262C6"/>
    <w:rsid w:val="00D26B8E"/>
    <w:rsid w:val="00D30014"/>
    <w:rsid w:val="00D33BA2"/>
    <w:rsid w:val="00D34720"/>
    <w:rsid w:val="00D35F92"/>
    <w:rsid w:val="00D40304"/>
    <w:rsid w:val="00D44E46"/>
    <w:rsid w:val="00D551F7"/>
    <w:rsid w:val="00D61C81"/>
    <w:rsid w:val="00D71D22"/>
    <w:rsid w:val="00D854EE"/>
    <w:rsid w:val="00D91591"/>
    <w:rsid w:val="00DA117E"/>
    <w:rsid w:val="00DA3661"/>
    <w:rsid w:val="00DA620B"/>
    <w:rsid w:val="00DA6D1D"/>
    <w:rsid w:val="00DB0641"/>
    <w:rsid w:val="00DB0ABF"/>
    <w:rsid w:val="00DB21AB"/>
    <w:rsid w:val="00DB257D"/>
    <w:rsid w:val="00DB5ACE"/>
    <w:rsid w:val="00DC22C9"/>
    <w:rsid w:val="00DD2A2D"/>
    <w:rsid w:val="00DD3883"/>
    <w:rsid w:val="00DD6B17"/>
    <w:rsid w:val="00DD7544"/>
    <w:rsid w:val="00DE33AF"/>
    <w:rsid w:val="00DE7750"/>
    <w:rsid w:val="00DF6748"/>
    <w:rsid w:val="00E04C6E"/>
    <w:rsid w:val="00E075D3"/>
    <w:rsid w:val="00E0774A"/>
    <w:rsid w:val="00E2519B"/>
    <w:rsid w:val="00E3254D"/>
    <w:rsid w:val="00E326E8"/>
    <w:rsid w:val="00E32F58"/>
    <w:rsid w:val="00E372D4"/>
    <w:rsid w:val="00E440EE"/>
    <w:rsid w:val="00E527F9"/>
    <w:rsid w:val="00E54C4C"/>
    <w:rsid w:val="00E5633A"/>
    <w:rsid w:val="00E61F88"/>
    <w:rsid w:val="00E71577"/>
    <w:rsid w:val="00E8494B"/>
    <w:rsid w:val="00E85AB8"/>
    <w:rsid w:val="00E935F2"/>
    <w:rsid w:val="00E95643"/>
    <w:rsid w:val="00EA05C0"/>
    <w:rsid w:val="00EA4F31"/>
    <w:rsid w:val="00EA5498"/>
    <w:rsid w:val="00EB07A7"/>
    <w:rsid w:val="00EB0B3A"/>
    <w:rsid w:val="00EB5FF1"/>
    <w:rsid w:val="00EB78EF"/>
    <w:rsid w:val="00ED3687"/>
    <w:rsid w:val="00ED470B"/>
    <w:rsid w:val="00ED74A1"/>
    <w:rsid w:val="00ED7E36"/>
    <w:rsid w:val="00EE13D8"/>
    <w:rsid w:val="00EE5989"/>
    <w:rsid w:val="00EE75F5"/>
    <w:rsid w:val="00EE78ED"/>
    <w:rsid w:val="00EF6B78"/>
    <w:rsid w:val="00F03FCB"/>
    <w:rsid w:val="00F05A80"/>
    <w:rsid w:val="00F05ACA"/>
    <w:rsid w:val="00F117B0"/>
    <w:rsid w:val="00F1686A"/>
    <w:rsid w:val="00F240EE"/>
    <w:rsid w:val="00F307BF"/>
    <w:rsid w:val="00F32702"/>
    <w:rsid w:val="00F332FE"/>
    <w:rsid w:val="00F3392E"/>
    <w:rsid w:val="00F4539E"/>
    <w:rsid w:val="00F466CF"/>
    <w:rsid w:val="00F47BD1"/>
    <w:rsid w:val="00F545D3"/>
    <w:rsid w:val="00F5476F"/>
    <w:rsid w:val="00F55732"/>
    <w:rsid w:val="00F622F9"/>
    <w:rsid w:val="00F66309"/>
    <w:rsid w:val="00F667E5"/>
    <w:rsid w:val="00F66D40"/>
    <w:rsid w:val="00F71374"/>
    <w:rsid w:val="00F74F2A"/>
    <w:rsid w:val="00F819D3"/>
    <w:rsid w:val="00FB022F"/>
    <w:rsid w:val="00FC17FC"/>
    <w:rsid w:val="00FC3BB0"/>
    <w:rsid w:val="00FC5F93"/>
    <w:rsid w:val="00FD1C6B"/>
    <w:rsid w:val="00FE1529"/>
    <w:rsid w:val="00FE2B5F"/>
    <w:rsid w:val="00FE7633"/>
    <w:rsid w:val="00FF4AF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72758FB6"/>
  <w15:chartTrackingRefBased/>
  <w15:docId w15:val="{E7C3585F-A84E-4D4E-9C1C-84CAFA7C8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157F5"/>
    <w:pPr>
      <w:tabs>
        <w:tab w:val="center" w:pos="4419"/>
        <w:tab w:val="right" w:pos="8838"/>
      </w:tabs>
    </w:pPr>
  </w:style>
  <w:style w:type="character" w:customStyle="1" w:styleId="EncabezadoCar">
    <w:name w:val="Encabezado Car"/>
    <w:basedOn w:val="Fuentedeprrafopredeter"/>
    <w:link w:val="Encabezado"/>
    <w:uiPriority w:val="99"/>
    <w:rsid w:val="008157F5"/>
  </w:style>
  <w:style w:type="paragraph" w:styleId="Piedepgina">
    <w:name w:val="footer"/>
    <w:basedOn w:val="Normal"/>
    <w:link w:val="PiedepginaCar"/>
    <w:uiPriority w:val="99"/>
    <w:unhideWhenUsed/>
    <w:rsid w:val="008157F5"/>
    <w:pPr>
      <w:tabs>
        <w:tab w:val="center" w:pos="4419"/>
        <w:tab w:val="right" w:pos="8838"/>
      </w:tabs>
    </w:pPr>
  </w:style>
  <w:style w:type="character" w:customStyle="1" w:styleId="PiedepginaCar">
    <w:name w:val="Pie de página Car"/>
    <w:basedOn w:val="Fuentedeprrafopredeter"/>
    <w:link w:val="Piedepgina"/>
    <w:uiPriority w:val="99"/>
    <w:rsid w:val="008157F5"/>
  </w:style>
  <w:style w:type="paragraph" w:styleId="Textosinformato">
    <w:name w:val="Plain Text"/>
    <w:basedOn w:val="Normal"/>
    <w:link w:val="TextosinformatoCar"/>
    <w:uiPriority w:val="99"/>
    <w:unhideWhenUsed/>
    <w:rsid w:val="008157F5"/>
    <w:rPr>
      <w:rFonts w:ascii="Consolas" w:hAnsi="Consolas" w:cs="Consolas"/>
      <w:sz w:val="21"/>
      <w:szCs w:val="21"/>
    </w:rPr>
  </w:style>
  <w:style w:type="character" w:customStyle="1" w:styleId="TextosinformatoCar">
    <w:name w:val="Texto sin formato Car"/>
    <w:basedOn w:val="Fuentedeprrafopredeter"/>
    <w:link w:val="Textosinformato"/>
    <w:uiPriority w:val="99"/>
    <w:rsid w:val="008157F5"/>
    <w:rPr>
      <w:rFonts w:ascii="Consolas" w:hAnsi="Consolas" w:cs="Consolas"/>
      <w:sz w:val="21"/>
      <w:szCs w:val="21"/>
    </w:rPr>
  </w:style>
  <w:style w:type="paragraph" w:styleId="Sinespaciado">
    <w:name w:val="No Spacing"/>
    <w:uiPriority w:val="1"/>
    <w:qFormat/>
    <w:rsid w:val="00525D9E"/>
    <w:rPr>
      <w:rFonts w:ascii="Calibri" w:eastAsia="Times New Roman" w:hAnsi="Calibri" w:cs="Times New Roman"/>
      <w:sz w:val="22"/>
      <w:szCs w:val="22"/>
      <w:lang w:eastAsia="es-MX"/>
    </w:rPr>
  </w:style>
  <w:style w:type="paragraph" w:styleId="Prrafodelista">
    <w:name w:val="List Paragraph"/>
    <w:basedOn w:val="Normal"/>
    <w:link w:val="PrrafodelistaCar"/>
    <w:uiPriority w:val="34"/>
    <w:qFormat/>
    <w:rsid w:val="00525D9E"/>
    <w:pPr>
      <w:spacing w:after="160" w:line="259" w:lineRule="auto"/>
      <w:ind w:left="720"/>
      <w:contextualSpacing/>
    </w:pPr>
    <w:rPr>
      <w:sz w:val="22"/>
      <w:szCs w:val="22"/>
    </w:rPr>
  </w:style>
  <w:style w:type="paragraph" w:styleId="Textoindependiente">
    <w:name w:val="Body Text"/>
    <w:basedOn w:val="Normal"/>
    <w:link w:val="TextoindependienteCar"/>
    <w:uiPriority w:val="1"/>
    <w:qFormat/>
    <w:rsid w:val="00525D9E"/>
    <w:pPr>
      <w:widowControl w:val="0"/>
      <w:autoSpaceDE w:val="0"/>
      <w:autoSpaceDN w:val="0"/>
      <w:adjustRightInd w:val="0"/>
    </w:pPr>
    <w:rPr>
      <w:rFonts w:ascii="Arial" w:eastAsiaTheme="minorEastAsia" w:hAnsi="Arial" w:cs="Arial"/>
      <w:sz w:val="25"/>
      <w:szCs w:val="25"/>
      <w:lang w:eastAsia="es-MX"/>
    </w:rPr>
  </w:style>
  <w:style w:type="character" w:customStyle="1" w:styleId="TextoindependienteCar">
    <w:name w:val="Texto independiente Car"/>
    <w:basedOn w:val="Fuentedeprrafopredeter"/>
    <w:link w:val="Textoindependiente"/>
    <w:uiPriority w:val="99"/>
    <w:rsid w:val="00525D9E"/>
    <w:rPr>
      <w:rFonts w:ascii="Arial" w:eastAsiaTheme="minorEastAsia" w:hAnsi="Arial" w:cs="Arial"/>
      <w:sz w:val="25"/>
      <w:szCs w:val="25"/>
      <w:lang w:eastAsia="es-MX"/>
    </w:rPr>
  </w:style>
  <w:style w:type="character" w:styleId="Textoennegrita">
    <w:name w:val="Strong"/>
    <w:basedOn w:val="Fuentedeprrafopredeter"/>
    <w:uiPriority w:val="22"/>
    <w:qFormat/>
    <w:rsid w:val="00525D9E"/>
    <w:rPr>
      <w:b/>
      <w:bCs/>
    </w:rPr>
  </w:style>
  <w:style w:type="character" w:customStyle="1" w:styleId="PrrafodelistaCar">
    <w:name w:val="Párrafo de lista Car"/>
    <w:link w:val="Prrafodelista"/>
    <w:uiPriority w:val="34"/>
    <w:rsid w:val="00525D9E"/>
    <w:rPr>
      <w:sz w:val="22"/>
      <w:szCs w:val="22"/>
    </w:rPr>
  </w:style>
  <w:style w:type="paragraph" w:styleId="Textonotapie">
    <w:name w:val="footnote text"/>
    <w:basedOn w:val="Normal"/>
    <w:link w:val="TextonotapieCar"/>
    <w:uiPriority w:val="99"/>
    <w:semiHidden/>
    <w:unhideWhenUsed/>
    <w:rsid w:val="00525D9E"/>
    <w:rPr>
      <w:sz w:val="20"/>
      <w:szCs w:val="20"/>
    </w:rPr>
  </w:style>
  <w:style w:type="character" w:customStyle="1" w:styleId="TextonotapieCar">
    <w:name w:val="Texto nota pie Car"/>
    <w:basedOn w:val="Fuentedeprrafopredeter"/>
    <w:link w:val="Textonotapie"/>
    <w:uiPriority w:val="99"/>
    <w:semiHidden/>
    <w:rsid w:val="00525D9E"/>
    <w:rPr>
      <w:sz w:val="20"/>
      <w:szCs w:val="20"/>
    </w:rPr>
  </w:style>
  <w:style w:type="character" w:styleId="Refdenotaalpie">
    <w:name w:val="footnote reference"/>
    <w:basedOn w:val="Fuentedeprrafopredeter"/>
    <w:uiPriority w:val="99"/>
    <w:semiHidden/>
    <w:unhideWhenUsed/>
    <w:rsid w:val="00525D9E"/>
    <w:rPr>
      <w:vertAlign w:val="superscript"/>
    </w:rPr>
  </w:style>
  <w:style w:type="paragraph" w:customStyle="1" w:styleId="Default">
    <w:name w:val="Default"/>
    <w:rsid w:val="002707EE"/>
    <w:pPr>
      <w:autoSpaceDE w:val="0"/>
      <w:autoSpaceDN w:val="0"/>
      <w:adjustRightInd w:val="0"/>
    </w:pPr>
    <w:rPr>
      <w:rFonts w:ascii="Helvetica Neue" w:hAnsi="Helvetica Neue" w:cs="Helvetica Neue"/>
      <w:color w:val="000000"/>
    </w:rPr>
  </w:style>
  <w:style w:type="paragraph" w:styleId="Textodeglobo">
    <w:name w:val="Balloon Text"/>
    <w:basedOn w:val="Normal"/>
    <w:link w:val="TextodegloboCar"/>
    <w:uiPriority w:val="99"/>
    <w:semiHidden/>
    <w:unhideWhenUsed/>
    <w:rsid w:val="002707E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707EE"/>
    <w:rPr>
      <w:rFonts w:ascii="Segoe UI" w:hAnsi="Segoe UI" w:cs="Segoe UI"/>
      <w:sz w:val="18"/>
      <w:szCs w:val="18"/>
    </w:rPr>
  </w:style>
  <w:style w:type="character" w:styleId="Hipervnculo">
    <w:name w:val="Hyperlink"/>
    <w:basedOn w:val="Fuentedeprrafopredeter"/>
    <w:uiPriority w:val="99"/>
    <w:unhideWhenUsed/>
    <w:rsid w:val="002E0A1A"/>
    <w:rPr>
      <w:color w:val="0000FF"/>
      <w:u w:val="single"/>
    </w:rPr>
  </w:style>
  <w:style w:type="paragraph" w:styleId="Textonotaalfinal">
    <w:name w:val="endnote text"/>
    <w:basedOn w:val="Normal"/>
    <w:link w:val="TextonotaalfinalCar"/>
    <w:uiPriority w:val="99"/>
    <w:semiHidden/>
    <w:unhideWhenUsed/>
    <w:rsid w:val="008C54C0"/>
    <w:rPr>
      <w:sz w:val="20"/>
      <w:szCs w:val="20"/>
    </w:rPr>
  </w:style>
  <w:style w:type="character" w:customStyle="1" w:styleId="TextonotaalfinalCar">
    <w:name w:val="Texto nota al final Car"/>
    <w:basedOn w:val="Fuentedeprrafopredeter"/>
    <w:link w:val="Textonotaalfinal"/>
    <w:uiPriority w:val="99"/>
    <w:semiHidden/>
    <w:rsid w:val="008C54C0"/>
    <w:rPr>
      <w:sz w:val="20"/>
      <w:szCs w:val="20"/>
    </w:rPr>
  </w:style>
  <w:style w:type="character" w:styleId="Refdenotaalfinal">
    <w:name w:val="endnote reference"/>
    <w:basedOn w:val="Fuentedeprrafopredeter"/>
    <w:uiPriority w:val="99"/>
    <w:semiHidden/>
    <w:unhideWhenUsed/>
    <w:rsid w:val="008C54C0"/>
    <w:rPr>
      <w:vertAlign w:val="superscript"/>
    </w:rPr>
  </w:style>
  <w:style w:type="character" w:styleId="Mencinsinresolver">
    <w:name w:val="Unresolved Mention"/>
    <w:basedOn w:val="Fuentedeprrafopredeter"/>
    <w:uiPriority w:val="99"/>
    <w:semiHidden/>
    <w:unhideWhenUsed/>
    <w:rsid w:val="008C54C0"/>
    <w:rPr>
      <w:color w:val="605E5C"/>
      <w:shd w:val="clear" w:color="auto" w:fill="E1DFDD"/>
    </w:rPr>
  </w:style>
  <w:style w:type="paragraph" w:styleId="NormalWeb">
    <w:name w:val="Normal (Web)"/>
    <w:basedOn w:val="Normal"/>
    <w:uiPriority w:val="99"/>
    <w:semiHidden/>
    <w:unhideWhenUsed/>
    <w:rsid w:val="00AA06B6"/>
    <w:pPr>
      <w:spacing w:before="100" w:beforeAutospacing="1" w:after="100" w:afterAutospacing="1"/>
    </w:pPr>
    <w:rPr>
      <w:rFonts w:ascii="Times New Roman" w:eastAsia="Times New Roman" w:hAnsi="Times New Roman" w:cs="Times New Roman"/>
      <w:lang w:eastAsia="es-MX"/>
    </w:rPr>
  </w:style>
  <w:style w:type="paragraph" w:customStyle="1" w:styleId="footnotedescription">
    <w:name w:val="footnote description"/>
    <w:next w:val="Normal"/>
    <w:link w:val="footnotedescriptionChar"/>
    <w:hidden/>
    <w:rsid w:val="002766AE"/>
    <w:pPr>
      <w:spacing w:line="259" w:lineRule="auto"/>
    </w:pPr>
    <w:rPr>
      <w:rFonts w:ascii="Arial" w:eastAsia="Arial" w:hAnsi="Arial" w:cs="Arial"/>
      <w:color w:val="000000"/>
      <w:sz w:val="20"/>
      <w:szCs w:val="22"/>
      <w:lang w:eastAsia="es-MX"/>
    </w:rPr>
  </w:style>
  <w:style w:type="character" w:customStyle="1" w:styleId="footnotedescriptionChar">
    <w:name w:val="footnote description Char"/>
    <w:link w:val="footnotedescription"/>
    <w:rsid w:val="002766AE"/>
    <w:rPr>
      <w:rFonts w:ascii="Arial" w:eastAsia="Arial" w:hAnsi="Arial" w:cs="Arial"/>
      <w:color w:val="000000"/>
      <w:sz w:val="20"/>
      <w:szCs w:val="22"/>
      <w:lang w:eastAsia="es-MX"/>
    </w:rPr>
  </w:style>
  <w:style w:type="character" w:customStyle="1" w:styleId="footnotemark">
    <w:name w:val="footnote mark"/>
    <w:hidden/>
    <w:rsid w:val="002766AE"/>
    <w:rPr>
      <w:rFonts w:ascii="Arial" w:eastAsia="Arial" w:hAnsi="Arial" w:cs="Arial"/>
      <w:color w:val="000000"/>
      <w:sz w:val="20"/>
      <w:vertAlign w:val="superscript"/>
    </w:rPr>
  </w:style>
  <w:style w:type="character" w:customStyle="1" w:styleId="EstiloCar">
    <w:name w:val="Estilo Car"/>
    <w:link w:val="Estilo"/>
    <w:locked/>
    <w:rsid w:val="007E15E5"/>
    <w:rPr>
      <w:rFonts w:ascii="Arial" w:eastAsia="Calibri" w:hAnsi="Arial" w:cs="Arial"/>
      <w:szCs w:val="22"/>
    </w:rPr>
  </w:style>
  <w:style w:type="paragraph" w:customStyle="1" w:styleId="Estilo">
    <w:name w:val="Estilo"/>
    <w:basedOn w:val="Sinespaciado"/>
    <w:link w:val="EstiloCar"/>
    <w:qFormat/>
    <w:rsid w:val="007E15E5"/>
    <w:pPr>
      <w:jc w:val="both"/>
    </w:pPr>
    <w:rPr>
      <w:rFonts w:ascii="Arial" w:eastAsia="Calibri" w:hAnsi="Arial" w:cs="Arial"/>
      <w:sz w:val="24"/>
      <w:lang w:eastAsia="en-US"/>
    </w:rPr>
  </w:style>
  <w:style w:type="numbering" w:customStyle="1" w:styleId="Estilo18">
    <w:name w:val="Estilo18"/>
    <w:uiPriority w:val="99"/>
    <w:rsid w:val="00ED74A1"/>
    <w:pPr>
      <w:numPr>
        <w:numId w:val="25"/>
      </w:numPr>
    </w:pPr>
  </w:style>
  <w:style w:type="numbering" w:customStyle="1" w:styleId="Estilo19">
    <w:name w:val="Estilo19"/>
    <w:uiPriority w:val="99"/>
    <w:rsid w:val="00BA0D13"/>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19618">
      <w:bodyDiv w:val="1"/>
      <w:marLeft w:val="0"/>
      <w:marRight w:val="0"/>
      <w:marTop w:val="0"/>
      <w:marBottom w:val="0"/>
      <w:divBdr>
        <w:top w:val="none" w:sz="0" w:space="0" w:color="auto"/>
        <w:left w:val="none" w:sz="0" w:space="0" w:color="auto"/>
        <w:bottom w:val="none" w:sz="0" w:space="0" w:color="auto"/>
        <w:right w:val="none" w:sz="0" w:space="0" w:color="auto"/>
      </w:divBdr>
    </w:div>
    <w:div w:id="63380999">
      <w:bodyDiv w:val="1"/>
      <w:marLeft w:val="0"/>
      <w:marRight w:val="0"/>
      <w:marTop w:val="0"/>
      <w:marBottom w:val="0"/>
      <w:divBdr>
        <w:top w:val="none" w:sz="0" w:space="0" w:color="auto"/>
        <w:left w:val="none" w:sz="0" w:space="0" w:color="auto"/>
        <w:bottom w:val="none" w:sz="0" w:space="0" w:color="auto"/>
        <w:right w:val="none" w:sz="0" w:space="0" w:color="auto"/>
      </w:divBdr>
    </w:div>
    <w:div w:id="143202425">
      <w:bodyDiv w:val="1"/>
      <w:marLeft w:val="0"/>
      <w:marRight w:val="0"/>
      <w:marTop w:val="0"/>
      <w:marBottom w:val="0"/>
      <w:divBdr>
        <w:top w:val="none" w:sz="0" w:space="0" w:color="auto"/>
        <w:left w:val="none" w:sz="0" w:space="0" w:color="auto"/>
        <w:bottom w:val="none" w:sz="0" w:space="0" w:color="auto"/>
        <w:right w:val="none" w:sz="0" w:space="0" w:color="auto"/>
      </w:divBdr>
    </w:div>
    <w:div w:id="156458819">
      <w:bodyDiv w:val="1"/>
      <w:marLeft w:val="0"/>
      <w:marRight w:val="0"/>
      <w:marTop w:val="0"/>
      <w:marBottom w:val="0"/>
      <w:divBdr>
        <w:top w:val="none" w:sz="0" w:space="0" w:color="auto"/>
        <w:left w:val="none" w:sz="0" w:space="0" w:color="auto"/>
        <w:bottom w:val="none" w:sz="0" w:space="0" w:color="auto"/>
        <w:right w:val="none" w:sz="0" w:space="0" w:color="auto"/>
      </w:divBdr>
    </w:div>
    <w:div w:id="344022771">
      <w:bodyDiv w:val="1"/>
      <w:marLeft w:val="0"/>
      <w:marRight w:val="0"/>
      <w:marTop w:val="0"/>
      <w:marBottom w:val="0"/>
      <w:divBdr>
        <w:top w:val="none" w:sz="0" w:space="0" w:color="auto"/>
        <w:left w:val="none" w:sz="0" w:space="0" w:color="auto"/>
        <w:bottom w:val="none" w:sz="0" w:space="0" w:color="auto"/>
        <w:right w:val="none" w:sz="0" w:space="0" w:color="auto"/>
      </w:divBdr>
    </w:div>
    <w:div w:id="439842281">
      <w:bodyDiv w:val="1"/>
      <w:marLeft w:val="0"/>
      <w:marRight w:val="0"/>
      <w:marTop w:val="0"/>
      <w:marBottom w:val="0"/>
      <w:divBdr>
        <w:top w:val="none" w:sz="0" w:space="0" w:color="auto"/>
        <w:left w:val="none" w:sz="0" w:space="0" w:color="auto"/>
        <w:bottom w:val="none" w:sz="0" w:space="0" w:color="auto"/>
        <w:right w:val="none" w:sz="0" w:space="0" w:color="auto"/>
      </w:divBdr>
    </w:div>
    <w:div w:id="454565018">
      <w:bodyDiv w:val="1"/>
      <w:marLeft w:val="0"/>
      <w:marRight w:val="0"/>
      <w:marTop w:val="0"/>
      <w:marBottom w:val="0"/>
      <w:divBdr>
        <w:top w:val="none" w:sz="0" w:space="0" w:color="auto"/>
        <w:left w:val="none" w:sz="0" w:space="0" w:color="auto"/>
        <w:bottom w:val="none" w:sz="0" w:space="0" w:color="auto"/>
        <w:right w:val="none" w:sz="0" w:space="0" w:color="auto"/>
      </w:divBdr>
    </w:div>
    <w:div w:id="464664711">
      <w:bodyDiv w:val="1"/>
      <w:marLeft w:val="0"/>
      <w:marRight w:val="0"/>
      <w:marTop w:val="0"/>
      <w:marBottom w:val="0"/>
      <w:divBdr>
        <w:top w:val="none" w:sz="0" w:space="0" w:color="auto"/>
        <w:left w:val="none" w:sz="0" w:space="0" w:color="auto"/>
        <w:bottom w:val="none" w:sz="0" w:space="0" w:color="auto"/>
        <w:right w:val="none" w:sz="0" w:space="0" w:color="auto"/>
      </w:divBdr>
    </w:div>
    <w:div w:id="479231395">
      <w:bodyDiv w:val="1"/>
      <w:marLeft w:val="0"/>
      <w:marRight w:val="0"/>
      <w:marTop w:val="0"/>
      <w:marBottom w:val="0"/>
      <w:divBdr>
        <w:top w:val="none" w:sz="0" w:space="0" w:color="auto"/>
        <w:left w:val="none" w:sz="0" w:space="0" w:color="auto"/>
        <w:bottom w:val="none" w:sz="0" w:space="0" w:color="auto"/>
        <w:right w:val="none" w:sz="0" w:space="0" w:color="auto"/>
      </w:divBdr>
    </w:div>
    <w:div w:id="601957601">
      <w:bodyDiv w:val="1"/>
      <w:marLeft w:val="0"/>
      <w:marRight w:val="0"/>
      <w:marTop w:val="0"/>
      <w:marBottom w:val="0"/>
      <w:divBdr>
        <w:top w:val="none" w:sz="0" w:space="0" w:color="auto"/>
        <w:left w:val="none" w:sz="0" w:space="0" w:color="auto"/>
        <w:bottom w:val="none" w:sz="0" w:space="0" w:color="auto"/>
        <w:right w:val="none" w:sz="0" w:space="0" w:color="auto"/>
      </w:divBdr>
    </w:div>
    <w:div w:id="777987197">
      <w:bodyDiv w:val="1"/>
      <w:marLeft w:val="0"/>
      <w:marRight w:val="0"/>
      <w:marTop w:val="0"/>
      <w:marBottom w:val="0"/>
      <w:divBdr>
        <w:top w:val="none" w:sz="0" w:space="0" w:color="auto"/>
        <w:left w:val="none" w:sz="0" w:space="0" w:color="auto"/>
        <w:bottom w:val="none" w:sz="0" w:space="0" w:color="auto"/>
        <w:right w:val="none" w:sz="0" w:space="0" w:color="auto"/>
      </w:divBdr>
    </w:div>
    <w:div w:id="786504403">
      <w:bodyDiv w:val="1"/>
      <w:marLeft w:val="0"/>
      <w:marRight w:val="0"/>
      <w:marTop w:val="0"/>
      <w:marBottom w:val="0"/>
      <w:divBdr>
        <w:top w:val="none" w:sz="0" w:space="0" w:color="auto"/>
        <w:left w:val="none" w:sz="0" w:space="0" w:color="auto"/>
        <w:bottom w:val="none" w:sz="0" w:space="0" w:color="auto"/>
        <w:right w:val="none" w:sz="0" w:space="0" w:color="auto"/>
      </w:divBdr>
    </w:div>
    <w:div w:id="855462741">
      <w:bodyDiv w:val="1"/>
      <w:marLeft w:val="0"/>
      <w:marRight w:val="0"/>
      <w:marTop w:val="0"/>
      <w:marBottom w:val="0"/>
      <w:divBdr>
        <w:top w:val="none" w:sz="0" w:space="0" w:color="auto"/>
        <w:left w:val="none" w:sz="0" w:space="0" w:color="auto"/>
        <w:bottom w:val="none" w:sz="0" w:space="0" w:color="auto"/>
        <w:right w:val="none" w:sz="0" w:space="0" w:color="auto"/>
      </w:divBdr>
    </w:div>
    <w:div w:id="857430262">
      <w:bodyDiv w:val="1"/>
      <w:marLeft w:val="0"/>
      <w:marRight w:val="0"/>
      <w:marTop w:val="0"/>
      <w:marBottom w:val="0"/>
      <w:divBdr>
        <w:top w:val="none" w:sz="0" w:space="0" w:color="auto"/>
        <w:left w:val="none" w:sz="0" w:space="0" w:color="auto"/>
        <w:bottom w:val="none" w:sz="0" w:space="0" w:color="auto"/>
        <w:right w:val="none" w:sz="0" w:space="0" w:color="auto"/>
      </w:divBdr>
    </w:div>
    <w:div w:id="919679783">
      <w:bodyDiv w:val="1"/>
      <w:marLeft w:val="0"/>
      <w:marRight w:val="0"/>
      <w:marTop w:val="0"/>
      <w:marBottom w:val="0"/>
      <w:divBdr>
        <w:top w:val="none" w:sz="0" w:space="0" w:color="auto"/>
        <w:left w:val="none" w:sz="0" w:space="0" w:color="auto"/>
        <w:bottom w:val="none" w:sz="0" w:space="0" w:color="auto"/>
        <w:right w:val="none" w:sz="0" w:space="0" w:color="auto"/>
      </w:divBdr>
    </w:div>
    <w:div w:id="1052075489">
      <w:bodyDiv w:val="1"/>
      <w:marLeft w:val="0"/>
      <w:marRight w:val="0"/>
      <w:marTop w:val="0"/>
      <w:marBottom w:val="0"/>
      <w:divBdr>
        <w:top w:val="none" w:sz="0" w:space="0" w:color="auto"/>
        <w:left w:val="none" w:sz="0" w:space="0" w:color="auto"/>
        <w:bottom w:val="none" w:sz="0" w:space="0" w:color="auto"/>
        <w:right w:val="none" w:sz="0" w:space="0" w:color="auto"/>
      </w:divBdr>
    </w:div>
    <w:div w:id="1061709288">
      <w:bodyDiv w:val="1"/>
      <w:marLeft w:val="0"/>
      <w:marRight w:val="0"/>
      <w:marTop w:val="0"/>
      <w:marBottom w:val="0"/>
      <w:divBdr>
        <w:top w:val="none" w:sz="0" w:space="0" w:color="auto"/>
        <w:left w:val="none" w:sz="0" w:space="0" w:color="auto"/>
        <w:bottom w:val="none" w:sz="0" w:space="0" w:color="auto"/>
        <w:right w:val="none" w:sz="0" w:space="0" w:color="auto"/>
      </w:divBdr>
    </w:div>
    <w:div w:id="1088043759">
      <w:bodyDiv w:val="1"/>
      <w:marLeft w:val="0"/>
      <w:marRight w:val="0"/>
      <w:marTop w:val="0"/>
      <w:marBottom w:val="0"/>
      <w:divBdr>
        <w:top w:val="none" w:sz="0" w:space="0" w:color="auto"/>
        <w:left w:val="none" w:sz="0" w:space="0" w:color="auto"/>
        <w:bottom w:val="none" w:sz="0" w:space="0" w:color="auto"/>
        <w:right w:val="none" w:sz="0" w:space="0" w:color="auto"/>
      </w:divBdr>
    </w:div>
    <w:div w:id="1097166937">
      <w:bodyDiv w:val="1"/>
      <w:marLeft w:val="0"/>
      <w:marRight w:val="0"/>
      <w:marTop w:val="0"/>
      <w:marBottom w:val="0"/>
      <w:divBdr>
        <w:top w:val="none" w:sz="0" w:space="0" w:color="auto"/>
        <w:left w:val="none" w:sz="0" w:space="0" w:color="auto"/>
        <w:bottom w:val="none" w:sz="0" w:space="0" w:color="auto"/>
        <w:right w:val="none" w:sz="0" w:space="0" w:color="auto"/>
      </w:divBdr>
    </w:div>
    <w:div w:id="1170372696">
      <w:bodyDiv w:val="1"/>
      <w:marLeft w:val="0"/>
      <w:marRight w:val="0"/>
      <w:marTop w:val="0"/>
      <w:marBottom w:val="0"/>
      <w:divBdr>
        <w:top w:val="none" w:sz="0" w:space="0" w:color="auto"/>
        <w:left w:val="none" w:sz="0" w:space="0" w:color="auto"/>
        <w:bottom w:val="none" w:sz="0" w:space="0" w:color="auto"/>
        <w:right w:val="none" w:sz="0" w:space="0" w:color="auto"/>
      </w:divBdr>
    </w:div>
    <w:div w:id="1780755015">
      <w:bodyDiv w:val="1"/>
      <w:marLeft w:val="0"/>
      <w:marRight w:val="0"/>
      <w:marTop w:val="0"/>
      <w:marBottom w:val="0"/>
      <w:divBdr>
        <w:top w:val="none" w:sz="0" w:space="0" w:color="auto"/>
        <w:left w:val="none" w:sz="0" w:space="0" w:color="auto"/>
        <w:bottom w:val="none" w:sz="0" w:space="0" w:color="auto"/>
        <w:right w:val="none" w:sz="0" w:space="0" w:color="auto"/>
      </w:divBdr>
    </w:div>
    <w:div w:id="2031487559">
      <w:bodyDiv w:val="1"/>
      <w:marLeft w:val="0"/>
      <w:marRight w:val="0"/>
      <w:marTop w:val="0"/>
      <w:marBottom w:val="0"/>
      <w:divBdr>
        <w:top w:val="none" w:sz="0" w:space="0" w:color="auto"/>
        <w:left w:val="none" w:sz="0" w:space="0" w:color="auto"/>
        <w:bottom w:val="none" w:sz="0" w:space="0" w:color="auto"/>
        <w:right w:val="none" w:sz="0" w:space="0" w:color="auto"/>
      </w:divBdr>
    </w:div>
    <w:div w:id="207750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coneval.org.mx/InformesPublicaciones/Documents/Diagnostico_2021/Fichas_Diagnostico_2021.pdf" TargetMode="External"/><Relationship Id="rId1" Type="http://schemas.openxmlformats.org/officeDocument/2006/relationships/hyperlink" Target="https://www.cndh.org.mx/sites/default/files/doc/Informes/Especiales/Pobreza_DH_SE_082018.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06405-EB99-425D-8A0A-407A35B70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Pages>
  <Words>8905</Words>
  <Characters>38296</Characters>
  <Application>Microsoft Office Word</Application>
  <DocSecurity>0</DocSecurity>
  <Lines>617</Lines>
  <Paragraphs>144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Herrera Godínez</dc:creator>
  <cp:keywords/>
  <dc:description/>
  <cp:lastModifiedBy>Mayra Alejandra Rodríguez Vázquez</cp:lastModifiedBy>
  <cp:revision>3</cp:revision>
  <cp:lastPrinted>2021-08-24T14:38:00Z</cp:lastPrinted>
  <dcterms:created xsi:type="dcterms:W3CDTF">2022-08-29T16:09:00Z</dcterms:created>
  <dcterms:modified xsi:type="dcterms:W3CDTF">2022-08-29T16:17:00Z</dcterms:modified>
</cp:coreProperties>
</file>