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D22A" w14:textId="44912E54" w:rsidR="00140344" w:rsidRPr="00772FFB" w:rsidRDefault="00140344" w:rsidP="00140344">
      <w:pPr>
        <w:spacing w:line="276" w:lineRule="auto"/>
        <w:jc w:val="both"/>
        <w:rPr>
          <w:rFonts w:ascii="Century Gothic" w:hAnsi="Century Gothic" w:cs="Arial"/>
          <w:b/>
        </w:rPr>
      </w:pPr>
      <w:r w:rsidRPr="00772FFB">
        <w:rPr>
          <w:rFonts w:ascii="Century Gothic" w:hAnsi="Century Gothic" w:cs="Arial"/>
          <w:b/>
        </w:rPr>
        <w:t>Presiden</w:t>
      </w:r>
      <w:r w:rsidR="00E23BF3">
        <w:rPr>
          <w:rFonts w:ascii="Century Gothic" w:hAnsi="Century Gothic" w:cs="Arial"/>
          <w:b/>
        </w:rPr>
        <w:t>cia</w:t>
      </w:r>
      <w:r w:rsidRPr="00772FFB">
        <w:rPr>
          <w:rFonts w:ascii="Century Gothic" w:hAnsi="Century Gothic" w:cs="Arial"/>
          <w:b/>
        </w:rPr>
        <w:t xml:space="preserve"> del Congreso del Estado</w:t>
      </w:r>
    </w:p>
    <w:p w14:paraId="11038248" w14:textId="77777777" w:rsidR="00140344" w:rsidRPr="00772FFB" w:rsidRDefault="00140344" w:rsidP="00140344">
      <w:pPr>
        <w:spacing w:line="276" w:lineRule="auto"/>
        <w:jc w:val="both"/>
        <w:rPr>
          <w:rFonts w:ascii="Century Gothic" w:hAnsi="Century Gothic" w:cs="Arial"/>
          <w:b/>
        </w:rPr>
      </w:pPr>
      <w:r w:rsidRPr="00772FFB">
        <w:rPr>
          <w:rFonts w:ascii="Century Gothic" w:hAnsi="Century Gothic" w:cs="Arial"/>
          <w:b/>
        </w:rPr>
        <w:t>P r e s e n t e.</w:t>
      </w:r>
    </w:p>
    <w:p w14:paraId="4EA9C2A5" w14:textId="77777777" w:rsidR="00140344" w:rsidRPr="00772FFB" w:rsidRDefault="00140344" w:rsidP="00140344">
      <w:pPr>
        <w:spacing w:line="276" w:lineRule="auto"/>
        <w:jc w:val="both"/>
        <w:rPr>
          <w:rFonts w:ascii="Century Gothic" w:hAnsi="Century Gothic" w:cs="Arial"/>
        </w:rPr>
      </w:pPr>
    </w:p>
    <w:p w14:paraId="619D2083" w14:textId="77777777" w:rsidR="00140344" w:rsidRPr="00772FFB" w:rsidRDefault="00140344" w:rsidP="00140344">
      <w:pPr>
        <w:spacing w:line="276" w:lineRule="auto"/>
        <w:ind w:firstLine="851"/>
        <w:jc w:val="both"/>
        <w:rPr>
          <w:rFonts w:ascii="Century Gothic" w:hAnsi="Century Gothic" w:cs="Arial"/>
        </w:rPr>
      </w:pPr>
    </w:p>
    <w:p w14:paraId="63F522FF" w14:textId="3627F1A3" w:rsidR="00140344" w:rsidRPr="00772FFB" w:rsidRDefault="00140344" w:rsidP="00140344">
      <w:pPr>
        <w:spacing w:after="46" w:line="276" w:lineRule="auto"/>
        <w:ind w:left="-5" w:firstLine="856"/>
        <w:jc w:val="both"/>
        <w:rPr>
          <w:rFonts w:ascii="Century Gothic" w:hAnsi="Century Gothic" w:cs="Arial"/>
        </w:rPr>
      </w:pPr>
      <w:r w:rsidRPr="00772FFB">
        <w:rPr>
          <w:rFonts w:ascii="Century Gothic" w:hAnsi="Century Gothic" w:cs="Arial"/>
        </w:rPr>
        <w:t xml:space="preserve">A la Comisión de Desarrollo Económico y Social de la Sexagésima Quinta Legislatura del Congreso del Estado de Guanajuato, le fue turnada </w:t>
      </w:r>
      <w:bookmarkStart w:id="0" w:name="_Hlk63767858"/>
      <w:r w:rsidRPr="00772FFB">
        <w:rPr>
          <w:rFonts w:ascii="Century Gothic" w:hAnsi="Century Gothic" w:cs="Arial"/>
        </w:rPr>
        <w:t>la propuesta de punto de acuerdo formulada por</w:t>
      </w:r>
      <w:r>
        <w:rPr>
          <w:rFonts w:ascii="Century Gothic" w:hAnsi="Century Gothic" w:cs="Arial"/>
        </w:rPr>
        <w:t xml:space="preserve"> el diputado David Martínez Mendizábal y la diputada Hades Berenice Aguilar Castillo, integrantes del Grupo Parlamentario del Partido MORENA</w:t>
      </w:r>
      <w:r w:rsidRPr="009F0DDB">
        <w:rPr>
          <w:rFonts w:ascii="Century Gothic" w:hAnsi="Century Gothic" w:cs="Arial"/>
        </w:rPr>
        <w:t xml:space="preserve">, para exhortar </w:t>
      </w:r>
      <w:r w:rsidRPr="00363DD9">
        <w:rPr>
          <w:rFonts w:ascii="Century Gothic" w:hAnsi="Century Gothic" w:cs="Arial"/>
        </w:rPr>
        <w:t xml:space="preserve">al </w:t>
      </w:r>
      <w:r w:rsidR="00E23BF3">
        <w:rPr>
          <w:rFonts w:ascii="Century Gothic" w:hAnsi="Century Gothic" w:cs="Arial"/>
        </w:rPr>
        <w:t>Gobernador del Estado de Guanajuato, Diego Sinhué Rodríguez Vallejo, para que en el ámbito de su atribuciones eval</w:t>
      </w:r>
      <w:r w:rsidR="00E03A26">
        <w:rPr>
          <w:rFonts w:ascii="Century Gothic" w:hAnsi="Century Gothic" w:cs="Arial"/>
        </w:rPr>
        <w:t>úe</w:t>
      </w:r>
      <w:r w:rsidR="00E23BF3">
        <w:rPr>
          <w:rFonts w:ascii="Century Gothic" w:hAnsi="Century Gothic" w:cs="Arial"/>
        </w:rPr>
        <w:t xml:space="preserve"> las políticas públicas en materia de competitividad e incorpore mecanismos de mejora en la política y programas de desarrollo económico y social, partiendo de los resultados señalados por el índice de Competitividad Estatal 2023 del IMCO</w:t>
      </w:r>
      <w:r w:rsidRPr="00772FFB">
        <w:rPr>
          <w:rFonts w:ascii="Century Gothic" w:hAnsi="Century Gothic" w:cs="Arial"/>
        </w:rPr>
        <w:t>.</w:t>
      </w:r>
    </w:p>
    <w:p w14:paraId="4E4C6F92" w14:textId="77777777" w:rsidR="00140344" w:rsidRPr="00772FFB" w:rsidRDefault="00140344" w:rsidP="00140344">
      <w:pPr>
        <w:spacing w:line="276" w:lineRule="auto"/>
        <w:ind w:firstLine="851"/>
        <w:jc w:val="both"/>
        <w:rPr>
          <w:rFonts w:ascii="Century Gothic" w:hAnsi="Century Gothic" w:cs="Arial"/>
        </w:rPr>
      </w:pPr>
    </w:p>
    <w:bookmarkEnd w:id="0"/>
    <w:p w14:paraId="65611332" w14:textId="77777777" w:rsidR="00140344" w:rsidRPr="00772FFB" w:rsidRDefault="00140344" w:rsidP="00140344">
      <w:pPr>
        <w:spacing w:line="276" w:lineRule="auto"/>
        <w:ind w:firstLine="851"/>
        <w:jc w:val="both"/>
        <w:rPr>
          <w:rFonts w:ascii="Century Gothic" w:hAnsi="Century Gothic" w:cs="Arial"/>
        </w:rPr>
      </w:pPr>
      <w:r w:rsidRPr="00772FFB">
        <w:rPr>
          <w:rFonts w:ascii="Century Gothic" w:hAnsi="Century Gothic" w:cs="Arial"/>
        </w:rPr>
        <w:t xml:space="preserve">De conformidad con los artículos 89, fracción V; 107, fracción </w:t>
      </w:r>
      <w:r>
        <w:rPr>
          <w:rFonts w:ascii="Century Gothic" w:hAnsi="Century Gothic" w:cs="Arial"/>
        </w:rPr>
        <w:t>I</w:t>
      </w:r>
      <w:r w:rsidRPr="00772FFB">
        <w:rPr>
          <w:rFonts w:ascii="Century Gothic" w:hAnsi="Century Gothic" w:cs="Arial"/>
        </w:rPr>
        <w:t>V y 171 de la Ley Orgánica del Poder Legislativo del Estado de Guanajuato, sometemos a la consideración de la Asamblea el presente dictamen, con base en las siguientes:</w:t>
      </w:r>
    </w:p>
    <w:p w14:paraId="582A593A" w14:textId="77777777" w:rsidR="00140344" w:rsidRDefault="00140344" w:rsidP="00140344">
      <w:pPr>
        <w:pStyle w:val="Sinespaciado"/>
        <w:spacing w:line="276" w:lineRule="auto"/>
        <w:jc w:val="both"/>
        <w:rPr>
          <w:rFonts w:ascii="Century Gothic" w:hAnsi="Century Gothic" w:cs="Arial"/>
          <w:szCs w:val="24"/>
        </w:rPr>
      </w:pPr>
    </w:p>
    <w:p w14:paraId="21AA823B" w14:textId="77777777" w:rsidR="001A11BD" w:rsidRPr="00772FFB" w:rsidRDefault="001A11BD" w:rsidP="00140344">
      <w:pPr>
        <w:pStyle w:val="Sinespaciado"/>
        <w:spacing w:line="276" w:lineRule="auto"/>
        <w:jc w:val="both"/>
        <w:rPr>
          <w:rFonts w:ascii="Century Gothic" w:hAnsi="Century Gothic" w:cs="Arial"/>
          <w:szCs w:val="24"/>
        </w:rPr>
      </w:pPr>
    </w:p>
    <w:p w14:paraId="6BADEDC5" w14:textId="77777777" w:rsidR="00140344" w:rsidRPr="00772FFB" w:rsidRDefault="00140344" w:rsidP="00140344">
      <w:pPr>
        <w:pStyle w:val="Sinespaciado"/>
        <w:spacing w:line="276" w:lineRule="auto"/>
        <w:jc w:val="center"/>
        <w:rPr>
          <w:rFonts w:ascii="Century Gothic" w:hAnsi="Century Gothic" w:cs="Arial"/>
          <w:b/>
          <w:sz w:val="24"/>
          <w:szCs w:val="24"/>
        </w:rPr>
      </w:pPr>
      <w:r w:rsidRPr="00772FFB">
        <w:rPr>
          <w:rFonts w:ascii="Century Gothic" w:hAnsi="Century Gothic" w:cs="Arial"/>
          <w:b/>
          <w:sz w:val="24"/>
          <w:szCs w:val="24"/>
        </w:rPr>
        <w:t>Consideraciones</w:t>
      </w:r>
    </w:p>
    <w:p w14:paraId="0A878765" w14:textId="77777777" w:rsidR="00140344" w:rsidRDefault="00140344" w:rsidP="00140344">
      <w:pPr>
        <w:pStyle w:val="Sinespaciado"/>
        <w:spacing w:line="276" w:lineRule="auto"/>
        <w:jc w:val="both"/>
        <w:rPr>
          <w:rFonts w:ascii="Century Gothic" w:hAnsi="Century Gothic" w:cs="Arial"/>
          <w:sz w:val="24"/>
          <w:szCs w:val="24"/>
        </w:rPr>
      </w:pPr>
    </w:p>
    <w:p w14:paraId="745E922F" w14:textId="77777777" w:rsidR="001A11BD" w:rsidRPr="00772FFB" w:rsidRDefault="001A11BD" w:rsidP="00140344">
      <w:pPr>
        <w:pStyle w:val="Sinespaciado"/>
        <w:spacing w:line="276" w:lineRule="auto"/>
        <w:jc w:val="both"/>
        <w:rPr>
          <w:rFonts w:ascii="Century Gothic" w:hAnsi="Century Gothic" w:cs="Arial"/>
          <w:sz w:val="24"/>
          <w:szCs w:val="24"/>
        </w:rPr>
      </w:pPr>
    </w:p>
    <w:p w14:paraId="0C61E5AB" w14:textId="77777777" w:rsidR="00140344" w:rsidRPr="00772FFB" w:rsidRDefault="00140344" w:rsidP="00140344">
      <w:pPr>
        <w:pStyle w:val="Sinespaciado"/>
        <w:numPr>
          <w:ilvl w:val="0"/>
          <w:numId w:val="1"/>
        </w:numPr>
        <w:spacing w:line="276" w:lineRule="auto"/>
        <w:jc w:val="both"/>
        <w:rPr>
          <w:rFonts w:ascii="Century Gothic" w:hAnsi="Century Gothic" w:cs="Arial"/>
          <w:b/>
          <w:sz w:val="24"/>
          <w:szCs w:val="24"/>
        </w:rPr>
      </w:pPr>
      <w:r w:rsidRPr="00772FFB">
        <w:rPr>
          <w:rFonts w:ascii="Century Gothic" w:hAnsi="Century Gothic" w:cs="Arial"/>
          <w:b/>
          <w:sz w:val="24"/>
          <w:szCs w:val="24"/>
        </w:rPr>
        <w:t>Antecedentes</w:t>
      </w:r>
    </w:p>
    <w:p w14:paraId="22B47889" w14:textId="77777777" w:rsidR="00140344" w:rsidRPr="00772FFB" w:rsidRDefault="00140344" w:rsidP="00140344">
      <w:pPr>
        <w:pStyle w:val="Sinespaciado"/>
        <w:spacing w:line="276" w:lineRule="auto"/>
        <w:jc w:val="both"/>
        <w:rPr>
          <w:rFonts w:ascii="Century Gothic" w:hAnsi="Century Gothic" w:cs="Arial"/>
          <w:sz w:val="24"/>
          <w:szCs w:val="24"/>
        </w:rPr>
      </w:pPr>
    </w:p>
    <w:p w14:paraId="0080E814" w14:textId="0E67B03D" w:rsidR="00140344" w:rsidRPr="00772FFB" w:rsidRDefault="00140344" w:rsidP="00140344">
      <w:pPr>
        <w:pStyle w:val="Sinespaciado"/>
        <w:spacing w:line="276" w:lineRule="auto"/>
        <w:ind w:firstLine="851"/>
        <w:jc w:val="both"/>
        <w:rPr>
          <w:rFonts w:ascii="Century Gothic" w:hAnsi="Century Gothic" w:cs="Arial"/>
          <w:sz w:val="24"/>
          <w:szCs w:val="24"/>
        </w:rPr>
      </w:pPr>
      <w:r w:rsidRPr="00772FFB">
        <w:rPr>
          <w:rFonts w:ascii="Century Gothic" w:hAnsi="Century Gothic" w:cs="Arial"/>
          <w:sz w:val="24"/>
          <w:szCs w:val="24"/>
        </w:rPr>
        <w:t xml:space="preserve">En sesión ordinaria de </w:t>
      </w:r>
      <w:r>
        <w:rPr>
          <w:rFonts w:ascii="Century Gothic" w:hAnsi="Century Gothic" w:cs="Arial"/>
          <w:sz w:val="24"/>
          <w:szCs w:val="24"/>
        </w:rPr>
        <w:t xml:space="preserve">15 de </w:t>
      </w:r>
      <w:r w:rsidR="00E23BF3">
        <w:rPr>
          <w:rFonts w:ascii="Century Gothic" w:hAnsi="Century Gothic" w:cs="Arial"/>
          <w:sz w:val="24"/>
          <w:szCs w:val="24"/>
        </w:rPr>
        <w:t>junio de 2023</w:t>
      </w:r>
      <w:r w:rsidRPr="00772FFB">
        <w:rPr>
          <w:rFonts w:ascii="Century Gothic" w:hAnsi="Century Gothic" w:cs="Arial"/>
          <w:sz w:val="24"/>
          <w:szCs w:val="24"/>
        </w:rPr>
        <w:t xml:space="preserve">, la presidencia de la Mesa Directiva turnó a la Comisión de Desarrollo Económico y Social, para efectos de su estudio y dictamen, la propuesta de punto de acuerdo referido en el proemio del presente dictamen, con fundamento en el artículo 107 fracción </w:t>
      </w:r>
      <w:r>
        <w:rPr>
          <w:rFonts w:ascii="Century Gothic" w:hAnsi="Century Gothic" w:cs="Arial"/>
          <w:sz w:val="24"/>
          <w:szCs w:val="24"/>
        </w:rPr>
        <w:t>I</w:t>
      </w:r>
      <w:r w:rsidRPr="00772FFB">
        <w:rPr>
          <w:rFonts w:ascii="Century Gothic" w:hAnsi="Century Gothic" w:cs="Arial"/>
          <w:sz w:val="24"/>
          <w:szCs w:val="24"/>
        </w:rPr>
        <w:t>V de la Ley Orgánica del Poder Legislativo del Estado de Guanajuato.</w:t>
      </w:r>
    </w:p>
    <w:p w14:paraId="6C54059B" w14:textId="77777777" w:rsidR="00140344" w:rsidRPr="00772FFB" w:rsidRDefault="00140344" w:rsidP="00140344">
      <w:pPr>
        <w:pStyle w:val="Sinespaciado"/>
        <w:spacing w:line="276" w:lineRule="auto"/>
        <w:ind w:firstLine="851"/>
        <w:jc w:val="both"/>
        <w:rPr>
          <w:rFonts w:ascii="Century Gothic" w:hAnsi="Century Gothic" w:cs="Arial"/>
          <w:szCs w:val="24"/>
        </w:rPr>
      </w:pPr>
    </w:p>
    <w:p w14:paraId="4D9C3729" w14:textId="3000FAD6" w:rsidR="00F8790B" w:rsidRDefault="00140344" w:rsidP="00140344">
      <w:pPr>
        <w:pStyle w:val="Sinespaciado"/>
        <w:spacing w:line="276" w:lineRule="auto"/>
        <w:ind w:firstLine="851"/>
        <w:jc w:val="both"/>
        <w:rPr>
          <w:rFonts w:ascii="Century Gothic" w:hAnsi="Century Gothic" w:cs="Arial"/>
          <w:sz w:val="24"/>
          <w:szCs w:val="24"/>
        </w:rPr>
      </w:pPr>
      <w:r w:rsidRPr="00772FFB">
        <w:rPr>
          <w:rFonts w:ascii="Century Gothic" w:hAnsi="Century Gothic" w:cs="Arial"/>
          <w:sz w:val="24"/>
          <w:szCs w:val="24"/>
        </w:rPr>
        <w:lastRenderedPageBreak/>
        <w:t xml:space="preserve">El </w:t>
      </w:r>
      <w:r w:rsidR="00E23BF3">
        <w:rPr>
          <w:rFonts w:ascii="Century Gothic" w:hAnsi="Century Gothic" w:cs="Arial"/>
          <w:sz w:val="24"/>
          <w:szCs w:val="24"/>
        </w:rPr>
        <w:t>27 de junio</w:t>
      </w:r>
      <w:r w:rsidRPr="00772FFB">
        <w:rPr>
          <w:rFonts w:ascii="Century Gothic" w:hAnsi="Century Gothic" w:cs="Arial"/>
          <w:sz w:val="24"/>
          <w:szCs w:val="24"/>
        </w:rPr>
        <w:t xml:space="preserve"> del presente año 202</w:t>
      </w:r>
      <w:r>
        <w:rPr>
          <w:rFonts w:ascii="Century Gothic" w:hAnsi="Century Gothic" w:cs="Arial"/>
          <w:sz w:val="24"/>
          <w:szCs w:val="24"/>
        </w:rPr>
        <w:t>3</w:t>
      </w:r>
      <w:r w:rsidRPr="00772FFB">
        <w:rPr>
          <w:rFonts w:ascii="Century Gothic" w:hAnsi="Century Gothic" w:cs="Arial"/>
          <w:sz w:val="24"/>
          <w:szCs w:val="24"/>
        </w:rPr>
        <w:t>, se radicó la propuesta de punto de acuerdo</w:t>
      </w:r>
      <w:r>
        <w:rPr>
          <w:rFonts w:ascii="Century Gothic" w:hAnsi="Century Gothic" w:cs="Arial"/>
          <w:sz w:val="24"/>
          <w:szCs w:val="24"/>
        </w:rPr>
        <w:t xml:space="preserve">, </w:t>
      </w:r>
      <w:r w:rsidR="001A11BD">
        <w:rPr>
          <w:rFonts w:ascii="Century Gothic" w:hAnsi="Century Gothic" w:cs="Arial"/>
          <w:sz w:val="24"/>
          <w:szCs w:val="24"/>
        </w:rPr>
        <w:t>donde se concedió a las y los integrantes de la Comisión enviar</w:t>
      </w:r>
      <w:r w:rsidR="00610986">
        <w:rPr>
          <w:rFonts w:ascii="Century Gothic" w:hAnsi="Century Gothic" w:cs="Arial"/>
          <w:sz w:val="24"/>
          <w:szCs w:val="24"/>
        </w:rPr>
        <w:t>a</w:t>
      </w:r>
      <w:r w:rsidR="001A11BD">
        <w:rPr>
          <w:rFonts w:ascii="Century Gothic" w:hAnsi="Century Gothic" w:cs="Arial"/>
          <w:sz w:val="24"/>
          <w:szCs w:val="24"/>
        </w:rPr>
        <w:t xml:space="preserve">n sus comentarios y opiniones en un plazo de </w:t>
      </w:r>
      <w:r w:rsidR="00F8790B">
        <w:rPr>
          <w:rFonts w:ascii="Century Gothic" w:hAnsi="Century Gothic" w:cs="Arial"/>
          <w:sz w:val="24"/>
          <w:szCs w:val="24"/>
        </w:rPr>
        <w:t>15 días hábiles a través de la secretaría técnica vía correo electrónico.</w:t>
      </w:r>
    </w:p>
    <w:p w14:paraId="6D11A8FE" w14:textId="77777777" w:rsidR="00F8790B" w:rsidRDefault="00F8790B" w:rsidP="00140344">
      <w:pPr>
        <w:pStyle w:val="Sinespaciado"/>
        <w:spacing w:line="276" w:lineRule="auto"/>
        <w:ind w:firstLine="851"/>
        <w:jc w:val="both"/>
        <w:rPr>
          <w:rFonts w:ascii="Century Gothic" w:hAnsi="Century Gothic" w:cs="Arial"/>
          <w:sz w:val="24"/>
          <w:szCs w:val="24"/>
        </w:rPr>
      </w:pPr>
    </w:p>
    <w:p w14:paraId="6E67E9F1" w14:textId="2BE74633" w:rsidR="00140344" w:rsidRDefault="00F8790B" w:rsidP="00140344">
      <w:pPr>
        <w:pStyle w:val="Sinespaciado"/>
        <w:spacing w:line="276" w:lineRule="auto"/>
        <w:ind w:firstLine="851"/>
        <w:jc w:val="both"/>
        <w:rPr>
          <w:rFonts w:ascii="Century Gothic" w:hAnsi="Century Gothic" w:cs="Arial"/>
          <w:sz w:val="24"/>
          <w:szCs w:val="24"/>
        </w:rPr>
      </w:pPr>
      <w:r>
        <w:rPr>
          <w:rFonts w:ascii="Century Gothic" w:hAnsi="Century Gothic" w:cs="Arial"/>
          <w:sz w:val="24"/>
          <w:szCs w:val="24"/>
        </w:rPr>
        <w:t xml:space="preserve">Al concluir el plazo sólo se contó con los comentarios vertidos por el Grupo Parlamentario del Partido Acción Nacional, en consecuencia </w:t>
      </w:r>
      <w:r w:rsidR="0022314E">
        <w:rPr>
          <w:rFonts w:ascii="Century Gothic" w:hAnsi="Century Gothic" w:cs="Arial"/>
          <w:sz w:val="24"/>
          <w:szCs w:val="24"/>
        </w:rPr>
        <w:t>y por facultad de la presidencia,</w:t>
      </w:r>
      <w:r w:rsidR="00140344">
        <w:rPr>
          <w:rFonts w:ascii="Century Gothic" w:hAnsi="Century Gothic" w:cs="Arial"/>
          <w:sz w:val="24"/>
          <w:szCs w:val="24"/>
        </w:rPr>
        <w:t xml:space="preserve"> con fundamento en los artículos 94 fracción VII y 272 fracción VIII, inciso e) de la Ley Orgánica del Poder Legislativo del Estado de Guanajuato, se instruyó para la elaboración del dictamen.</w:t>
      </w:r>
    </w:p>
    <w:p w14:paraId="03263788" w14:textId="77777777" w:rsidR="00F8790B" w:rsidRPr="00772FFB" w:rsidRDefault="00F8790B" w:rsidP="00140344">
      <w:pPr>
        <w:pStyle w:val="Sinespaciado"/>
        <w:spacing w:line="276" w:lineRule="auto"/>
        <w:ind w:firstLine="851"/>
        <w:jc w:val="both"/>
        <w:rPr>
          <w:rFonts w:ascii="Century Gothic" w:hAnsi="Century Gothic" w:cs="Arial"/>
          <w:sz w:val="24"/>
          <w:szCs w:val="24"/>
        </w:rPr>
      </w:pPr>
    </w:p>
    <w:p w14:paraId="2386B7D1" w14:textId="77777777" w:rsidR="00140344" w:rsidRDefault="00140344" w:rsidP="00140344">
      <w:pPr>
        <w:pStyle w:val="Sinespaciado"/>
        <w:spacing w:line="276" w:lineRule="auto"/>
        <w:jc w:val="both"/>
        <w:rPr>
          <w:rFonts w:ascii="Century Gothic" w:hAnsi="Century Gothic" w:cs="Arial"/>
          <w:sz w:val="24"/>
          <w:szCs w:val="24"/>
        </w:rPr>
      </w:pPr>
      <w:r w:rsidRPr="00772FFB">
        <w:rPr>
          <w:rFonts w:ascii="Century Gothic" w:hAnsi="Century Gothic" w:cs="Arial"/>
          <w:sz w:val="24"/>
          <w:szCs w:val="24"/>
        </w:rPr>
        <w:t xml:space="preserve"> </w:t>
      </w:r>
    </w:p>
    <w:p w14:paraId="02468ABF" w14:textId="77777777" w:rsidR="00140344" w:rsidRPr="00772FFB" w:rsidRDefault="00140344" w:rsidP="00140344">
      <w:pPr>
        <w:pStyle w:val="Sinespaciado"/>
        <w:numPr>
          <w:ilvl w:val="0"/>
          <w:numId w:val="1"/>
        </w:numPr>
        <w:spacing w:line="276" w:lineRule="auto"/>
        <w:jc w:val="both"/>
        <w:rPr>
          <w:rFonts w:ascii="Century Gothic" w:hAnsi="Century Gothic" w:cs="Arial"/>
          <w:b/>
          <w:sz w:val="24"/>
          <w:szCs w:val="24"/>
        </w:rPr>
      </w:pPr>
      <w:r w:rsidRPr="00772FFB">
        <w:rPr>
          <w:rFonts w:ascii="Century Gothic" w:hAnsi="Century Gothic" w:cs="Arial"/>
          <w:b/>
          <w:sz w:val="24"/>
          <w:szCs w:val="24"/>
        </w:rPr>
        <w:t>Valoración de la propuesta.</w:t>
      </w:r>
    </w:p>
    <w:p w14:paraId="67456F3E" w14:textId="77777777" w:rsidR="00140344" w:rsidRPr="00772FFB" w:rsidRDefault="00140344" w:rsidP="00140344">
      <w:pPr>
        <w:pStyle w:val="Sinespaciado"/>
        <w:spacing w:line="276" w:lineRule="auto"/>
        <w:ind w:left="720"/>
        <w:jc w:val="both"/>
        <w:rPr>
          <w:rFonts w:ascii="Century Gothic" w:hAnsi="Century Gothic" w:cs="Arial"/>
          <w:b/>
          <w:sz w:val="24"/>
          <w:szCs w:val="24"/>
        </w:rPr>
      </w:pPr>
      <w:r w:rsidRPr="00772FFB">
        <w:rPr>
          <w:rFonts w:ascii="Century Gothic" w:hAnsi="Century Gothic" w:cs="Arial"/>
          <w:b/>
          <w:sz w:val="24"/>
          <w:szCs w:val="24"/>
        </w:rPr>
        <w:t xml:space="preserve"> </w:t>
      </w:r>
    </w:p>
    <w:p w14:paraId="6DC97DA8" w14:textId="77777777" w:rsidR="00140344" w:rsidRDefault="00140344" w:rsidP="00140344">
      <w:pPr>
        <w:pStyle w:val="Sinespaciado"/>
        <w:spacing w:line="276" w:lineRule="auto"/>
        <w:ind w:firstLine="851"/>
        <w:jc w:val="both"/>
        <w:rPr>
          <w:rFonts w:ascii="Century Gothic" w:hAnsi="Century Gothic" w:cs="Arial"/>
          <w:bCs/>
          <w:sz w:val="24"/>
          <w:szCs w:val="24"/>
        </w:rPr>
      </w:pPr>
      <w:r w:rsidRPr="00772FFB">
        <w:rPr>
          <w:rFonts w:ascii="Century Gothic" w:hAnsi="Century Gothic" w:cs="Arial"/>
          <w:bCs/>
          <w:sz w:val="24"/>
          <w:szCs w:val="24"/>
        </w:rPr>
        <w:t xml:space="preserve">De la exposición de motivos de la propuesta de punto de acuerdo se resalta lo siguiente: </w:t>
      </w:r>
    </w:p>
    <w:p w14:paraId="65E68898" w14:textId="77777777" w:rsidR="00140344" w:rsidRPr="00772FFB" w:rsidRDefault="00140344" w:rsidP="00140344">
      <w:pPr>
        <w:pStyle w:val="Sinespaciado"/>
        <w:spacing w:line="276" w:lineRule="auto"/>
        <w:ind w:firstLine="851"/>
        <w:jc w:val="both"/>
        <w:rPr>
          <w:rFonts w:ascii="Century Gothic" w:hAnsi="Century Gothic" w:cs="Arial"/>
          <w:bCs/>
          <w:sz w:val="24"/>
          <w:szCs w:val="24"/>
        </w:rPr>
      </w:pPr>
    </w:p>
    <w:p w14:paraId="58132514" w14:textId="77777777" w:rsidR="00140344" w:rsidRPr="00772FFB" w:rsidRDefault="00140344" w:rsidP="00140344">
      <w:pPr>
        <w:pStyle w:val="Sinespaciado"/>
        <w:spacing w:line="276" w:lineRule="auto"/>
        <w:ind w:left="708" w:firstLine="720"/>
        <w:jc w:val="both"/>
        <w:rPr>
          <w:rFonts w:ascii="Century Gothic" w:hAnsi="Century Gothic" w:cs="Arial"/>
          <w:bCs/>
        </w:rPr>
      </w:pPr>
      <w:r w:rsidRPr="00772FFB">
        <w:rPr>
          <w:rFonts w:ascii="Century Gothic" w:hAnsi="Century Gothic" w:cs="Arial"/>
          <w:bCs/>
        </w:rPr>
        <w:t>[…]</w:t>
      </w:r>
    </w:p>
    <w:p w14:paraId="14B23119" w14:textId="45F78BBD" w:rsidR="00E23BF3" w:rsidRDefault="00140344" w:rsidP="00E23BF3">
      <w:pPr>
        <w:ind w:left="1134" w:right="900"/>
        <w:jc w:val="both"/>
        <w:rPr>
          <w:rFonts w:ascii="Century Gothic" w:eastAsia="Times New Roman" w:hAnsi="Century Gothic" w:cs="Arial"/>
          <w:i/>
          <w:iCs/>
          <w:sz w:val="20"/>
          <w:szCs w:val="20"/>
          <w:lang w:eastAsia="es-MX"/>
        </w:rPr>
      </w:pPr>
      <w:r w:rsidRPr="00772FFB">
        <w:rPr>
          <w:rFonts w:ascii="Century Gothic" w:eastAsia="Times New Roman" w:hAnsi="Century Gothic" w:cs="Arial"/>
          <w:i/>
          <w:iCs/>
          <w:sz w:val="20"/>
          <w:szCs w:val="20"/>
          <w:lang w:eastAsia="es-MX"/>
        </w:rPr>
        <w:t>"</w:t>
      </w:r>
      <w:r w:rsidR="00E23BF3" w:rsidRPr="00E23BF3">
        <w:t xml:space="preserve"> </w:t>
      </w:r>
      <w:r w:rsidR="00E23BF3" w:rsidRPr="00E23BF3">
        <w:rPr>
          <w:rFonts w:ascii="Century Gothic" w:eastAsia="Times New Roman" w:hAnsi="Century Gothic" w:cs="Arial"/>
          <w:i/>
          <w:iCs/>
          <w:sz w:val="20"/>
          <w:szCs w:val="20"/>
          <w:lang w:eastAsia="es-MX"/>
        </w:rPr>
        <w:t>El Grupo Parlamentario de MORENA ha manifestado innumerables ocasiones ante este pleno la necesidad de considerar las evaluaciones y los diagnósticos como componentes de suma importancia para la determinación de políticas, programas y acciones de gobierno.</w:t>
      </w:r>
    </w:p>
    <w:p w14:paraId="79845718"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13124DF2"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Guanajuato carece de un conjunto de evaluaciones y diagnósticos certeros sobre temas como bienestar social, desarrollo económico, seguridad y derechos humanos de mujeres, diversidad sexual y colectivos de buscadoras, de modo que los datos arrojados por metodologías armadas con una lógica técnica, científica y académica podrían ayudar a mejorar los destinos de los millonarios presupuestos originados en las cargas impositivas a la ciudadanía. Cuando no se reconocen los problemas, o se miden mal, o se tratan de ocultar mediante frases y campañas engañosas, es seguro que se implanten políticas públicas ineficientes, es decir, que se malgasten recursos de forma estéril y no resuelvan de fondo los problemas de la gente.</w:t>
      </w:r>
    </w:p>
    <w:p w14:paraId="6C1E9F96"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404509CA"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lastRenderedPageBreak/>
        <w:t>De ahí que convenga a todas luces tomar como insumo fundamental para comprender lo que pasa en Guanajuato el Informe El Índice de Competitividad Estatal 2023 (ICE) del Instituto Mexicano de la Competitividad, publicados a fines de la semana pasada.</w:t>
      </w:r>
    </w:p>
    <w:p w14:paraId="595E60F6"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33957229"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Este Informe titulado El Índice de Competitividad Estatal 2023 (ICE) “permite identificar, con sus 72 indicadores, las condiciones en que viven y trabajan las y los mexicanos en las entidades federativas, pero también evalúa si existe un ambiente idóneo para hacer negocios, lo que incluye elementos como capital humano suficiente y capacitado, el estado de la infraestructura estatal, y la garantía de la seguridad física y jurídica de las personas. En suma, el ICE le sirve a la sociedad y a las autoridades para evaluar la capacidad que tienen las economías locales para generar, atraer y retener talento e inversión” y continua diciendo: “En términos llanos, para detonar inversiones asociadas a la relocalización de cadenas productivas hace falta que haya personas buscando un empleo o dispuestas a trabajar, que esas personas tengan habilidades específicas y estén en constante capacitación, y que sus condiciones básicas para vivir estén cubiertas, como una vivienda con servicios y acceso a transporte que les permita trasladarse a los centros de trabajo”.</w:t>
      </w:r>
    </w:p>
    <w:p w14:paraId="583E7BC8"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07495854"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Considera también aspectos como elementos básicos para una producción eficiente: acceso a la energía confiable y precios competitivos, recursos naturales (agua) infraestructura de transporte que permita el encadenamiento de la producción con los mercados internacionales, como son carreteras, puertos, aduanas, ferrocarriles y aeropuertos.</w:t>
      </w:r>
    </w:p>
    <w:p w14:paraId="07554D2B"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23CE424B"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Para ello, continúa el documento, se requiere que las autoridades cumplan con sus atribuciones y tomen decisiones de inversión para que exista la infraestructura suficiente y de calidad, lo mismo que promover agendas de planeación e innovación en conjunto con la sociedad civil, la academia y el sector empresarial.</w:t>
      </w:r>
    </w:p>
    <w:p w14:paraId="799FDC5E"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3AD1FE6E"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El Índice evalúa las capacidades de las entidades subnacionales a través de indicadores categorizados en 10 subíndices que evalúan distintas dimensiones y condiciones que constituyen la base del crecimiento y desarrollo de las 32 entidades.</w:t>
      </w:r>
    </w:p>
    <w:p w14:paraId="21980345"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251A8ADE"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 xml:space="preserve">Para calibrar la importancia de este robusto y complejo indicador, los subíndices considerados son: Derecho, Medio ambiente, Sociedad, Sistema político, Gobiernos, Mercado de trabajo, Economía, Infraestructura, Apertura internacional, Innovación y Competitividad y </w:t>
      </w:r>
      <w:r w:rsidRPr="00E23BF3">
        <w:rPr>
          <w:rFonts w:ascii="Century Gothic" w:eastAsia="Times New Roman" w:hAnsi="Century Gothic" w:cs="Arial"/>
          <w:i/>
          <w:iCs/>
          <w:sz w:val="20"/>
          <w:szCs w:val="20"/>
          <w:lang w:eastAsia="es-MX"/>
        </w:rPr>
        <w:lastRenderedPageBreak/>
        <w:t>clasifica a las entidades federativas como de Competitividad alta, media-alta, media-baja, baja y muy baja.</w:t>
      </w:r>
    </w:p>
    <w:p w14:paraId="3A92895C"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064E3660"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A Guanajuato lo clasifican en el lugar 19 de 32, con una calificación general de media baja, digamos que estamos en la primera A nacional. ¿Grandeza Guanajuato? Por supuesto que no. El año pasado estaba en el lugar 18, descendió una posición.</w:t>
      </w:r>
    </w:p>
    <w:p w14:paraId="0188BE8C"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No se puede poner como pretexto la imaginaria marginación que el gobierno federal ha ejercido sobre la oposición porque en los primeros cinco lugares clasificados de alta productividad aparecen Querétaro, Nuevo León, Coahuila, Baja California Sur y Jalisco. Es entonces un asunto de gobierno local.</w:t>
      </w:r>
    </w:p>
    <w:p w14:paraId="4AFD85F4"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7602A0C7"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A continuación, se reproducen los muy preocupantes resultados para Guanajuato:</w:t>
      </w:r>
    </w:p>
    <w:p w14:paraId="16BFE9DF"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5DDEDAAB"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w:t>
      </w:r>
    </w:p>
    <w:p w14:paraId="10EFB851"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 xml:space="preserve"> Como puede observarse, en el subíndice de Derecho, concretamente en los indicadores de percepción de seguridad (lugar 30 de 32) y homicidios (lugar 26 de 32) Guanajuato es una de las peores entidades.</w:t>
      </w:r>
    </w:p>
    <w:p w14:paraId="3618A34F"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577EACA7"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En el subíndice de Gobiernos, en el indicador de Interacción con el gobierno por medios electrónicos, Guanajuato de ubica en los últimos lugares ocupando la posición 27 de 32.</w:t>
      </w:r>
    </w:p>
    <w:p w14:paraId="60229642"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31B26979"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En lo que respecta a los subíndices de Medio Ambiente, Sociedad e Innovación, la mayoría de sus indicadores se encuentran en un nivel de competitividad de la media- alta a la media-baja.</w:t>
      </w:r>
    </w:p>
    <w:p w14:paraId="40DB4D2B"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24850287"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En los demás subíndices, expresados en la siguiente tabla, la preocupación se repite, lo que conduce a revisar profundamente el modelo económico y social que ha dejado a los mecanismos del mercado se tomen decisiones que corresponden, en una concepción distinta, a un Estado de social, garante de los derechos sociales asentados en la Constitución Política de los Estados Unidos Mexicanos.</w:t>
      </w:r>
    </w:p>
    <w:p w14:paraId="1DBEB808"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En el subíndice de Mercado de Trabajo en los indicadores población con educación superior en donde el Estado se posiciona en el lugar 29 de 32, mientras que el indicador Jornadas laborales de más de 48 horas Guanajuato es el peor Estado ubicándose en el último lugar.</w:t>
      </w:r>
    </w:p>
    <w:p w14:paraId="1248D734"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38A6CD38"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 xml:space="preserve">En el indicador Plazo promedio de vencimiento de la deuda perteneciente al subíndice de Economía (lugar 27 de 32) y el indicador </w:t>
      </w:r>
      <w:r w:rsidRPr="00E23BF3">
        <w:rPr>
          <w:rFonts w:ascii="Century Gothic" w:eastAsia="Times New Roman" w:hAnsi="Century Gothic" w:cs="Arial"/>
          <w:i/>
          <w:iCs/>
          <w:sz w:val="20"/>
          <w:szCs w:val="20"/>
          <w:lang w:eastAsia="es-MX"/>
        </w:rPr>
        <w:lastRenderedPageBreak/>
        <w:t>de barreras a candidatos Independientes del subíndice de Sistema Político, Guanajuato también se ubica en las últimas posiciones.</w:t>
      </w:r>
    </w:p>
    <w:p w14:paraId="721BADAA" w14:textId="77777777" w:rsidR="00E23BF3" w:rsidRDefault="00E23BF3" w:rsidP="00E23BF3">
      <w:pPr>
        <w:ind w:left="1134" w:right="900"/>
        <w:jc w:val="both"/>
        <w:rPr>
          <w:rFonts w:ascii="Century Gothic" w:eastAsia="Times New Roman" w:hAnsi="Century Gothic" w:cs="Arial"/>
          <w:i/>
          <w:iCs/>
          <w:sz w:val="20"/>
          <w:szCs w:val="20"/>
          <w:lang w:eastAsia="es-MX"/>
        </w:rPr>
      </w:pPr>
      <w:r w:rsidRPr="00E23BF3">
        <w:rPr>
          <w:rFonts w:ascii="Century Gothic" w:eastAsia="Times New Roman" w:hAnsi="Century Gothic" w:cs="Arial"/>
          <w:i/>
          <w:iCs/>
          <w:sz w:val="20"/>
          <w:szCs w:val="20"/>
          <w:lang w:eastAsia="es-MX"/>
        </w:rPr>
        <w:t>En los subíndices Apertura Internacional e infraestructura, la gran mayoría de indicadores se encuentran en un nivel de competitividad media-baja.</w:t>
      </w:r>
    </w:p>
    <w:p w14:paraId="05E4CB91" w14:textId="77777777" w:rsidR="00E23BF3" w:rsidRPr="00E23BF3" w:rsidRDefault="00E23BF3" w:rsidP="00E23BF3">
      <w:pPr>
        <w:ind w:left="1134" w:right="900"/>
        <w:jc w:val="both"/>
        <w:rPr>
          <w:rFonts w:ascii="Century Gothic" w:eastAsia="Times New Roman" w:hAnsi="Century Gothic" w:cs="Arial"/>
          <w:i/>
          <w:iCs/>
          <w:sz w:val="20"/>
          <w:szCs w:val="20"/>
          <w:lang w:eastAsia="es-MX"/>
        </w:rPr>
      </w:pPr>
    </w:p>
    <w:p w14:paraId="751FB21F" w14:textId="13C3F353" w:rsidR="00140344" w:rsidRPr="00E23BF3" w:rsidRDefault="00E23BF3" w:rsidP="00E23BF3">
      <w:pPr>
        <w:ind w:left="1134" w:right="900"/>
        <w:jc w:val="both"/>
        <w:rPr>
          <w:rFonts w:ascii="Century Gothic" w:hAnsi="Century Gothic"/>
          <w:i/>
          <w:iCs/>
          <w:sz w:val="20"/>
          <w:szCs w:val="20"/>
        </w:rPr>
      </w:pPr>
      <w:r w:rsidRPr="00E23BF3">
        <w:rPr>
          <w:rFonts w:ascii="Century Gothic" w:eastAsia="Times New Roman" w:hAnsi="Century Gothic" w:cs="Arial"/>
          <w:i/>
          <w:iCs/>
          <w:sz w:val="20"/>
          <w:szCs w:val="20"/>
          <w:lang w:eastAsia="es-MX"/>
        </w:rPr>
        <w:t>En suma: los resultados del estudio son preocupantes para nuestra entidad, por lo cual desde el Grupo Parlamentario de MORENA consideramos necesario hacer un llamado para que, partiendo del estudio en mención, el Gobierno del Estado de Guanajuato evalúe e incorpore mecanismos mejora en materia de competitividad estatal.</w:t>
      </w:r>
    </w:p>
    <w:p w14:paraId="43B71867" w14:textId="77777777" w:rsidR="00E23BF3" w:rsidRDefault="00E23BF3" w:rsidP="00E23BF3">
      <w:pPr>
        <w:ind w:left="1134" w:right="474"/>
        <w:jc w:val="both"/>
        <w:rPr>
          <w:rFonts w:ascii="Century Gothic" w:eastAsia="Times New Roman" w:hAnsi="Century Gothic" w:cs="Arial"/>
          <w:i/>
          <w:iCs/>
          <w:sz w:val="20"/>
          <w:szCs w:val="20"/>
          <w:lang w:eastAsia="es-MX"/>
        </w:rPr>
      </w:pPr>
    </w:p>
    <w:p w14:paraId="5C01535C" w14:textId="4095890A" w:rsidR="00140344" w:rsidRPr="00772FFB" w:rsidRDefault="00140344" w:rsidP="00E23BF3">
      <w:pPr>
        <w:ind w:left="1134" w:right="474"/>
        <w:jc w:val="both"/>
        <w:rPr>
          <w:rFonts w:ascii="Century Gothic" w:eastAsia="Times New Roman" w:hAnsi="Century Gothic" w:cs="Arial"/>
          <w:i/>
          <w:iCs/>
          <w:sz w:val="20"/>
          <w:szCs w:val="20"/>
          <w:lang w:eastAsia="es-MX"/>
        </w:rPr>
      </w:pPr>
      <w:r w:rsidRPr="00772FFB">
        <w:rPr>
          <w:rFonts w:ascii="Century Gothic" w:eastAsia="Times New Roman" w:hAnsi="Century Gothic" w:cs="Arial"/>
          <w:i/>
          <w:iCs/>
          <w:sz w:val="20"/>
          <w:szCs w:val="20"/>
          <w:lang w:eastAsia="es-MX"/>
        </w:rPr>
        <w:t>...”</w:t>
      </w:r>
    </w:p>
    <w:p w14:paraId="39E7D341" w14:textId="77777777" w:rsidR="00140344" w:rsidRDefault="00140344" w:rsidP="00140344">
      <w:pPr>
        <w:spacing w:line="276" w:lineRule="auto"/>
        <w:ind w:right="474" w:firstLine="426"/>
        <w:jc w:val="both"/>
        <w:rPr>
          <w:rFonts w:ascii="Century Gothic" w:hAnsi="Century Gothic" w:cs="Arial"/>
        </w:rPr>
      </w:pPr>
    </w:p>
    <w:p w14:paraId="7B01DF8A" w14:textId="77777777" w:rsidR="00574230" w:rsidRDefault="00574230" w:rsidP="00140344">
      <w:pPr>
        <w:spacing w:line="276" w:lineRule="auto"/>
        <w:ind w:right="474" w:firstLine="426"/>
        <w:jc w:val="both"/>
        <w:rPr>
          <w:rFonts w:ascii="Century Gothic" w:hAnsi="Century Gothic" w:cs="Arial"/>
        </w:rPr>
      </w:pPr>
    </w:p>
    <w:p w14:paraId="0DA02E7F" w14:textId="086603DC" w:rsidR="00140344" w:rsidRDefault="00140344" w:rsidP="00140344">
      <w:pPr>
        <w:pStyle w:val="Sinespaciado"/>
        <w:numPr>
          <w:ilvl w:val="0"/>
          <w:numId w:val="1"/>
        </w:numPr>
        <w:spacing w:line="276" w:lineRule="auto"/>
        <w:jc w:val="both"/>
        <w:rPr>
          <w:rFonts w:ascii="Century Gothic" w:hAnsi="Century Gothic" w:cs="Arial"/>
          <w:b/>
          <w:sz w:val="24"/>
          <w:szCs w:val="24"/>
        </w:rPr>
      </w:pPr>
      <w:r w:rsidRPr="00772FFB">
        <w:rPr>
          <w:rFonts w:ascii="Century Gothic" w:hAnsi="Century Gothic" w:cs="Arial"/>
          <w:b/>
          <w:sz w:val="24"/>
          <w:szCs w:val="24"/>
        </w:rPr>
        <w:t>Análisis de la propuesta de punto de acuerdo</w:t>
      </w:r>
    </w:p>
    <w:p w14:paraId="4CAEBB34" w14:textId="77777777" w:rsidR="007C7F14" w:rsidRPr="00772FFB" w:rsidRDefault="007C7F14" w:rsidP="007C7F14">
      <w:pPr>
        <w:pStyle w:val="Sinespaciado"/>
        <w:spacing w:line="276" w:lineRule="auto"/>
        <w:ind w:left="720"/>
        <w:jc w:val="both"/>
        <w:rPr>
          <w:rFonts w:ascii="Century Gothic" w:hAnsi="Century Gothic" w:cs="Arial"/>
          <w:b/>
          <w:sz w:val="24"/>
          <w:szCs w:val="24"/>
        </w:rPr>
      </w:pPr>
    </w:p>
    <w:p w14:paraId="02B9F423" w14:textId="7A83FC2B" w:rsidR="00574230" w:rsidRPr="00574230" w:rsidRDefault="00211828" w:rsidP="00574230">
      <w:pPr>
        <w:spacing w:line="276" w:lineRule="auto"/>
        <w:ind w:firstLine="567"/>
        <w:jc w:val="both"/>
        <w:rPr>
          <w:rFonts w:ascii="Century Gothic" w:eastAsia="Times New Roman" w:hAnsi="Century Gothic" w:cs="Arial"/>
          <w:lang w:eastAsia="es-MX"/>
        </w:rPr>
      </w:pPr>
      <w:bookmarkStart w:id="1" w:name="_Hlk8030224"/>
      <w:r>
        <w:rPr>
          <w:rFonts w:ascii="Century Gothic" w:eastAsia="Times New Roman" w:hAnsi="Century Gothic" w:cs="Arial"/>
          <w:lang w:eastAsia="es-MX"/>
        </w:rPr>
        <w:t>L</w:t>
      </w:r>
      <w:r w:rsidR="00574230" w:rsidRPr="00574230">
        <w:rPr>
          <w:rFonts w:ascii="Century Gothic" w:eastAsia="Times New Roman" w:hAnsi="Century Gothic" w:cs="Arial"/>
          <w:lang w:eastAsia="es-MX"/>
        </w:rPr>
        <w:t>as políticas públicas, son el producto de los procesos de toma de decisiones del Estado frente a determinados problemas públicos</w:t>
      </w:r>
      <w:r w:rsidR="008F3DCD">
        <w:rPr>
          <w:rFonts w:ascii="Century Gothic" w:eastAsia="Times New Roman" w:hAnsi="Century Gothic" w:cs="Arial"/>
          <w:lang w:eastAsia="es-MX"/>
        </w:rPr>
        <w:t>.</w:t>
      </w:r>
    </w:p>
    <w:p w14:paraId="32D79717" w14:textId="77777777" w:rsidR="00574230" w:rsidRPr="00574230" w:rsidRDefault="00574230" w:rsidP="00574230">
      <w:pPr>
        <w:spacing w:line="276" w:lineRule="auto"/>
        <w:ind w:firstLine="567"/>
        <w:jc w:val="both"/>
        <w:rPr>
          <w:rFonts w:ascii="Century Gothic" w:eastAsia="Times New Roman" w:hAnsi="Century Gothic" w:cs="Arial"/>
          <w:lang w:eastAsia="es-MX"/>
        </w:rPr>
      </w:pPr>
    </w:p>
    <w:p w14:paraId="13CC25ED" w14:textId="23F59313" w:rsidR="00574230" w:rsidRPr="00574230" w:rsidRDefault="00574230" w:rsidP="00574230">
      <w:pPr>
        <w:spacing w:line="276" w:lineRule="auto"/>
        <w:ind w:firstLine="567"/>
        <w:jc w:val="both"/>
        <w:rPr>
          <w:rFonts w:ascii="Arial" w:hAnsi="Arial" w:cs="Arial"/>
        </w:rPr>
      </w:pPr>
      <w:r w:rsidRPr="00574230">
        <w:rPr>
          <w:rFonts w:ascii="Century Gothic" w:eastAsia="Times New Roman" w:hAnsi="Century Gothic" w:cs="Arial"/>
          <w:lang w:eastAsia="es-MX"/>
        </w:rPr>
        <w:t>Con base en lo mencionado, el proceso de la aplicación de las políticas públicas en sus cuatro grandes etapas -diseño, elaboración, implementación y evaluación-, requi</w:t>
      </w:r>
      <w:r w:rsidR="008F3DCD">
        <w:rPr>
          <w:rFonts w:ascii="Century Gothic" w:eastAsia="Times New Roman" w:hAnsi="Century Gothic" w:cs="Arial"/>
          <w:lang w:eastAsia="es-MX"/>
        </w:rPr>
        <w:t xml:space="preserve">eren la articulación </w:t>
      </w:r>
      <w:r w:rsidRPr="00574230">
        <w:rPr>
          <w:rFonts w:ascii="Century Gothic" w:eastAsia="Times New Roman" w:hAnsi="Century Gothic" w:cs="Arial"/>
          <w:lang w:eastAsia="es-MX"/>
        </w:rPr>
        <w:t xml:space="preserve">de estrategias de acción, que </w:t>
      </w:r>
      <w:r w:rsidR="008F3DCD">
        <w:rPr>
          <w:rFonts w:ascii="Century Gothic" w:eastAsia="Times New Roman" w:hAnsi="Century Gothic" w:cs="Arial"/>
          <w:lang w:eastAsia="es-MX"/>
        </w:rPr>
        <w:t xml:space="preserve">exigen la interacción permanente </w:t>
      </w:r>
      <w:r w:rsidRPr="00574230">
        <w:rPr>
          <w:rFonts w:ascii="Century Gothic" w:eastAsia="Times New Roman" w:hAnsi="Century Gothic" w:cs="Arial"/>
          <w:lang w:eastAsia="es-MX"/>
        </w:rPr>
        <w:t>entre el gobierno y los gobernados</w:t>
      </w:r>
      <w:r w:rsidRPr="00574230">
        <w:rPr>
          <w:rFonts w:ascii="Arial" w:eastAsia="Calibri" w:hAnsi="Arial" w:cs="Arial"/>
          <w:color w:val="808080"/>
          <w:sz w:val="20"/>
          <w:szCs w:val="20"/>
          <w:shd w:val="clear" w:color="auto" w:fill="FFFFFF"/>
        </w:rPr>
        <w:t>.</w:t>
      </w:r>
    </w:p>
    <w:p w14:paraId="50E1430F" w14:textId="57F4C26A" w:rsidR="006B0222" w:rsidRDefault="006B0222" w:rsidP="009244AE">
      <w:pPr>
        <w:shd w:val="clear" w:color="auto" w:fill="FFFFFF"/>
        <w:spacing w:before="240" w:after="390" w:line="276" w:lineRule="auto"/>
        <w:ind w:firstLine="851"/>
        <w:jc w:val="both"/>
        <w:rPr>
          <w:rFonts w:ascii="Century Gothic" w:eastAsia="Times New Roman" w:hAnsi="Century Gothic" w:cs="Arial"/>
          <w:lang w:eastAsia="es-MX"/>
        </w:rPr>
      </w:pPr>
      <w:r w:rsidRPr="006B0222">
        <w:rPr>
          <w:rFonts w:ascii="Century Gothic" w:eastAsia="Times New Roman" w:hAnsi="Century Gothic" w:cs="Arial"/>
          <w:lang w:eastAsia="es-MX"/>
        </w:rPr>
        <w:t>La fase de evaluación de una política pública no es un proceso lineal, es de hecho una parte componente de un proceso cíclico de configuración de la propia política</w:t>
      </w:r>
      <w:r w:rsidR="00082C63">
        <w:rPr>
          <w:rFonts w:ascii="Century Gothic" w:eastAsia="Times New Roman" w:hAnsi="Century Gothic" w:cs="Arial"/>
          <w:lang w:eastAsia="es-MX"/>
        </w:rPr>
        <w:t>.</w:t>
      </w:r>
      <w:r w:rsidR="00082C63" w:rsidRPr="00574230">
        <w:rPr>
          <w:rFonts w:ascii="Arial" w:hAnsi="Arial" w:cs="Arial"/>
          <w:vertAlign w:val="superscript"/>
        </w:rPr>
        <w:footnoteReference w:id="1"/>
      </w:r>
    </w:p>
    <w:p w14:paraId="4616AED0" w14:textId="7B837A39" w:rsidR="009244AE" w:rsidRDefault="009244AE" w:rsidP="009244AE">
      <w:pPr>
        <w:spacing w:after="285" w:line="276" w:lineRule="auto"/>
        <w:ind w:right="49" w:firstLine="426"/>
        <w:jc w:val="both"/>
        <w:rPr>
          <w:rFonts w:ascii="Century Gothic" w:eastAsia="Times New Roman" w:hAnsi="Century Gothic" w:cs="Arial"/>
          <w:lang w:eastAsia="es-MX"/>
        </w:rPr>
      </w:pPr>
      <w:r w:rsidRPr="009244AE">
        <w:rPr>
          <w:rFonts w:ascii="Century Gothic" w:eastAsia="Times New Roman" w:hAnsi="Century Gothic" w:cs="Arial"/>
          <w:lang w:eastAsia="es-MX"/>
        </w:rPr>
        <w:t xml:space="preserve">El Índice de Competitividad Estatal 2023 (ICE) </w:t>
      </w:r>
      <w:r w:rsidR="00654EF4">
        <w:rPr>
          <w:rFonts w:ascii="Century Gothic" w:eastAsia="Times New Roman" w:hAnsi="Century Gothic" w:cs="Arial"/>
          <w:lang w:eastAsia="es-MX"/>
        </w:rPr>
        <w:t>busca</w:t>
      </w:r>
      <w:r w:rsidRPr="009244AE">
        <w:rPr>
          <w:rFonts w:ascii="Century Gothic" w:eastAsia="Times New Roman" w:hAnsi="Century Gothic" w:cs="Arial"/>
          <w:lang w:eastAsia="es-MX"/>
        </w:rPr>
        <w:t xml:space="preserve"> identificar, con sus 72 indicadores, las</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condiciones en que viven y trabajan las y los mexicanos en las entidades federativas</w:t>
      </w:r>
      <w:r w:rsidR="00654EF4">
        <w:rPr>
          <w:rFonts w:ascii="Century Gothic" w:eastAsia="Times New Roman" w:hAnsi="Century Gothic" w:cs="Arial"/>
          <w:lang w:eastAsia="es-MX"/>
        </w:rPr>
        <w:t xml:space="preserve"> </w:t>
      </w:r>
      <w:r w:rsidR="001C67EA">
        <w:rPr>
          <w:rFonts w:ascii="Century Gothic" w:eastAsia="Times New Roman" w:hAnsi="Century Gothic" w:cs="Arial"/>
          <w:lang w:eastAsia="es-MX"/>
        </w:rPr>
        <w:t>y a</w:t>
      </w:r>
      <w:r w:rsidR="00654EF4">
        <w:rPr>
          <w:rFonts w:ascii="Century Gothic" w:eastAsia="Times New Roman" w:hAnsi="Century Gothic" w:cs="Arial"/>
          <w:lang w:eastAsia="es-MX"/>
        </w:rPr>
        <w:t xml:space="preserve"> partir de ellos</w:t>
      </w:r>
      <w:r>
        <w:rPr>
          <w:rFonts w:ascii="Century Gothic" w:eastAsia="Times New Roman" w:hAnsi="Century Gothic" w:cs="Arial"/>
          <w:lang w:eastAsia="es-MX"/>
        </w:rPr>
        <w:t xml:space="preserve"> </w:t>
      </w:r>
      <w:r w:rsidR="00654EF4" w:rsidRPr="009244AE">
        <w:rPr>
          <w:rFonts w:ascii="Century Gothic" w:eastAsia="Times New Roman" w:hAnsi="Century Gothic" w:cs="Arial"/>
          <w:lang w:eastAsia="es-MX"/>
        </w:rPr>
        <w:t>evalua</w:t>
      </w:r>
      <w:r w:rsidR="00654EF4">
        <w:rPr>
          <w:rFonts w:ascii="Century Gothic" w:eastAsia="Times New Roman" w:hAnsi="Century Gothic" w:cs="Arial"/>
          <w:lang w:eastAsia="es-MX"/>
        </w:rPr>
        <w:t>r</w:t>
      </w:r>
      <w:r w:rsidRPr="009244AE">
        <w:rPr>
          <w:rFonts w:ascii="Century Gothic" w:eastAsia="Times New Roman" w:hAnsi="Century Gothic" w:cs="Arial"/>
          <w:lang w:eastAsia="es-MX"/>
        </w:rPr>
        <w:t xml:space="preserve"> si existe un ambiente idóneo para hacer negocios, lo que incluye elementos como capital </w:t>
      </w:r>
      <w:r w:rsidRPr="009244AE">
        <w:rPr>
          <w:rFonts w:ascii="Century Gothic" w:eastAsia="Times New Roman" w:hAnsi="Century Gothic" w:cs="Arial"/>
          <w:lang w:eastAsia="es-MX"/>
        </w:rPr>
        <w:lastRenderedPageBreak/>
        <w:t>humano</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suficiente y capacitado, el estado de la infraestructura estatal, y la garantía de la seguridad física y</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 xml:space="preserve">jurídica de las personas. En suma, el ICE </w:t>
      </w:r>
      <w:r w:rsidR="008F3DCD">
        <w:rPr>
          <w:rFonts w:ascii="Century Gothic" w:eastAsia="Times New Roman" w:hAnsi="Century Gothic" w:cs="Arial"/>
          <w:lang w:eastAsia="es-MX"/>
        </w:rPr>
        <w:t xml:space="preserve">se presenta como herramienta </w:t>
      </w:r>
      <w:r w:rsidRPr="009244AE">
        <w:rPr>
          <w:rFonts w:ascii="Century Gothic" w:eastAsia="Times New Roman" w:hAnsi="Century Gothic" w:cs="Arial"/>
          <w:lang w:eastAsia="es-MX"/>
        </w:rPr>
        <w:t>para evaluar la</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capacidad que tienen las economías locales para generar, atraer y retener talento e inversión.</w:t>
      </w:r>
      <w:r>
        <w:rPr>
          <w:rStyle w:val="Refdenotaalpie"/>
          <w:rFonts w:ascii="Century Gothic" w:eastAsia="Times New Roman" w:hAnsi="Century Gothic" w:cs="Arial"/>
          <w:lang w:eastAsia="es-MX"/>
        </w:rPr>
        <w:footnoteReference w:id="2"/>
      </w:r>
    </w:p>
    <w:p w14:paraId="251B3A29" w14:textId="386EF099" w:rsidR="009244AE" w:rsidRDefault="009244AE" w:rsidP="009244AE">
      <w:pPr>
        <w:spacing w:after="285" w:line="276" w:lineRule="auto"/>
        <w:ind w:right="49" w:firstLine="426"/>
        <w:jc w:val="both"/>
        <w:rPr>
          <w:rFonts w:ascii="Century Gothic" w:eastAsia="Times New Roman" w:hAnsi="Century Gothic" w:cs="Arial"/>
          <w:lang w:eastAsia="es-MX"/>
        </w:rPr>
      </w:pPr>
      <w:r>
        <w:rPr>
          <w:rFonts w:ascii="Century Gothic" w:eastAsia="Times New Roman" w:hAnsi="Century Gothic" w:cs="Arial"/>
          <w:lang w:eastAsia="es-MX"/>
        </w:rPr>
        <w:t xml:space="preserve">Dicho instrumento, </w:t>
      </w:r>
      <w:r w:rsidRPr="009244AE">
        <w:rPr>
          <w:rFonts w:ascii="Century Gothic" w:eastAsia="Times New Roman" w:hAnsi="Century Gothic" w:cs="Arial"/>
          <w:lang w:eastAsia="es-MX"/>
        </w:rPr>
        <w:t>mide</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la capacidad de las entidades para generar, atraer y</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retener talento e inversión</w:t>
      </w:r>
      <w:r w:rsidR="002C039D">
        <w:rPr>
          <w:rFonts w:ascii="Century Gothic" w:eastAsia="Times New Roman" w:hAnsi="Century Gothic" w:cs="Arial"/>
          <w:lang w:eastAsia="es-MX"/>
        </w:rPr>
        <w:t xml:space="preserve"> y p</w:t>
      </w:r>
      <w:r w:rsidRPr="009244AE">
        <w:rPr>
          <w:rFonts w:ascii="Century Gothic" w:eastAsia="Times New Roman" w:hAnsi="Century Gothic" w:cs="Arial"/>
          <w:lang w:eastAsia="es-MX"/>
        </w:rPr>
        <w:t>ara</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medir esto, el Índice evalúa tanto las capacidades</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estructurales como coyunturales de las entidades</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a través de indicadores categorizados en subíndices que evalúan distintas dimensiones y</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condiciones que constituyen la base del crecimiento y</w:t>
      </w:r>
      <w:r>
        <w:rPr>
          <w:rFonts w:ascii="Century Gothic" w:eastAsia="Times New Roman" w:hAnsi="Century Gothic" w:cs="Arial"/>
          <w:lang w:eastAsia="es-MX"/>
        </w:rPr>
        <w:t xml:space="preserve"> </w:t>
      </w:r>
      <w:r w:rsidRPr="009244AE">
        <w:rPr>
          <w:rFonts w:ascii="Century Gothic" w:eastAsia="Times New Roman" w:hAnsi="Century Gothic" w:cs="Arial"/>
          <w:lang w:eastAsia="es-MX"/>
        </w:rPr>
        <w:t>desarrollo de estas</w:t>
      </w:r>
      <w:r>
        <w:rPr>
          <w:rFonts w:ascii="Century Gothic" w:eastAsia="Times New Roman" w:hAnsi="Century Gothic" w:cs="Arial"/>
          <w:lang w:eastAsia="es-MX"/>
        </w:rPr>
        <w:t>.</w:t>
      </w:r>
    </w:p>
    <w:p w14:paraId="20779A6F" w14:textId="01B3EDA1" w:rsidR="002C039D" w:rsidRDefault="00CE0D84" w:rsidP="009244AE">
      <w:pPr>
        <w:spacing w:after="285" w:line="276" w:lineRule="auto"/>
        <w:ind w:right="49" w:firstLine="426"/>
        <w:jc w:val="both"/>
        <w:rPr>
          <w:rFonts w:ascii="Century Gothic" w:hAnsi="Century Gothic" w:cs="Arial"/>
        </w:rPr>
      </w:pPr>
      <w:r>
        <w:rPr>
          <w:rFonts w:ascii="Century Gothic" w:eastAsia="Times New Roman" w:hAnsi="Century Gothic" w:cs="Arial"/>
          <w:lang w:eastAsia="es-MX"/>
        </w:rPr>
        <w:t xml:space="preserve">Quienes integramos la Comisión, identificamos el objetivo </w:t>
      </w:r>
      <w:r w:rsidR="00DB2C27">
        <w:rPr>
          <w:rFonts w:ascii="Century Gothic" w:eastAsia="Times New Roman" w:hAnsi="Century Gothic" w:cs="Arial"/>
          <w:lang w:eastAsia="es-MX"/>
        </w:rPr>
        <w:t xml:space="preserve">principal </w:t>
      </w:r>
      <w:r w:rsidR="001A11BD">
        <w:rPr>
          <w:rFonts w:ascii="Century Gothic" w:eastAsia="Times New Roman" w:hAnsi="Century Gothic" w:cs="Arial"/>
          <w:lang w:eastAsia="es-MX"/>
        </w:rPr>
        <w:t>de la propuesta</w:t>
      </w:r>
      <w:r>
        <w:rPr>
          <w:rFonts w:ascii="Century Gothic" w:eastAsia="Times New Roman" w:hAnsi="Century Gothic" w:cs="Arial"/>
          <w:lang w:eastAsia="es-MX"/>
        </w:rPr>
        <w:t xml:space="preserve">, sin </w:t>
      </w:r>
      <w:r w:rsidR="00DB2C27">
        <w:rPr>
          <w:rFonts w:ascii="Century Gothic" w:eastAsia="Times New Roman" w:hAnsi="Century Gothic" w:cs="Arial"/>
          <w:lang w:eastAsia="es-MX"/>
        </w:rPr>
        <w:t>embargo,</w:t>
      </w:r>
      <w:r w:rsidR="008F3DCD">
        <w:rPr>
          <w:rFonts w:ascii="Century Gothic" w:eastAsia="Times New Roman" w:hAnsi="Century Gothic" w:cs="Arial"/>
          <w:lang w:eastAsia="es-MX"/>
        </w:rPr>
        <w:t xml:space="preserve"> </w:t>
      </w:r>
      <w:r w:rsidR="002C039D">
        <w:rPr>
          <w:rFonts w:ascii="Century Gothic" w:eastAsia="Times New Roman" w:hAnsi="Century Gothic" w:cs="Arial"/>
          <w:lang w:eastAsia="es-MX"/>
        </w:rPr>
        <w:t xml:space="preserve">es menester </w:t>
      </w:r>
      <w:r w:rsidR="008F3DCD">
        <w:rPr>
          <w:rFonts w:ascii="Century Gothic" w:eastAsia="Times New Roman" w:hAnsi="Century Gothic" w:cs="Arial"/>
          <w:lang w:eastAsia="es-MX"/>
        </w:rPr>
        <w:t>una revisión integral de la concepción del Índice, de los indicadores que los integra</w:t>
      </w:r>
      <w:r w:rsidR="002D5F49">
        <w:rPr>
          <w:rFonts w:ascii="Century Gothic" w:eastAsia="Times New Roman" w:hAnsi="Century Gothic" w:cs="Arial"/>
          <w:lang w:eastAsia="es-MX"/>
        </w:rPr>
        <w:t>n</w:t>
      </w:r>
      <w:r w:rsidR="008F3DCD">
        <w:rPr>
          <w:rFonts w:ascii="Century Gothic" w:eastAsia="Times New Roman" w:hAnsi="Century Gothic" w:cs="Arial"/>
          <w:lang w:eastAsia="es-MX"/>
        </w:rPr>
        <w:t>, además de revisar las razones de correlación y causalida</w:t>
      </w:r>
      <w:r w:rsidR="00F33C99">
        <w:rPr>
          <w:rFonts w:ascii="Century Gothic" w:eastAsia="Times New Roman" w:hAnsi="Century Gothic" w:cs="Arial"/>
          <w:lang w:eastAsia="es-MX"/>
        </w:rPr>
        <w:t>d</w:t>
      </w:r>
      <w:r w:rsidR="008F3DCD">
        <w:rPr>
          <w:rFonts w:ascii="Century Gothic" w:eastAsia="Times New Roman" w:hAnsi="Century Gothic" w:cs="Arial"/>
          <w:lang w:eastAsia="es-MX"/>
        </w:rPr>
        <w:t xml:space="preserve"> a fin de verificar si, a partir de ellos se desprenden</w:t>
      </w:r>
      <w:r w:rsidR="00F33C99">
        <w:rPr>
          <w:rFonts w:ascii="Century Gothic" w:eastAsia="Times New Roman" w:hAnsi="Century Gothic" w:cs="Arial"/>
          <w:lang w:eastAsia="es-MX"/>
        </w:rPr>
        <w:t xml:space="preserve"> conclusiones para la formulación de políticas públicas. No es un dato menor </w:t>
      </w:r>
      <w:r w:rsidR="001C67EA">
        <w:rPr>
          <w:rFonts w:ascii="Century Gothic" w:eastAsia="Times New Roman" w:hAnsi="Century Gothic" w:cs="Arial"/>
          <w:lang w:eastAsia="es-MX"/>
        </w:rPr>
        <w:t>que, tal</w:t>
      </w:r>
      <w:r w:rsidR="00F33C99">
        <w:rPr>
          <w:rFonts w:ascii="Century Gothic" w:eastAsia="Times New Roman" w:hAnsi="Century Gothic" w:cs="Arial"/>
          <w:lang w:eastAsia="es-MX"/>
        </w:rPr>
        <w:t xml:space="preserve"> como lo indica en algunos rubros por parte del IMCO, </w:t>
      </w:r>
      <w:r w:rsidR="004E6746">
        <w:rPr>
          <w:rFonts w:ascii="Century Gothic" w:eastAsia="Times New Roman" w:hAnsi="Century Gothic" w:cs="Arial"/>
          <w:lang w:eastAsia="es-MX"/>
        </w:rPr>
        <w:t>el ICE no es un modelo de equilibrio general</w:t>
      </w:r>
      <w:r w:rsidR="00F33C99">
        <w:rPr>
          <w:rFonts w:ascii="Century Gothic" w:eastAsia="Times New Roman" w:hAnsi="Century Gothic" w:cs="Arial"/>
          <w:lang w:eastAsia="es-MX"/>
        </w:rPr>
        <w:t>, no se desprende de un análisis cuantitativo que permita derivar razones de causalidad, no existe una evaluación econométrica para concluir incidencia por indicador</w:t>
      </w:r>
      <w:r w:rsidR="004E6746">
        <w:rPr>
          <w:rFonts w:ascii="Century Gothic" w:eastAsia="Times New Roman" w:hAnsi="Century Gothic" w:cs="Arial"/>
          <w:lang w:eastAsia="es-MX"/>
        </w:rPr>
        <w:t xml:space="preserve"> y </w:t>
      </w:r>
      <w:r w:rsidR="00F33C99">
        <w:rPr>
          <w:rFonts w:ascii="Century Gothic" w:eastAsia="Times New Roman" w:hAnsi="Century Gothic" w:cs="Arial"/>
          <w:lang w:eastAsia="es-MX"/>
        </w:rPr>
        <w:t>no se hacen explícitas las interacciones entre los indicadores considerados</w:t>
      </w:r>
      <w:r w:rsidR="003556DF">
        <w:rPr>
          <w:rFonts w:ascii="Century Gothic" w:hAnsi="Century Gothic" w:cs="Arial"/>
        </w:rPr>
        <w:t>.</w:t>
      </w:r>
    </w:p>
    <w:p w14:paraId="6C58685D" w14:textId="26200BD0" w:rsidR="002C039D" w:rsidRDefault="00DF05C6" w:rsidP="001D6AD2">
      <w:pPr>
        <w:spacing w:after="285" w:line="276" w:lineRule="auto"/>
        <w:ind w:right="49" w:firstLine="426"/>
        <w:jc w:val="both"/>
        <w:rPr>
          <w:rFonts w:ascii="Century Gothic" w:hAnsi="Century Gothic" w:cs="Arial"/>
        </w:rPr>
      </w:pPr>
      <w:r>
        <w:rPr>
          <w:rFonts w:ascii="Century Gothic" w:hAnsi="Century Gothic" w:cs="Arial"/>
        </w:rPr>
        <w:t>D</w:t>
      </w:r>
      <w:r w:rsidR="001D6AD2">
        <w:rPr>
          <w:rFonts w:ascii="Century Gothic" w:hAnsi="Century Gothic" w:cs="Arial"/>
        </w:rPr>
        <w:t xml:space="preserve">icho documento es una evaluación </w:t>
      </w:r>
      <w:r w:rsidR="001D6AD2" w:rsidRPr="001D6AD2">
        <w:rPr>
          <w:rFonts w:ascii="Century Gothic" w:hAnsi="Century Gothic" w:cs="Arial"/>
        </w:rPr>
        <w:t>descriptiva</w:t>
      </w:r>
      <w:r w:rsidR="001D6AD2">
        <w:rPr>
          <w:rFonts w:ascii="Century Gothic" w:hAnsi="Century Gothic" w:cs="Arial"/>
        </w:rPr>
        <w:t xml:space="preserve">, que analiza </w:t>
      </w:r>
      <w:r w:rsidR="001D6AD2" w:rsidRPr="001D6AD2">
        <w:rPr>
          <w:rFonts w:ascii="Century Gothic" w:hAnsi="Century Gothic" w:cs="Arial"/>
        </w:rPr>
        <w:t>variaciones entre estado</w:t>
      </w:r>
      <w:r>
        <w:rPr>
          <w:rFonts w:ascii="Century Gothic" w:hAnsi="Century Gothic" w:cs="Arial"/>
        </w:rPr>
        <w:t xml:space="preserve">s e indicadores sujetos a normalizaciones para hacer, lo señala el propio Anexo del </w:t>
      </w:r>
      <w:r w:rsidR="00D709C4">
        <w:rPr>
          <w:rFonts w:ascii="Century Gothic" w:hAnsi="Century Gothic" w:cs="Arial"/>
        </w:rPr>
        <w:t>Índice</w:t>
      </w:r>
      <w:r w:rsidR="00610986">
        <w:rPr>
          <w:rStyle w:val="Refdenotaalpie"/>
          <w:rFonts w:ascii="Century Gothic" w:hAnsi="Century Gothic" w:cs="Arial"/>
        </w:rPr>
        <w:footnoteReference w:id="3"/>
      </w:r>
      <w:r>
        <w:rPr>
          <w:rFonts w:ascii="Century Gothic" w:hAnsi="Century Gothic" w:cs="Arial"/>
        </w:rPr>
        <w:t>, “</w:t>
      </w:r>
      <w:r w:rsidRPr="002D5F49">
        <w:rPr>
          <w:rFonts w:ascii="Century Gothic" w:hAnsi="Century Gothic" w:cs="Arial"/>
          <w:i/>
          <w:iCs/>
        </w:rPr>
        <w:t>conjeturas razonables</w:t>
      </w:r>
      <w:r>
        <w:rPr>
          <w:rFonts w:ascii="Century Gothic" w:hAnsi="Century Gothic" w:cs="Arial"/>
        </w:rPr>
        <w:t>”.</w:t>
      </w:r>
      <w:r w:rsidR="001D6AD2">
        <w:rPr>
          <w:rFonts w:ascii="Century Gothic" w:hAnsi="Century Gothic" w:cs="Arial"/>
        </w:rPr>
        <w:t xml:space="preserve"> </w:t>
      </w:r>
      <w:r>
        <w:rPr>
          <w:rFonts w:ascii="Century Gothic" w:hAnsi="Century Gothic" w:cs="Arial"/>
        </w:rPr>
        <w:t>E</w:t>
      </w:r>
      <w:r w:rsidR="001D6AD2">
        <w:rPr>
          <w:rFonts w:ascii="Century Gothic" w:hAnsi="Century Gothic" w:cs="Arial"/>
        </w:rPr>
        <w:t>s decir</w:t>
      </w:r>
      <w:r>
        <w:rPr>
          <w:rFonts w:ascii="Century Gothic" w:hAnsi="Century Gothic" w:cs="Arial"/>
        </w:rPr>
        <w:t>,</w:t>
      </w:r>
      <w:r w:rsidR="001D6AD2">
        <w:rPr>
          <w:rFonts w:ascii="Century Gothic" w:hAnsi="Century Gothic" w:cs="Arial"/>
        </w:rPr>
        <w:t xml:space="preserve"> </w:t>
      </w:r>
      <w:r>
        <w:rPr>
          <w:rFonts w:ascii="Century Gothic" w:hAnsi="Century Gothic" w:cs="Arial"/>
        </w:rPr>
        <w:t>en términos estrictamente de definición, se está frente a indicadores con datos que permiten realizar observaciones, pero no determinar</w:t>
      </w:r>
      <w:r w:rsidR="001D6AD2">
        <w:rPr>
          <w:rFonts w:ascii="Century Gothic" w:hAnsi="Century Gothic" w:cs="Arial"/>
        </w:rPr>
        <w:t xml:space="preserve"> </w:t>
      </w:r>
      <w:r w:rsidR="001D6AD2" w:rsidRPr="001D6AD2">
        <w:rPr>
          <w:rFonts w:ascii="Century Gothic" w:hAnsi="Century Gothic" w:cs="Arial"/>
        </w:rPr>
        <w:t xml:space="preserve">si </w:t>
      </w:r>
      <w:r>
        <w:rPr>
          <w:rFonts w:ascii="Century Gothic" w:hAnsi="Century Gothic" w:cs="Arial"/>
        </w:rPr>
        <w:t xml:space="preserve">los </w:t>
      </w:r>
      <w:r>
        <w:rPr>
          <w:rFonts w:ascii="Century Gothic" w:hAnsi="Century Gothic" w:cs="Arial"/>
        </w:rPr>
        <w:lastRenderedPageBreak/>
        <w:t xml:space="preserve">elegidos son aquellos que condicionan – y en qué grado lo hacen- la retención de talento y la atracción de inversiones. </w:t>
      </w:r>
    </w:p>
    <w:p w14:paraId="7BCFA31E" w14:textId="6391BDA0" w:rsidR="004E6746" w:rsidRDefault="001D6AD2" w:rsidP="004E6746">
      <w:pPr>
        <w:spacing w:after="285" w:line="276" w:lineRule="auto"/>
        <w:ind w:right="49" w:firstLine="426"/>
        <w:jc w:val="both"/>
        <w:rPr>
          <w:rFonts w:ascii="Century Gothic" w:hAnsi="Century Gothic" w:cs="Arial"/>
          <w:i/>
          <w:iCs/>
        </w:rPr>
      </w:pPr>
      <w:r>
        <w:rPr>
          <w:rFonts w:ascii="Century Gothic" w:hAnsi="Century Gothic" w:cs="Arial"/>
        </w:rPr>
        <w:t xml:space="preserve">Un ejemplo de lo anterior, </w:t>
      </w:r>
      <w:r w:rsidR="00DF05C6">
        <w:rPr>
          <w:rFonts w:ascii="Century Gothic" w:hAnsi="Century Gothic" w:cs="Arial"/>
        </w:rPr>
        <w:t>se refiere el caso de las variables ancla</w:t>
      </w:r>
      <w:r>
        <w:rPr>
          <w:rFonts w:ascii="Century Gothic" w:hAnsi="Century Gothic" w:cs="Arial"/>
        </w:rPr>
        <w:t xml:space="preserve"> como es el caso de la inversión, donde el mismo document</w:t>
      </w:r>
      <w:r w:rsidR="001A11BD">
        <w:rPr>
          <w:rFonts w:ascii="Century Gothic" w:hAnsi="Century Gothic" w:cs="Arial"/>
        </w:rPr>
        <w:t>o establece que</w:t>
      </w:r>
      <w:r>
        <w:rPr>
          <w:rFonts w:ascii="Century Gothic" w:hAnsi="Century Gothic" w:cs="Arial"/>
        </w:rPr>
        <w:t xml:space="preserve"> realiza</w:t>
      </w:r>
      <w:r w:rsidR="004E6746">
        <w:rPr>
          <w:rFonts w:ascii="Century Gothic" w:hAnsi="Century Gothic" w:cs="Arial"/>
        </w:rPr>
        <w:t xml:space="preserve"> sólo</w:t>
      </w:r>
      <w:r>
        <w:rPr>
          <w:rFonts w:ascii="Century Gothic" w:hAnsi="Century Gothic" w:cs="Arial"/>
        </w:rPr>
        <w:t xml:space="preserve"> estimaciones</w:t>
      </w:r>
      <w:r w:rsidR="004E6746">
        <w:rPr>
          <w:rFonts w:ascii="Century Gothic" w:hAnsi="Century Gothic" w:cs="Arial"/>
        </w:rPr>
        <w:t xml:space="preserve"> sobre ésta,</w:t>
      </w:r>
      <w:r>
        <w:rPr>
          <w:rFonts w:ascii="Century Gothic" w:hAnsi="Century Gothic" w:cs="Arial"/>
        </w:rPr>
        <w:t xml:space="preserve"> “…</w:t>
      </w:r>
      <w:r w:rsidRPr="001D6AD2">
        <w:rPr>
          <w:rFonts w:ascii="Century Gothic" w:hAnsi="Century Gothic" w:cs="Arial"/>
          <w:i/>
          <w:iCs/>
        </w:rPr>
        <w:t xml:space="preserve">Para calcular la inversión, </w:t>
      </w:r>
      <w:r w:rsidRPr="001D6AD2">
        <w:rPr>
          <w:rFonts w:ascii="Century Gothic" w:hAnsi="Century Gothic" w:cs="Arial"/>
          <w:i/>
          <w:iCs/>
          <w:u w:val="single"/>
        </w:rPr>
        <w:t>y a falta de estadísticas desagregadas</w:t>
      </w:r>
      <w:r w:rsidRPr="001D6AD2">
        <w:rPr>
          <w:rFonts w:ascii="Century Gothic" w:hAnsi="Century Gothic" w:cs="Arial"/>
          <w:i/>
          <w:iCs/>
        </w:rPr>
        <w:t xml:space="preserve"> con respecto a </w:t>
      </w:r>
      <w:r>
        <w:rPr>
          <w:rFonts w:ascii="Century Gothic" w:hAnsi="Century Gothic" w:cs="Arial"/>
          <w:i/>
          <w:iCs/>
        </w:rPr>
        <w:t>é</w:t>
      </w:r>
      <w:r w:rsidRPr="001D6AD2">
        <w:rPr>
          <w:rFonts w:ascii="Century Gothic" w:hAnsi="Century Gothic" w:cs="Arial"/>
          <w:i/>
          <w:iCs/>
        </w:rPr>
        <w:t xml:space="preserve">sta, </w:t>
      </w:r>
      <w:r w:rsidRPr="001D6AD2">
        <w:rPr>
          <w:rFonts w:ascii="Century Gothic" w:hAnsi="Century Gothic" w:cs="Arial"/>
          <w:i/>
          <w:iCs/>
          <w:u w:val="single"/>
        </w:rPr>
        <w:t>suponemos que en los estados la formación bruta de capital fijo como porcentaje del PIB es igual a la tasa nacional</w:t>
      </w:r>
      <w:r w:rsidRPr="001D6AD2">
        <w:rPr>
          <w:rFonts w:ascii="Century Gothic" w:hAnsi="Century Gothic" w:cs="Arial"/>
          <w:i/>
          <w:iCs/>
        </w:rPr>
        <w:t>. Posteriormente, se toma la estimación del PIB de cada estado y a ésta se le aplica el porcentaje anterior, para así obtener una estimación de la inversión. El indicador final se mide en pesos por persona económicamente activa”.</w:t>
      </w:r>
      <w:r>
        <w:rPr>
          <w:rFonts w:ascii="Century Gothic" w:hAnsi="Century Gothic" w:cs="Arial"/>
          <w:i/>
          <w:iCs/>
        </w:rPr>
        <w:t xml:space="preserve"> </w:t>
      </w:r>
    </w:p>
    <w:p w14:paraId="2E927320" w14:textId="033D45D8" w:rsidR="004E6746" w:rsidRDefault="004E6746" w:rsidP="004E6746">
      <w:pPr>
        <w:spacing w:after="285" w:line="276" w:lineRule="auto"/>
        <w:ind w:right="49" w:firstLine="426"/>
        <w:jc w:val="both"/>
        <w:rPr>
          <w:rFonts w:ascii="Century Gothic" w:hAnsi="Century Gothic" w:cs="Arial"/>
        </w:rPr>
      </w:pPr>
      <w:r>
        <w:rPr>
          <w:rFonts w:ascii="Century Gothic" w:hAnsi="Century Gothic" w:cs="Arial"/>
        </w:rPr>
        <w:t>E</w:t>
      </w:r>
      <w:r w:rsidRPr="004E6746">
        <w:rPr>
          <w:rFonts w:ascii="Century Gothic" w:hAnsi="Century Gothic" w:cs="Arial"/>
        </w:rPr>
        <w:t>ste supuesto</w:t>
      </w:r>
      <w:r>
        <w:rPr>
          <w:rFonts w:ascii="Century Gothic" w:hAnsi="Century Gothic" w:cs="Arial"/>
        </w:rPr>
        <w:t xml:space="preserve"> se vuelve</w:t>
      </w:r>
      <w:r w:rsidRPr="004E6746">
        <w:rPr>
          <w:rFonts w:ascii="Century Gothic" w:hAnsi="Century Gothic" w:cs="Arial"/>
        </w:rPr>
        <w:t xml:space="preserve"> relevante</w:t>
      </w:r>
      <w:r>
        <w:rPr>
          <w:rFonts w:ascii="Century Gothic" w:hAnsi="Century Gothic" w:cs="Arial"/>
        </w:rPr>
        <w:t xml:space="preserve">, </w:t>
      </w:r>
      <w:r w:rsidR="002F7DF8">
        <w:rPr>
          <w:rFonts w:ascii="Century Gothic" w:hAnsi="Century Gothic" w:cs="Arial"/>
        </w:rPr>
        <w:t xml:space="preserve">pues el resultado se deriva de </w:t>
      </w:r>
      <w:r w:rsidR="002F7DF8" w:rsidRPr="004E6746">
        <w:rPr>
          <w:rFonts w:ascii="Century Gothic" w:hAnsi="Century Gothic" w:cs="Arial"/>
        </w:rPr>
        <w:t>una extrapolación de la tasa nacional a cada entidad federativa</w:t>
      </w:r>
      <w:r w:rsidR="002F7DF8">
        <w:rPr>
          <w:rFonts w:ascii="Century Gothic" w:hAnsi="Century Gothic" w:cs="Arial"/>
        </w:rPr>
        <w:t xml:space="preserve">. </w:t>
      </w:r>
    </w:p>
    <w:p w14:paraId="6302C590" w14:textId="238CA96C" w:rsidR="002F7DF8" w:rsidRDefault="001A11BD" w:rsidP="007445CA">
      <w:pPr>
        <w:spacing w:after="285" w:line="276" w:lineRule="auto"/>
        <w:ind w:right="49" w:firstLine="426"/>
        <w:jc w:val="both"/>
        <w:rPr>
          <w:rFonts w:ascii="Century Gothic" w:hAnsi="Century Gothic" w:cs="Arial"/>
        </w:rPr>
      </w:pPr>
      <w:r>
        <w:rPr>
          <w:rFonts w:ascii="Century Gothic" w:hAnsi="Century Gothic" w:cs="Arial"/>
        </w:rPr>
        <w:t>E</w:t>
      </w:r>
      <w:r w:rsidR="007445CA">
        <w:rPr>
          <w:rFonts w:ascii="Century Gothic" w:hAnsi="Century Gothic" w:cs="Arial"/>
        </w:rPr>
        <w:t>s claro</w:t>
      </w:r>
      <w:r w:rsidR="002F7DF8">
        <w:rPr>
          <w:rFonts w:ascii="Century Gothic" w:hAnsi="Century Gothic" w:cs="Arial"/>
        </w:rPr>
        <w:t xml:space="preserve"> </w:t>
      </w:r>
      <w:r>
        <w:rPr>
          <w:rFonts w:ascii="Century Gothic" w:hAnsi="Century Gothic" w:cs="Arial"/>
        </w:rPr>
        <w:t>entonces que</w:t>
      </w:r>
      <w:r w:rsidR="002F7DF8">
        <w:rPr>
          <w:rFonts w:ascii="Century Gothic" w:hAnsi="Century Gothic" w:cs="Arial"/>
        </w:rPr>
        <w:t>,</w:t>
      </w:r>
      <w:r>
        <w:rPr>
          <w:rFonts w:ascii="Century Gothic" w:hAnsi="Century Gothic" w:cs="Arial"/>
        </w:rPr>
        <w:t xml:space="preserve"> </w:t>
      </w:r>
      <w:r w:rsidR="002F7DF8" w:rsidRPr="004E6746">
        <w:rPr>
          <w:rFonts w:ascii="Century Gothic" w:hAnsi="Century Gothic" w:cs="Arial"/>
        </w:rPr>
        <w:t>si la estimación part</w:t>
      </w:r>
      <w:r w:rsidR="002F7DF8">
        <w:rPr>
          <w:rFonts w:ascii="Century Gothic" w:hAnsi="Century Gothic" w:cs="Arial"/>
        </w:rPr>
        <w:t>e</w:t>
      </w:r>
      <w:r w:rsidR="002F7DF8" w:rsidRPr="004E6746">
        <w:rPr>
          <w:rFonts w:ascii="Century Gothic" w:hAnsi="Century Gothic" w:cs="Arial"/>
        </w:rPr>
        <w:t xml:space="preserve"> del promedio nacional de un dato extrapolad</w:t>
      </w:r>
      <w:r w:rsidR="002F7DF8">
        <w:rPr>
          <w:rFonts w:ascii="Century Gothic" w:hAnsi="Century Gothic" w:cs="Arial"/>
        </w:rPr>
        <w:t xml:space="preserve">o, una metodología de esta naturaleza </w:t>
      </w:r>
      <w:r w:rsidR="00DF05C6">
        <w:rPr>
          <w:rFonts w:ascii="Century Gothic" w:hAnsi="Century Gothic" w:cs="Arial"/>
        </w:rPr>
        <w:t>podría omitir elementos relevantes de</w:t>
      </w:r>
      <w:r w:rsidR="004E6746" w:rsidRPr="004E6746">
        <w:rPr>
          <w:rFonts w:ascii="Century Gothic" w:hAnsi="Century Gothic" w:cs="Arial"/>
        </w:rPr>
        <w:t xml:space="preserve"> políticas locales</w:t>
      </w:r>
      <w:r w:rsidR="002F7DF8">
        <w:rPr>
          <w:rFonts w:ascii="Century Gothic" w:hAnsi="Century Gothic" w:cs="Arial"/>
        </w:rPr>
        <w:t>.</w:t>
      </w:r>
      <w:r w:rsidR="007445CA">
        <w:rPr>
          <w:rFonts w:ascii="Century Gothic" w:hAnsi="Century Gothic" w:cs="Arial"/>
        </w:rPr>
        <w:t xml:space="preserve"> </w:t>
      </w:r>
      <w:r w:rsidR="00DF05C6">
        <w:rPr>
          <w:rFonts w:ascii="Century Gothic" w:hAnsi="Century Gothic" w:cs="Arial"/>
        </w:rPr>
        <w:t xml:space="preserve">Si bien se coincide con el señalamiento respecto de la ausencia de un indicador en esta materia, también es relevante señalar </w:t>
      </w:r>
      <w:r w:rsidR="00610986">
        <w:rPr>
          <w:rFonts w:ascii="Century Gothic" w:hAnsi="Century Gothic" w:cs="Arial"/>
        </w:rPr>
        <w:t>que existen</w:t>
      </w:r>
      <w:r w:rsidR="004E6746" w:rsidRPr="004E6746">
        <w:rPr>
          <w:rFonts w:ascii="Century Gothic" w:hAnsi="Century Gothic" w:cs="Arial"/>
        </w:rPr>
        <w:t xml:space="preserve"> </w:t>
      </w:r>
      <w:r w:rsidR="007445CA">
        <w:rPr>
          <w:rFonts w:ascii="Century Gothic" w:hAnsi="Century Gothic" w:cs="Arial"/>
        </w:rPr>
        <w:t xml:space="preserve">propuestas de </w:t>
      </w:r>
      <w:r w:rsidR="004E6746" w:rsidRPr="004E6746">
        <w:rPr>
          <w:rFonts w:ascii="Century Gothic" w:hAnsi="Century Gothic" w:cs="Arial"/>
        </w:rPr>
        <w:t xml:space="preserve">metodologías </w:t>
      </w:r>
      <w:r>
        <w:rPr>
          <w:rFonts w:ascii="Century Gothic" w:hAnsi="Century Gothic" w:cs="Arial"/>
        </w:rPr>
        <w:t xml:space="preserve">que </w:t>
      </w:r>
      <w:r w:rsidR="00DF05C6">
        <w:rPr>
          <w:rFonts w:ascii="Century Gothic" w:hAnsi="Century Gothic" w:cs="Arial"/>
        </w:rPr>
        <w:t>han buscado atender esta</w:t>
      </w:r>
      <w:r w:rsidR="004E6746" w:rsidRPr="004E6746">
        <w:rPr>
          <w:rFonts w:ascii="Century Gothic" w:hAnsi="Century Gothic" w:cs="Arial"/>
        </w:rPr>
        <w:t xml:space="preserve"> problemática</w:t>
      </w:r>
      <w:r w:rsidR="002F7DF8">
        <w:rPr>
          <w:rFonts w:ascii="Century Gothic" w:hAnsi="Century Gothic" w:cs="Arial"/>
        </w:rPr>
        <w:t xml:space="preserve"> a fin de tener un dato más preciso sobre la formación de capital, así como las tasas de depreciación que, en su caso</w:t>
      </w:r>
      <w:r w:rsidR="002D5F49">
        <w:rPr>
          <w:rFonts w:ascii="Century Gothic" w:hAnsi="Century Gothic" w:cs="Arial"/>
        </w:rPr>
        <w:t>,</w:t>
      </w:r>
      <w:r w:rsidR="002F7DF8">
        <w:rPr>
          <w:rFonts w:ascii="Century Gothic" w:hAnsi="Century Gothic" w:cs="Arial"/>
        </w:rPr>
        <w:t xml:space="preserve"> serían aplicables. </w:t>
      </w:r>
    </w:p>
    <w:p w14:paraId="7AF324C0" w14:textId="19327318" w:rsidR="004E6746" w:rsidRPr="007445CA" w:rsidRDefault="002F7DF8" w:rsidP="007445CA">
      <w:pPr>
        <w:spacing w:after="285" w:line="276" w:lineRule="auto"/>
        <w:ind w:right="49" w:firstLine="426"/>
        <w:jc w:val="both"/>
        <w:rPr>
          <w:rFonts w:ascii="Century Gothic" w:hAnsi="Century Gothic" w:cs="Arial"/>
        </w:rPr>
      </w:pPr>
      <w:r>
        <w:rPr>
          <w:rFonts w:ascii="Century Gothic" w:hAnsi="Century Gothic" w:cs="Arial"/>
        </w:rPr>
        <w:t xml:space="preserve">En ese sentido, estimamos que se requieren mayores elementos de análisis respecto de la configuración del </w:t>
      </w:r>
      <w:r w:rsidR="00D709C4">
        <w:rPr>
          <w:rFonts w:ascii="Century Gothic" w:hAnsi="Century Gothic" w:cs="Arial"/>
        </w:rPr>
        <w:t>Índice</w:t>
      </w:r>
      <w:r>
        <w:rPr>
          <w:rFonts w:ascii="Century Gothic" w:hAnsi="Century Gothic" w:cs="Arial"/>
        </w:rPr>
        <w:t xml:space="preserve">, así como de la incidencia de los componentes. </w:t>
      </w:r>
    </w:p>
    <w:p w14:paraId="430469DB" w14:textId="0E3F4214" w:rsidR="002D5F49" w:rsidRDefault="007445CA" w:rsidP="007445CA">
      <w:pPr>
        <w:spacing w:after="285" w:line="276" w:lineRule="auto"/>
        <w:ind w:right="49" w:firstLine="426"/>
        <w:jc w:val="both"/>
        <w:rPr>
          <w:rFonts w:ascii="Century Gothic" w:hAnsi="Century Gothic" w:cs="Arial"/>
        </w:rPr>
      </w:pPr>
      <w:r>
        <w:rPr>
          <w:rFonts w:ascii="Century Gothic" w:hAnsi="Century Gothic" w:cs="Arial"/>
        </w:rPr>
        <w:t>Quienes integramos la Comisión de Desarrollo Económico y Social consideramos n</w:t>
      </w:r>
      <w:r w:rsidRPr="007445CA">
        <w:rPr>
          <w:rFonts w:ascii="Century Gothic" w:hAnsi="Century Gothic" w:cs="Arial"/>
        </w:rPr>
        <w:t>ecesario</w:t>
      </w:r>
      <w:r>
        <w:rPr>
          <w:rFonts w:ascii="Century Gothic" w:hAnsi="Century Gothic" w:cs="Arial"/>
        </w:rPr>
        <w:t xml:space="preserve"> analizar</w:t>
      </w:r>
      <w:r w:rsidRPr="007445CA">
        <w:rPr>
          <w:rFonts w:ascii="Century Gothic" w:hAnsi="Century Gothic" w:cs="Arial"/>
        </w:rPr>
        <w:t xml:space="preserve"> </w:t>
      </w:r>
      <w:r w:rsidR="00C6703C">
        <w:rPr>
          <w:rFonts w:ascii="Century Gothic" w:hAnsi="Century Gothic" w:cs="Arial"/>
        </w:rPr>
        <w:t>diversas consideraciones</w:t>
      </w:r>
      <w:r w:rsidRPr="007445CA">
        <w:rPr>
          <w:rFonts w:ascii="Century Gothic" w:hAnsi="Century Gothic" w:cs="Arial"/>
        </w:rPr>
        <w:t xml:space="preserve"> metodológicas</w:t>
      </w:r>
      <w:r w:rsidR="00A91E70">
        <w:rPr>
          <w:rFonts w:ascii="Century Gothic" w:hAnsi="Century Gothic" w:cs="Arial"/>
        </w:rPr>
        <w:t xml:space="preserve"> en la construcción de un instrumento como el que se analiza</w:t>
      </w:r>
      <w:r w:rsidR="001A11BD">
        <w:rPr>
          <w:rFonts w:ascii="Century Gothic" w:hAnsi="Century Gothic" w:cs="Arial"/>
        </w:rPr>
        <w:t xml:space="preserve">, pues existen </w:t>
      </w:r>
      <w:r w:rsidR="00C6703C">
        <w:rPr>
          <w:rFonts w:ascii="Century Gothic" w:hAnsi="Century Gothic" w:cs="Arial"/>
        </w:rPr>
        <w:t>múltiples</w:t>
      </w:r>
      <w:r w:rsidR="001A11BD">
        <w:rPr>
          <w:rFonts w:ascii="Century Gothic" w:hAnsi="Century Gothic" w:cs="Arial"/>
        </w:rPr>
        <w:t xml:space="preserve"> </w:t>
      </w:r>
      <w:r w:rsidRPr="007445CA">
        <w:rPr>
          <w:rFonts w:ascii="Century Gothic" w:hAnsi="Century Gothic" w:cs="Arial"/>
        </w:rPr>
        <w:t>aproximaciones conceptuales sobre el tema de competitividad</w:t>
      </w:r>
      <w:r w:rsidR="00C6703C">
        <w:rPr>
          <w:rFonts w:ascii="Century Gothic" w:hAnsi="Century Gothic" w:cs="Arial"/>
        </w:rPr>
        <w:t xml:space="preserve">, la </w:t>
      </w:r>
      <w:r w:rsidR="00C6703C">
        <w:rPr>
          <w:rFonts w:ascii="Century Gothic" w:hAnsi="Century Gothic" w:cs="Arial"/>
        </w:rPr>
        <w:lastRenderedPageBreak/>
        <w:t>construcción de factores que la determinan, la causalidad entre estos, así como fundamentos estadísticos que serían determinantes</w:t>
      </w:r>
      <w:r w:rsidR="002D5F49">
        <w:rPr>
          <w:rFonts w:ascii="Century Gothic" w:hAnsi="Century Gothic" w:cs="Arial"/>
        </w:rPr>
        <w:t xml:space="preserve"> revisar a fin de que se utilicen como insumos para fortalecer políticas públicas</w:t>
      </w:r>
      <w:r w:rsidR="00C6703C">
        <w:rPr>
          <w:rFonts w:ascii="Century Gothic" w:hAnsi="Century Gothic" w:cs="Arial"/>
        </w:rPr>
        <w:t xml:space="preserve">. Un análisis de esta naturaleza sería deseable para desprender mejoras de política a partir de aquello que el </w:t>
      </w:r>
      <w:r w:rsidR="00EC0078">
        <w:rPr>
          <w:rFonts w:ascii="Century Gothic" w:hAnsi="Century Gothic" w:cs="Arial"/>
        </w:rPr>
        <w:t>índice</w:t>
      </w:r>
      <w:r w:rsidR="00C6703C">
        <w:rPr>
          <w:rFonts w:ascii="Century Gothic" w:hAnsi="Century Gothic" w:cs="Arial"/>
        </w:rPr>
        <w:t xml:space="preserve"> pretende medir.</w:t>
      </w:r>
      <w:r w:rsidRPr="007445CA">
        <w:rPr>
          <w:rFonts w:ascii="Century Gothic" w:hAnsi="Century Gothic" w:cs="Arial"/>
        </w:rPr>
        <w:t xml:space="preserve"> </w:t>
      </w:r>
    </w:p>
    <w:p w14:paraId="73F2EFC6" w14:textId="1B5DBFB1" w:rsidR="007445CA" w:rsidRDefault="007445CA" w:rsidP="007445CA">
      <w:pPr>
        <w:spacing w:after="285" w:line="276" w:lineRule="auto"/>
        <w:ind w:right="49" w:firstLine="426"/>
        <w:jc w:val="both"/>
        <w:rPr>
          <w:rFonts w:ascii="Century Gothic" w:hAnsi="Century Gothic" w:cs="Arial"/>
        </w:rPr>
      </w:pPr>
      <w:r w:rsidRPr="007445CA">
        <w:rPr>
          <w:rFonts w:ascii="Century Gothic" w:hAnsi="Century Gothic" w:cs="Arial"/>
        </w:rPr>
        <w:t xml:space="preserve">En ese sentido, </w:t>
      </w:r>
      <w:r>
        <w:rPr>
          <w:rFonts w:ascii="Century Gothic" w:hAnsi="Century Gothic" w:cs="Arial"/>
        </w:rPr>
        <w:t xml:space="preserve">el análisis se </w:t>
      </w:r>
      <w:r w:rsidR="00C6703C">
        <w:rPr>
          <w:rFonts w:ascii="Century Gothic" w:hAnsi="Century Gothic" w:cs="Arial"/>
        </w:rPr>
        <w:t>podría</w:t>
      </w:r>
      <w:r>
        <w:rPr>
          <w:rFonts w:ascii="Century Gothic" w:hAnsi="Century Gothic" w:cs="Arial"/>
        </w:rPr>
        <w:t xml:space="preserve"> enfocar la </w:t>
      </w:r>
      <w:r w:rsidRPr="007445CA">
        <w:rPr>
          <w:rFonts w:ascii="Century Gothic" w:hAnsi="Century Gothic" w:cs="Arial"/>
        </w:rPr>
        <w:t>conceptualización</w:t>
      </w:r>
      <w:r>
        <w:rPr>
          <w:rFonts w:ascii="Century Gothic" w:hAnsi="Century Gothic" w:cs="Arial"/>
        </w:rPr>
        <w:t xml:space="preserve"> de</w:t>
      </w:r>
      <w:r w:rsidRPr="007445CA">
        <w:rPr>
          <w:rFonts w:ascii="Century Gothic" w:hAnsi="Century Gothic" w:cs="Arial"/>
        </w:rPr>
        <w:t xml:space="preserve"> los indicadores que se integran en ese universo</w:t>
      </w:r>
      <w:r w:rsidR="00C6703C">
        <w:rPr>
          <w:rFonts w:ascii="Century Gothic" w:hAnsi="Century Gothic" w:cs="Arial"/>
        </w:rPr>
        <w:t xml:space="preserve">, </w:t>
      </w:r>
      <w:r w:rsidRPr="007445CA">
        <w:rPr>
          <w:rFonts w:ascii="Century Gothic" w:hAnsi="Century Gothic" w:cs="Arial"/>
        </w:rPr>
        <w:t>las razones</w:t>
      </w:r>
      <w:r w:rsidR="002D5F49">
        <w:rPr>
          <w:rFonts w:ascii="Century Gothic" w:hAnsi="Century Gothic" w:cs="Arial"/>
        </w:rPr>
        <w:t xml:space="preserve"> de</w:t>
      </w:r>
      <w:r w:rsidRPr="007445CA">
        <w:rPr>
          <w:rFonts w:ascii="Century Gothic" w:hAnsi="Century Gothic" w:cs="Arial"/>
        </w:rPr>
        <w:t xml:space="preserve"> </w:t>
      </w:r>
      <w:r>
        <w:rPr>
          <w:rFonts w:ascii="Century Gothic" w:hAnsi="Century Gothic" w:cs="Arial"/>
        </w:rPr>
        <w:t>su</w:t>
      </w:r>
      <w:r w:rsidRPr="007445CA">
        <w:rPr>
          <w:rFonts w:ascii="Century Gothic" w:hAnsi="Century Gothic" w:cs="Arial"/>
        </w:rPr>
        <w:t xml:space="preserve"> inclusión</w:t>
      </w:r>
      <w:r w:rsidR="00C6703C">
        <w:rPr>
          <w:rFonts w:ascii="Century Gothic" w:hAnsi="Century Gothic" w:cs="Arial"/>
        </w:rPr>
        <w:t xml:space="preserve"> y la posibilidad a partir de ello de construir hipótesis de causalidad. </w:t>
      </w:r>
    </w:p>
    <w:p w14:paraId="36D467C1" w14:textId="065548E8" w:rsidR="00912244" w:rsidRPr="00912244" w:rsidRDefault="00912244" w:rsidP="00912244">
      <w:pPr>
        <w:spacing w:after="285" w:line="276" w:lineRule="auto"/>
        <w:ind w:right="49" w:firstLine="426"/>
        <w:jc w:val="both"/>
        <w:rPr>
          <w:rFonts w:ascii="Century Gothic" w:hAnsi="Century Gothic" w:cs="Arial"/>
        </w:rPr>
      </w:pPr>
      <w:r>
        <w:rPr>
          <w:rFonts w:ascii="Century Gothic" w:hAnsi="Century Gothic" w:cs="Arial"/>
        </w:rPr>
        <w:t xml:space="preserve">En las consideraciones de quienes integramos esta Comisión, se estima que podría ser precipitado derivar mecanismos de mejora en la política y programas de desarrollo económico y social, cuando el propio anexo del </w:t>
      </w:r>
      <w:r w:rsidR="00D709C4">
        <w:rPr>
          <w:rFonts w:ascii="Century Gothic" w:hAnsi="Century Gothic" w:cs="Arial"/>
        </w:rPr>
        <w:t>Índice</w:t>
      </w:r>
      <w:r>
        <w:rPr>
          <w:rFonts w:ascii="Century Gothic" w:hAnsi="Century Gothic" w:cs="Arial"/>
        </w:rPr>
        <w:t xml:space="preserve"> señala que éste </w:t>
      </w:r>
      <w:r w:rsidRPr="007445CA">
        <w:rPr>
          <w:rFonts w:ascii="Century Gothic" w:hAnsi="Century Gothic" w:cs="Arial"/>
          <w:i/>
          <w:iCs/>
        </w:rPr>
        <w:t>“</w:t>
      </w:r>
      <w:r>
        <w:rPr>
          <w:rFonts w:ascii="Century Gothic" w:hAnsi="Century Gothic" w:cs="Arial"/>
          <w:i/>
          <w:iCs/>
        </w:rPr>
        <w:t>n</w:t>
      </w:r>
      <w:r w:rsidRPr="007445CA">
        <w:rPr>
          <w:rFonts w:ascii="Century Gothic" w:hAnsi="Century Gothic" w:cs="Arial"/>
          <w:i/>
          <w:iCs/>
        </w:rPr>
        <w:t>o permite realizar predicciones ni determinar causalidad”.</w:t>
      </w:r>
      <w:r>
        <w:rPr>
          <w:rFonts w:ascii="Century Gothic" w:hAnsi="Century Gothic" w:cs="Arial"/>
          <w:i/>
          <w:iCs/>
        </w:rPr>
        <w:t xml:space="preserve"> </w:t>
      </w:r>
      <w:r>
        <w:rPr>
          <w:rFonts w:ascii="Century Gothic" w:hAnsi="Century Gothic" w:cs="Arial"/>
        </w:rPr>
        <w:t>Es decir, se estima complejo lograr “</w:t>
      </w:r>
      <w:r w:rsidRPr="002D5F49">
        <w:rPr>
          <w:rFonts w:ascii="Century Gothic" w:hAnsi="Century Gothic" w:cs="Arial"/>
          <w:i/>
          <w:iCs/>
        </w:rPr>
        <w:t>mecanismos de mejora</w:t>
      </w:r>
      <w:r>
        <w:rPr>
          <w:rFonts w:ascii="Century Gothic" w:hAnsi="Century Gothic" w:cs="Arial"/>
        </w:rPr>
        <w:t>”, cuando de la propia construcción de la herramienta</w:t>
      </w:r>
      <w:r w:rsidR="00A91E70">
        <w:rPr>
          <w:rFonts w:ascii="Century Gothic" w:hAnsi="Century Gothic" w:cs="Arial"/>
        </w:rPr>
        <w:t xml:space="preserve"> se reconoce que</w:t>
      </w:r>
      <w:r>
        <w:rPr>
          <w:rFonts w:ascii="Century Gothic" w:hAnsi="Century Gothic" w:cs="Arial"/>
        </w:rPr>
        <w:t xml:space="preserve"> no es posible establecer aquellas variables que influyen causalmente en </w:t>
      </w:r>
      <w:r w:rsidR="00200C56">
        <w:rPr>
          <w:rFonts w:ascii="Century Gothic" w:hAnsi="Century Gothic" w:cs="Arial"/>
        </w:rPr>
        <w:t xml:space="preserve">los </w:t>
      </w:r>
      <w:r>
        <w:rPr>
          <w:rFonts w:ascii="Century Gothic" w:hAnsi="Century Gothic" w:cs="Arial"/>
        </w:rPr>
        <w:t>facto</w:t>
      </w:r>
      <w:r w:rsidR="00127B73">
        <w:rPr>
          <w:rFonts w:ascii="Century Gothic" w:hAnsi="Century Gothic" w:cs="Arial"/>
        </w:rPr>
        <w:t>r</w:t>
      </w:r>
      <w:r w:rsidR="00200C56">
        <w:rPr>
          <w:rFonts w:ascii="Century Gothic" w:hAnsi="Century Gothic" w:cs="Arial"/>
        </w:rPr>
        <w:t>es</w:t>
      </w:r>
      <w:r>
        <w:rPr>
          <w:rFonts w:ascii="Century Gothic" w:hAnsi="Century Gothic" w:cs="Arial"/>
        </w:rPr>
        <w:t xml:space="preserve"> que se busca fortalecer.  </w:t>
      </w:r>
    </w:p>
    <w:p w14:paraId="22F561C1" w14:textId="6754DF66" w:rsidR="007445CA" w:rsidRDefault="00127B73" w:rsidP="007445CA">
      <w:pPr>
        <w:spacing w:after="285" w:line="276" w:lineRule="auto"/>
        <w:ind w:right="49" w:firstLine="426"/>
        <w:jc w:val="both"/>
        <w:rPr>
          <w:rFonts w:ascii="Century Gothic" w:hAnsi="Century Gothic" w:cs="Arial"/>
        </w:rPr>
      </w:pPr>
      <w:r>
        <w:rPr>
          <w:rFonts w:ascii="Century Gothic" w:hAnsi="Century Gothic" w:cs="Arial"/>
        </w:rPr>
        <w:t xml:space="preserve">Existen, asimismo, casos indicativos que muestran la pertinencia por lograr mejorar elementos de la herramienta previo a derivar de ésta propuestas de mejora. Se comparten sólo como casos indicativos </w:t>
      </w:r>
      <w:r w:rsidR="00A91E70">
        <w:rPr>
          <w:rFonts w:ascii="Century Gothic" w:hAnsi="Century Gothic" w:cs="Arial"/>
        </w:rPr>
        <w:t>que sirven de base para las conclusiones del presente dictamen</w:t>
      </w:r>
      <w:r w:rsidR="007445CA" w:rsidRPr="007445CA">
        <w:rPr>
          <w:rFonts w:ascii="Century Gothic" w:hAnsi="Century Gothic" w:cs="Arial"/>
        </w:rPr>
        <w:t>:</w:t>
      </w:r>
    </w:p>
    <w:p w14:paraId="417E53B1" w14:textId="77777777" w:rsidR="007445CA" w:rsidRDefault="007445CA" w:rsidP="007445CA">
      <w:pPr>
        <w:pStyle w:val="Prrafodelista"/>
        <w:numPr>
          <w:ilvl w:val="0"/>
          <w:numId w:val="4"/>
        </w:numPr>
        <w:spacing w:after="285" w:line="276" w:lineRule="auto"/>
        <w:ind w:right="49"/>
        <w:jc w:val="both"/>
        <w:rPr>
          <w:rFonts w:ascii="Century Gothic" w:hAnsi="Century Gothic" w:cs="Arial"/>
        </w:rPr>
      </w:pPr>
      <w:r w:rsidRPr="007445CA">
        <w:rPr>
          <w:rFonts w:ascii="Century Gothic" w:hAnsi="Century Gothic" w:cs="Arial"/>
          <w:b/>
          <w:bCs/>
        </w:rPr>
        <w:t>Caudal tratado de aguas residuales.</w:t>
      </w:r>
      <w:r w:rsidRPr="007445CA">
        <w:rPr>
          <w:rFonts w:ascii="Century Gothic" w:hAnsi="Century Gothic" w:cs="Arial"/>
        </w:rPr>
        <w:t xml:space="preserve"> El indicador del IMCO se basa solamente en el caudal tratado por el total de las plantas de tratamiento respecto a la población estatal, pero no toma en cuenta la eficiencia de los propios sistemas operadores de agua.</w:t>
      </w:r>
    </w:p>
    <w:p w14:paraId="6B3BF716" w14:textId="77777777" w:rsidR="007445CA" w:rsidRDefault="007445CA" w:rsidP="007445CA">
      <w:pPr>
        <w:pStyle w:val="Prrafodelista"/>
        <w:spacing w:after="285" w:line="276" w:lineRule="auto"/>
        <w:ind w:left="1146" w:right="49"/>
        <w:jc w:val="both"/>
        <w:rPr>
          <w:rFonts w:ascii="Century Gothic" w:hAnsi="Century Gothic" w:cs="Arial"/>
        </w:rPr>
      </w:pPr>
    </w:p>
    <w:p w14:paraId="0CC66F92" w14:textId="77777777" w:rsidR="007445CA" w:rsidRDefault="007445CA" w:rsidP="007445CA">
      <w:pPr>
        <w:pStyle w:val="Prrafodelista"/>
        <w:spacing w:after="285" w:line="276" w:lineRule="auto"/>
        <w:ind w:left="1146" w:right="49"/>
        <w:jc w:val="both"/>
        <w:rPr>
          <w:rFonts w:ascii="Century Gothic" w:hAnsi="Century Gothic" w:cs="Arial"/>
        </w:rPr>
      </w:pPr>
      <w:r w:rsidRPr="007445CA">
        <w:rPr>
          <w:rFonts w:ascii="Century Gothic" w:hAnsi="Century Gothic" w:cs="Arial"/>
        </w:rPr>
        <w:t xml:space="preserve">En este caso, el Estado de Guanajuato presenta una dotación promedio de inyección a los sistemas de agua de 169 litros por habitante al día, valor por debajo de la media nacional que </w:t>
      </w:r>
      <w:proofErr w:type="gramStart"/>
      <w:r w:rsidRPr="007445CA">
        <w:rPr>
          <w:rFonts w:ascii="Century Gothic" w:hAnsi="Century Gothic" w:cs="Arial"/>
        </w:rPr>
        <w:t>de acuerdo a</w:t>
      </w:r>
      <w:proofErr w:type="gramEnd"/>
      <w:r w:rsidRPr="007445CA">
        <w:rPr>
          <w:rFonts w:ascii="Century Gothic" w:hAnsi="Century Gothic" w:cs="Arial"/>
        </w:rPr>
        <w:t xml:space="preserve"> los datos obtenidos del Programa de Indicadores de </w:t>
      </w:r>
      <w:r w:rsidRPr="007445CA">
        <w:rPr>
          <w:rFonts w:ascii="Century Gothic" w:hAnsi="Century Gothic" w:cs="Arial"/>
        </w:rPr>
        <w:lastRenderedPageBreak/>
        <w:t xml:space="preserve">Gestión de Organismos Operadores (PIGOO) administrado por el Instituto Mexicano de Tecnología del Agua (IMTA) es de 222.97. El ICE menciona que la entidad mejor valorada para este indicador es Hidalgo (pg. 17), y </w:t>
      </w:r>
      <w:proofErr w:type="gramStart"/>
      <w:r w:rsidRPr="007445CA">
        <w:rPr>
          <w:rFonts w:ascii="Century Gothic" w:hAnsi="Century Gothic" w:cs="Arial"/>
        </w:rPr>
        <w:t>de acuerdo al</w:t>
      </w:r>
      <w:proofErr w:type="gramEnd"/>
      <w:r w:rsidRPr="007445CA">
        <w:rPr>
          <w:rFonts w:ascii="Century Gothic" w:hAnsi="Century Gothic" w:cs="Arial"/>
        </w:rPr>
        <w:t xml:space="preserve"> mismo PIGOO la dotación promedio en las 4 ciudades con datos (Tepeji del Río, Ixmiquilpan, Pachuca y Tulancingo) es de 191.36 Litros por habitante al día. Esto indica que</w:t>
      </w:r>
      <w:r>
        <w:rPr>
          <w:rFonts w:ascii="Century Gothic" w:hAnsi="Century Gothic" w:cs="Arial"/>
        </w:rPr>
        <w:t xml:space="preserve"> </w:t>
      </w:r>
      <w:r w:rsidRPr="007445CA">
        <w:rPr>
          <w:rFonts w:ascii="Century Gothic" w:hAnsi="Century Gothic" w:cs="Arial"/>
        </w:rPr>
        <w:t>la inyección de agua por habitante es menor en Guanajuato, y por ende se genera menos aportación de aguas residuales.</w:t>
      </w:r>
    </w:p>
    <w:p w14:paraId="70CA6BBC" w14:textId="77777777" w:rsidR="007445CA" w:rsidRDefault="007445CA" w:rsidP="007445CA">
      <w:pPr>
        <w:pStyle w:val="Prrafodelista"/>
        <w:spacing w:after="285" w:line="276" w:lineRule="auto"/>
        <w:ind w:left="1146" w:right="49"/>
        <w:jc w:val="both"/>
        <w:rPr>
          <w:rFonts w:ascii="Century Gothic" w:hAnsi="Century Gothic" w:cs="Arial"/>
        </w:rPr>
      </w:pPr>
    </w:p>
    <w:p w14:paraId="199A33D4" w14:textId="77777777" w:rsidR="007445CA" w:rsidRDefault="007445CA" w:rsidP="007445CA">
      <w:pPr>
        <w:pStyle w:val="Prrafodelista"/>
        <w:numPr>
          <w:ilvl w:val="0"/>
          <w:numId w:val="4"/>
        </w:numPr>
        <w:spacing w:after="285" w:line="276" w:lineRule="auto"/>
        <w:ind w:right="49"/>
        <w:jc w:val="both"/>
        <w:rPr>
          <w:rFonts w:ascii="Century Gothic" w:hAnsi="Century Gothic" w:cs="Arial"/>
        </w:rPr>
      </w:pPr>
      <w:r w:rsidRPr="007445CA">
        <w:rPr>
          <w:rFonts w:ascii="Century Gothic" w:hAnsi="Century Gothic" w:cs="Arial"/>
          <w:b/>
          <w:bCs/>
        </w:rPr>
        <w:t>Interacción con el gobierno por medios electrónicos.</w:t>
      </w:r>
      <w:r w:rsidRPr="007445CA">
        <w:rPr>
          <w:rFonts w:ascii="Century Gothic" w:hAnsi="Century Gothic" w:cs="Arial"/>
        </w:rPr>
        <w:t xml:space="preserve"> Este indicador que corresponde a la medición realizada por el Instituto Nacional de Estadística y Geografía en 2021, mediante la Encuesta de Calidad e Impacto Gubernamental (ENCIG). La ENCIG no necesariamente distingue entre interacciones realizadas en los diferentes órdenes de gobierno, ni los factores por los cuales la población puede o no interactuar con la oferta digital de las administraciones públicas.</w:t>
      </w:r>
    </w:p>
    <w:p w14:paraId="159376A2" w14:textId="77777777" w:rsidR="007445CA" w:rsidRDefault="007445CA" w:rsidP="007445CA">
      <w:pPr>
        <w:pStyle w:val="Prrafodelista"/>
        <w:spacing w:after="285" w:line="276" w:lineRule="auto"/>
        <w:ind w:left="1146" w:right="49"/>
        <w:jc w:val="both"/>
        <w:rPr>
          <w:rFonts w:ascii="Century Gothic" w:hAnsi="Century Gothic" w:cs="Arial"/>
        </w:rPr>
      </w:pPr>
    </w:p>
    <w:p w14:paraId="0763EB6E" w14:textId="6F991B78" w:rsidR="007445CA" w:rsidRDefault="007445CA" w:rsidP="007445CA">
      <w:pPr>
        <w:pStyle w:val="Prrafodelista"/>
        <w:numPr>
          <w:ilvl w:val="0"/>
          <w:numId w:val="4"/>
        </w:numPr>
        <w:spacing w:after="285" w:line="276" w:lineRule="auto"/>
        <w:ind w:right="49"/>
        <w:jc w:val="both"/>
        <w:rPr>
          <w:rFonts w:ascii="Century Gothic" w:hAnsi="Century Gothic" w:cs="Arial"/>
        </w:rPr>
      </w:pPr>
      <w:r w:rsidRPr="007445CA">
        <w:rPr>
          <w:rFonts w:ascii="Century Gothic" w:hAnsi="Century Gothic" w:cs="Arial"/>
          <w:b/>
          <w:bCs/>
        </w:rPr>
        <w:t>Ingresos propios (Porcentaje de los ingresos totales del estado)</w:t>
      </w:r>
      <w:r>
        <w:rPr>
          <w:rFonts w:ascii="Century Gothic" w:hAnsi="Century Gothic" w:cs="Arial"/>
          <w:b/>
          <w:bCs/>
        </w:rPr>
        <w:t>.</w:t>
      </w:r>
      <w:r w:rsidRPr="007445CA">
        <w:rPr>
          <w:rFonts w:ascii="Century Gothic" w:hAnsi="Century Gothic" w:cs="Arial"/>
        </w:rPr>
        <w:t xml:space="preserve"> Se deben considerar </w:t>
      </w:r>
      <w:r w:rsidR="00A91E70">
        <w:rPr>
          <w:rFonts w:ascii="Century Gothic" w:hAnsi="Century Gothic" w:cs="Arial"/>
        </w:rPr>
        <w:t>dos</w:t>
      </w:r>
      <w:r w:rsidRPr="007445CA">
        <w:rPr>
          <w:rFonts w:ascii="Century Gothic" w:hAnsi="Century Gothic" w:cs="Arial"/>
        </w:rPr>
        <w:t xml:space="preserve"> situaciones, por un lado, el total de ingresos no debe contener el monto de endeudamiento, ya que es un pasivo y no un ingreso generado por la Entidad. Asimismo, se debe considerar que algunos Estados suman los ingresos por cuotas y aportaciones de seguridad social, así como de entes diferentes al sector central; lo cual distorsiona el análisis.</w:t>
      </w:r>
    </w:p>
    <w:p w14:paraId="1F4B9CC0" w14:textId="77777777" w:rsidR="007445CA" w:rsidRPr="007445CA" w:rsidRDefault="007445CA" w:rsidP="007445CA">
      <w:pPr>
        <w:pStyle w:val="Prrafodelista"/>
        <w:rPr>
          <w:rFonts w:ascii="Century Gothic" w:hAnsi="Century Gothic" w:cs="Arial"/>
        </w:rPr>
      </w:pPr>
    </w:p>
    <w:p w14:paraId="6E506E6A" w14:textId="77777777" w:rsidR="007445CA" w:rsidRDefault="007445CA" w:rsidP="007445CA">
      <w:pPr>
        <w:pStyle w:val="Prrafodelista"/>
        <w:numPr>
          <w:ilvl w:val="0"/>
          <w:numId w:val="4"/>
        </w:numPr>
        <w:spacing w:after="285" w:line="276" w:lineRule="auto"/>
        <w:ind w:right="49"/>
        <w:jc w:val="both"/>
        <w:rPr>
          <w:rFonts w:ascii="Century Gothic" w:hAnsi="Century Gothic" w:cs="Arial"/>
        </w:rPr>
      </w:pPr>
      <w:r w:rsidRPr="007445CA">
        <w:rPr>
          <w:rFonts w:ascii="Century Gothic" w:hAnsi="Century Gothic" w:cs="Arial"/>
          <w:b/>
          <w:bCs/>
        </w:rPr>
        <w:t>Grado de Escolaridad (años promedios de escolaridad en población de 25 años y más.</w:t>
      </w:r>
      <w:r w:rsidRPr="007445CA">
        <w:rPr>
          <w:rFonts w:ascii="Century Gothic" w:hAnsi="Century Gothic" w:cs="Arial"/>
        </w:rPr>
        <w:t xml:space="preserve"> Es importante resaltar que para el cálculo de este indicador y algunos otros, el IMCO toma como base el porcentaje de personas de 25 años y o más, entendiendo que es la población “productiva”. incluyendo a la población que </w:t>
      </w:r>
      <w:r w:rsidRPr="007445CA">
        <w:rPr>
          <w:rFonts w:ascii="Century Gothic" w:hAnsi="Century Gothic" w:cs="Arial"/>
        </w:rPr>
        <w:lastRenderedPageBreak/>
        <w:t>ya no se puede considerar como “productiva” como lo es el rango de 65 años y más.</w:t>
      </w:r>
    </w:p>
    <w:p w14:paraId="1EA8D531" w14:textId="77777777" w:rsidR="007445CA" w:rsidRPr="007445CA" w:rsidRDefault="007445CA" w:rsidP="007445CA">
      <w:pPr>
        <w:pStyle w:val="Prrafodelista"/>
        <w:rPr>
          <w:rFonts w:ascii="Century Gothic" w:hAnsi="Century Gothic" w:cs="Arial"/>
        </w:rPr>
      </w:pPr>
    </w:p>
    <w:p w14:paraId="39E5CD58" w14:textId="3460E54D" w:rsidR="007445CA" w:rsidRDefault="007445CA" w:rsidP="007445CA">
      <w:pPr>
        <w:pStyle w:val="Prrafodelista"/>
        <w:spacing w:after="285" w:line="276" w:lineRule="auto"/>
        <w:ind w:left="1146" w:right="49"/>
        <w:jc w:val="both"/>
        <w:rPr>
          <w:rFonts w:ascii="Century Gothic" w:hAnsi="Century Gothic" w:cs="Arial"/>
        </w:rPr>
      </w:pPr>
      <w:r w:rsidRPr="007445CA">
        <w:rPr>
          <w:rFonts w:ascii="Century Gothic" w:hAnsi="Century Gothic" w:cs="Arial"/>
        </w:rPr>
        <w:t xml:space="preserve">Para este caso, </w:t>
      </w:r>
      <w:r w:rsidR="00A91E70">
        <w:rPr>
          <w:rFonts w:ascii="Century Gothic" w:hAnsi="Century Gothic" w:cs="Arial"/>
        </w:rPr>
        <w:t>un análisis más preciso buscaría</w:t>
      </w:r>
      <w:r w:rsidRPr="007445CA">
        <w:rPr>
          <w:rFonts w:ascii="Century Gothic" w:hAnsi="Century Gothic" w:cs="Arial"/>
        </w:rPr>
        <w:t xml:space="preserve"> acotar el rango de edad, para entonces sí identificar qu</w:t>
      </w:r>
      <w:r w:rsidR="00A91E70">
        <w:rPr>
          <w:rFonts w:ascii="Century Gothic" w:hAnsi="Century Gothic" w:cs="Arial"/>
        </w:rPr>
        <w:t>é</w:t>
      </w:r>
      <w:r w:rsidRPr="007445CA">
        <w:rPr>
          <w:rFonts w:ascii="Century Gothic" w:hAnsi="Century Gothic" w:cs="Arial"/>
        </w:rPr>
        <w:t xml:space="preserve"> niveles educativos está alcanzando dicha población que en este momento es productiva en los estados. El indicador correcto sería el nivel educativo que alcanza la población de 25 a 64 años, entendiendo que es la población que está buscando trabajo o está activa (PEA).</w:t>
      </w:r>
    </w:p>
    <w:p w14:paraId="60624BFB" w14:textId="77777777" w:rsidR="007445CA" w:rsidRDefault="007445CA" w:rsidP="007445CA">
      <w:pPr>
        <w:pStyle w:val="Prrafodelista"/>
        <w:spacing w:after="285" w:line="276" w:lineRule="auto"/>
        <w:ind w:left="1146" w:right="49"/>
        <w:jc w:val="both"/>
        <w:rPr>
          <w:rFonts w:ascii="Century Gothic" w:hAnsi="Century Gothic" w:cs="Arial"/>
        </w:rPr>
      </w:pPr>
    </w:p>
    <w:p w14:paraId="4B08E82C" w14:textId="153D0E9C" w:rsidR="007445CA" w:rsidRDefault="007445CA" w:rsidP="007445CA">
      <w:pPr>
        <w:pStyle w:val="Prrafodelista"/>
        <w:numPr>
          <w:ilvl w:val="0"/>
          <w:numId w:val="4"/>
        </w:numPr>
        <w:spacing w:after="285" w:line="276" w:lineRule="auto"/>
        <w:ind w:right="49"/>
        <w:jc w:val="both"/>
        <w:rPr>
          <w:rFonts w:ascii="Century Gothic" w:hAnsi="Century Gothic" w:cs="Arial"/>
        </w:rPr>
      </w:pPr>
      <w:r w:rsidRPr="007445CA">
        <w:rPr>
          <w:rFonts w:ascii="Century Gothic" w:hAnsi="Century Gothic" w:cs="Arial"/>
          <w:b/>
          <w:bCs/>
        </w:rPr>
        <w:t>Rendimiento académico.</w:t>
      </w:r>
      <w:r w:rsidRPr="007445CA">
        <w:rPr>
          <w:rFonts w:ascii="Century Gothic" w:hAnsi="Century Gothic" w:cs="Arial"/>
        </w:rPr>
        <w:t xml:space="preserve"> Esta medición </w:t>
      </w:r>
      <w:r w:rsidR="00A91E70">
        <w:rPr>
          <w:rFonts w:ascii="Century Gothic" w:hAnsi="Century Gothic" w:cs="Arial"/>
        </w:rPr>
        <w:t xml:space="preserve">toma </w:t>
      </w:r>
      <w:r w:rsidRPr="007445CA">
        <w:rPr>
          <w:rFonts w:ascii="Century Gothic" w:hAnsi="Century Gothic" w:cs="Arial"/>
        </w:rPr>
        <w:t>dato</w:t>
      </w:r>
      <w:r w:rsidR="00A91E70">
        <w:rPr>
          <w:rFonts w:ascii="Century Gothic" w:hAnsi="Century Gothic" w:cs="Arial"/>
        </w:rPr>
        <w:t>s</w:t>
      </w:r>
      <w:r w:rsidRPr="007445CA">
        <w:rPr>
          <w:rFonts w:ascii="Century Gothic" w:hAnsi="Century Gothic" w:cs="Arial"/>
        </w:rPr>
        <w:t xml:space="preserve"> desactualizado (2019) y</w:t>
      </w:r>
      <w:r w:rsidR="00A91E70">
        <w:rPr>
          <w:rFonts w:ascii="Century Gothic" w:hAnsi="Century Gothic" w:cs="Arial"/>
        </w:rPr>
        <w:t xml:space="preserve"> y</w:t>
      </w:r>
      <w:r w:rsidRPr="007445CA">
        <w:rPr>
          <w:rFonts w:ascii="Century Gothic" w:hAnsi="Century Gothic" w:cs="Arial"/>
        </w:rPr>
        <w:t>a no hay continuidad en su medición.</w:t>
      </w:r>
    </w:p>
    <w:p w14:paraId="6BFA8649" w14:textId="77777777" w:rsidR="007445CA" w:rsidRDefault="007445CA" w:rsidP="007445CA">
      <w:pPr>
        <w:pStyle w:val="Prrafodelista"/>
        <w:spacing w:after="285" w:line="276" w:lineRule="auto"/>
        <w:ind w:left="1146" w:right="49"/>
        <w:jc w:val="both"/>
        <w:rPr>
          <w:rFonts w:ascii="Century Gothic" w:hAnsi="Century Gothic" w:cs="Arial"/>
        </w:rPr>
      </w:pPr>
    </w:p>
    <w:p w14:paraId="4386CAF5" w14:textId="10DC74B5" w:rsidR="007445CA" w:rsidRDefault="007445CA" w:rsidP="007445CA">
      <w:pPr>
        <w:pStyle w:val="Prrafodelista"/>
        <w:numPr>
          <w:ilvl w:val="0"/>
          <w:numId w:val="4"/>
        </w:numPr>
        <w:spacing w:after="285" w:line="276" w:lineRule="auto"/>
        <w:ind w:right="49"/>
        <w:jc w:val="both"/>
        <w:rPr>
          <w:rFonts w:ascii="Century Gothic" w:hAnsi="Century Gothic" w:cs="Arial"/>
        </w:rPr>
      </w:pPr>
      <w:r w:rsidRPr="007445CA">
        <w:rPr>
          <w:rFonts w:ascii="Century Gothic" w:hAnsi="Century Gothic" w:cs="Arial"/>
          <w:b/>
          <w:bCs/>
        </w:rPr>
        <w:t>Mortalidad infantil (Defunciones de menores de 1 año por cada mil nacidos vivos).</w:t>
      </w:r>
      <w:r w:rsidRPr="007445CA">
        <w:rPr>
          <w:rFonts w:ascii="Century Gothic" w:hAnsi="Century Gothic" w:cs="Arial"/>
        </w:rPr>
        <w:t xml:space="preserve"> El indicador de mortalidad infantil se encuentra construido para su reporte en IMCO 2023 utilizando: como numerador las defunciones de menores de un año por entidad de residencia durante el 2021 y como denominador el número de nacimientos registrados en el estado</w:t>
      </w:r>
      <w:r w:rsidR="00A91E70">
        <w:rPr>
          <w:rFonts w:ascii="Century Gothic" w:hAnsi="Century Gothic" w:cs="Arial"/>
        </w:rPr>
        <w:t>.</w:t>
      </w:r>
    </w:p>
    <w:p w14:paraId="2524E9C8" w14:textId="77777777" w:rsidR="007445CA" w:rsidRPr="007445CA" w:rsidRDefault="007445CA" w:rsidP="007445CA">
      <w:pPr>
        <w:pStyle w:val="Prrafodelista"/>
        <w:rPr>
          <w:rFonts w:ascii="Century Gothic" w:hAnsi="Century Gothic" w:cs="Arial"/>
        </w:rPr>
      </w:pPr>
    </w:p>
    <w:p w14:paraId="46458B12" w14:textId="7750190C" w:rsidR="0069082E" w:rsidRDefault="007445CA" w:rsidP="0069082E">
      <w:pPr>
        <w:pStyle w:val="Prrafodelista"/>
        <w:spacing w:after="285" w:line="276" w:lineRule="auto"/>
        <w:ind w:left="1146" w:right="49"/>
        <w:jc w:val="both"/>
        <w:rPr>
          <w:rFonts w:ascii="Century Gothic" w:hAnsi="Century Gothic" w:cs="Arial"/>
        </w:rPr>
      </w:pPr>
      <w:r w:rsidRPr="007445CA">
        <w:rPr>
          <w:rFonts w:ascii="Century Gothic" w:hAnsi="Century Gothic" w:cs="Arial"/>
        </w:rPr>
        <w:t xml:space="preserve">Sin embargo, </w:t>
      </w:r>
      <w:r w:rsidR="00A91E70">
        <w:rPr>
          <w:rFonts w:ascii="Century Gothic" w:hAnsi="Century Gothic" w:cs="Arial"/>
        </w:rPr>
        <w:t>el</w:t>
      </w:r>
      <w:r w:rsidRPr="007445CA">
        <w:rPr>
          <w:rFonts w:ascii="Century Gothic" w:hAnsi="Century Gothic" w:cs="Arial"/>
        </w:rPr>
        <w:t xml:space="preserve"> indicador </w:t>
      </w:r>
      <w:r w:rsidR="00A91E70">
        <w:rPr>
          <w:rFonts w:ascii="Century Gothic" w:hAnsi="Century Gothic" w:cs="Arial"/>
        </w:rPr>
        <w:t>sería más preciso si se</w:t>
      </w:r>
      <w:r w:rsidRPr="007445CA">
        <w:rPr>
          <w:rFonts w:ascii="Century Gothic" w:hAnsi="Century Gothic" w:cs="Arial"/>
        </w:rPr>
        <w:t xml:space="preserve"> utiliza como numerador las defunciones por entidad de residencia en menores de 1 año y como denominador el número de nacimientos ocurridos por entidad de residencia en el mismo periodo de tiempo, realizando este cálculo </w:t>
      </w:r>
      <w:r w:rsidR="00A91E70">
        <w:rPr>
          <w:rFonts w:ascii="Century Gothic" w:hAnsi="Century Gothic" w:cs="Arial"/>
        </w:rPr>
        <w:t>el resultado es diferente.</w:t>
      </w:r>
    </w:p>
    <w:p w14:paraId="798E4537" w14:textId="77777777" w:rsidR="0069082E" w:rsidRDefault="0069082E" w:rsidP="0069082E">
      <w:pPr>
        <w:pStyle w:val="Prrafodelista"/>
        <w:spacing w:after="285" w:line="276" w:lineRule="auto"/>
        <w:ind w:left="1146" w:right="49"/>
        <w:jc w:val="both"/>
        <w:rPr>
          <w:rFonts w:ascii="Century Gothic" w:hAnsi="Century Gothic" w:cs="Arial"/>
        </w:rPr>
      </w:pPr>
    </w:p>
    <w:p w14:paraId="6D051C56" w14:textId="77777777" w:rsidR="0069082E" w:rsidRDefault="007445CA" w:rsidP="0069082E">
      <w:pPr>
        <w:pStyle w:val="Prrafodelista"/>
        <w:numPr>
          <w:ilvl w:val="0"/>
          <w:numId w:val="4"/>
        </w:numPr>
        <w:spacing w:after="285" w:line="276" w:lineRule="auto"/>
        <w:ind w:right="49"/>
        <w:jc w:val="both"/>
        <w:rPr>
          <w:rFonts w:ascii="Century Gothic" w:hAnsi="Century Gothic" w:cs="Arial"/>
        </w:rPr>
      </w:pPr>
      <w:r w:rsidRPr="0069082E">
        <w:rPr>
          <w:rFonts w:ascii="Century Gothic" w:hAnsi="Century Gothic" w:cs="Arial"/>
          <w:b/>
          <w:bCs/>
        </w:rPr>
        <w:t>Centros de investigación (Por cada 100 mil de la población económicamente activa).</w:t>
      </w:r>
      <w:r w:rsidRPr="007445CA">
        <w:rPr>
          <w:rFonts w:ascii="Century Gothic" w:hAnsi="Century Gothic" w:cs="Arial"/>
        </w:rPr>
        <w:t xml:space="preserve"> Actualmente la denominación de centro de investigación está reservada para aquellos que se les otorga ese carácter.</w:t>
      </w:r>
    </w:p>
    <w:p w14:paraId="0CFD84B7" w14:textId="77777777" w:rsidR="0069082E" w:rsidRDefault="0069082E" w:rsidP="0069082E">
      <w:pPr>
        <w:pStyle w:val="Prrafodelista"/>
        <w:spacing w:after="285" w:line="276" w:lineRule="auto"/>
        <w:ind w:left="1146" w:right="49"/>
        <w:jc w:val="both"/>
        <w:rPr>
          <w:rFonts w:ascii="Century Gothic" w:hAnsi="Century Gothic" w:cs="Arial"/>
          <w:b/>
          <w:bCs/>
        </w:rPr>
      </w:pPr>
    </w:p>
    <w:p w14:paraId="147FAE54" w14:textId="77777777" w:rsidR="0069082E" w:rsidRDefault="007445CA" w:rsidP="0069082E">
      <w:pPr>
        <w:pStyle w:val="Prrafodelista"/>
        <w:spacing w:after="285" w:line="276" w:lineRule="auto"/>
        <w:ind w:left="1146" w:right="49"/>
        <w:jc w:val="both"/>
        <w:rPr>
          <w:rFonts w:ascii="Century Gothic" w:hAnsi="Century Gothic" w:cs="Arial"/>
        </w:rPr>
      </w:pPr>
      <w:r w:rsidRPr="0069082E">
        <w:rPr>
          <w:rFonts w:ascii="Century Gothic" w:hAnsi="Century Gothic" w:cs="Arial"/>
        </w:rPr>
        <w:lastRenderedPageBreak/>
        <w:t>Sin embargo, para calcular el Índice de Competitividad Estatal (ICE) del IMCO, se consideran como centros de investigación a todas las unidades económicas pertenecientes a la clase "54171 Servicios de investigación científica y desarrollo en ciencias naturales y exactas, ingeniería y ciencias de la vida" del SCIAN (Sistema de Clasificación Industrial de América del Norte). Esta clasificación abarca desde centros de investigación hasta clínicas y consultoras privadas. Dicha información puede visualizarse en el DENUE (Directorio Estadístico Nacional de Unidades Económicas) perteneciente al INEGI.</w:t>
      </w:r>
    </w:p>
    <w:p w14:paraId="63D98ED4" w14:textId="77777777" w:rsidR="0069082E" w:rsidRDefault="0069082E" w:rsidP="0069082E">
      <w:pPr>
        <w:pStyle w:val="Prrafodelista"/>
        <w:spacing w:after="285" w:line="276" w:lineRule="auto"/>
        <w:ind w:left="1146" w:right="49"/>
        <w:jc w:val="both"/>
        <w:rPr>
          <w:rFonts w:ascii="Century Gothic" w:hAnsi="Century Gothic" w:cs="Arial"/>
        </w:rPr>
      </w:pPr>
    </w:p>
    <w:p w14:paraId="4BC8482C" w14:textId="77777777" w:rsidR="0069082E" w:rsidRDefault="007445CA" w:rsidP="0069082E">
      <w:pPr>
        <w:pStyle w:val="Prrafodelista"/>
        <w:spacing w:after="285" w:line="276" w:lineRule="auto"/>
        <w:ind w:left="1146" w:right="49"/>
        <w:jc w:val="both"/>
        <w:rPr>
          <w:rFonts w:ascii="Century Gothic" w:hAnsi="Century Gothic" w:cs="Arial"/>
        </w:rPr>
      </w:pPr>
      <w:r w:rsidRPr="007445CA">
        <w:rPr>
          <w:rFonts w:ascii="Century Gothic" w:hAnsi="Century Gothic" w:cs="Arial"/>
        </w:rPr>
        <w:t>El denominador de este indicador es la PEA, lo que beneficia a los estados con una PEA más baja. Por ejemplo, aunque el estado de Querétaro ocupa el segundo lugar en este indicador, solo tiene 18 centros de investigación según el DENUE, mientras que Guanajuato</w:t>
      </w:r>
      <w:r w:rsidR="0069082E">
        <w:rPr>
          <w:rFonts w:ascii="Century Gothic" w:hAnsi="Century Gothic" w:cs="Arial"/>
        </w:rPr>
        <w:t xml:space="preserve"> </w:t>
      </w:r>
      <w:r w:rsidRPr="007445CA">
        <w:rPr>
          <w:rFonts w:ascii="Century Gothic" w:hAnsi="Century Gothic" w:cs="Arial"/>
        </w:rPr>
        <w:t>cuenta con 27. Sin embargo, Querétaro tiene menos de la mitad de la PEA de Guanajuato.</w:t>
      </w:r>
    </w:p>
    <w:p w14:paraId="1B8EE20A" w14:textId="77777777" w:rsidR="0069082E" w:rsidRDefault="0069082E" w:rsidP="0069082E">
      <w:pPr>
        <w:pStyle w:val="Prrafodelista"/>
        <w:spacing w:after="285" w:line="276" w:lineRule="auto"/>
        <w:ind w:left="1146" w:right="49"/>
        <w:jc w:val="both"/>
        <w:rPr>
          <w:rFonts w:ascii="Century Gothic" w:hAnsi="Century Gothic" w:cs="Arial"/>
        </w:rPr>
      </w:pPr>
    </w:p>
    <w:p w14:paraId="5B8CF5E6" w14:textId="77777777" w:rsidR="0069082E" w:rsidRDefault="007445CA" w:rsidP="0069082E">
      <w:pPr>
        <w:pStyle w:val="Prrafodelista"/>
        <w:spacing w:after="285" w:line="276" w:lineRule="auto"/>
        <w:ind w:left="1146" w:right="49"/>
        <w:jc w:val="both"/>
        <w:rPr>
          <w:rFonts w:ascii="Century Gothic" w:hAnsi="Century Gothic" w:cs="Arial"/>
        </w:rPr>
      </w:pPr>
      <w:r w:rsidRPr="007445CA">
        <w:rPr>
          <w:rFonts w:ascii="Century Gothic" w:hAnsi="Century Gothic" w:cs="Arial"/>
        </w:rPr>
        <w:t>Finalmente, si el objetivo es evidenciar la disponibilidad de espacios generadores de conocimiento altamente especializado y desarrollo tecnológico como lo son los centros de investigación, se considera pertinente medir la productividad y/o generación de nuevos conocimientos en los mismos, esto a través de la confrontación con el número de investigadores, producción de artículos o solicitudes de patentes generadas</w:t>
      </w:r>
      <w:r w:rsidR="0069082E">
        <w:rPr>
          <w:rFonts w:ascii="Century Gothic" w:hAnsi="Century Gothic" w:cs="Arial"/>
        </w:rPr>
        <w:t>.</w:t>
      </w:r>
    </w:p>
    <w:p w14:paraId="424C76EB" w14:textId="77777777" w:rsidR="0069082E" w:rsidRDefault="0069082E" w:rsidP="0069082E">
      <w:pPr>
        <w:pStyle w:val="Prrafodelista"/>
        <w:spacing w:after="285" w:line="276" w:lineRule="auto"/>
        <w:ind w:left="1146" w:right="49"/>
        <w:jc w:val="both"/>
        <w:rPr>
          <w:rFonts w:ascii="Century Gothic" w:hAnsi="Century Gothic" w:cs="Arial"/>
        </w:rPr>
      </w:pPr>
    </w:p>
    <w:p w14:paraId="1A7B6FFB" w14:textId="2D909648" w:rsidR="007445CA" w:rsidRDefault="0069082E" w:rsidP="0069082E">
      <w:pPr>
        <w:pStyle w:val="Prrafodelista"/>
        <w:numPr>
          <w:ilvl w:val="0"/>
          <w:numId w:val="4"/>
        </w:numPr>
        <w:spacing w:after="285" w:line="276" w:lineRule="auto"/>
        <w:ind w:right="49"/>
        <w:jc w:val="both"/>
        <w:rPr>
          <w:rFonts w:ascii="Century Gothic" w:hAnsi="Century Gothic" w:cs="Arial"/>
        </w:rPr>
      </w:pPr>
      <w:r w:rsidRPr="0069082E">
        <w:rPr>
          <w:rFonts w:ascii="Century Gothic" w:hAnsi="Century Gothic" w:cs="Arial"/>
          <w:b/>
          <w:bCs/>
        </w:rPr>
        <w:t xml:space="preserve">Patentes. </w:t>
      </w:r>
      <w:r w:rsidR="007445CA" w:rsidRPr="0069082E">
        <w:rPr>
          <w:rFonts w:ascii="Century Gothic" w:hAnsi="Century Gothic" w:cs="Arial"/>
        </w:rPr>
        <w:t>Este indicador requiere revisar datos:</w:t>
      </w:r>
      <w:r w:rsidRPr="0069082E">
        <w:rPr>
          <w:rFonts w:ascii="Century Gothic" w:hAnsi="Century Gothic" w:cs="Arial"/>
        </w:rPr>
        <w:t xml:space="preserve"> </w:t>
      </w:r>
      <w:r w:rsidR="007445CA" w:rsidRPr="0069082E">
        <w:rPr>
          <w:rFonts w:ascii="Century Gothic" w:hAnsi="Century Gothic" w:cs="Arial"/>
        </w:rPr>
        <w:t>Al cierre del primer trimestre de 2023, el IMPI registró los siguientes datos en cuanto a solicitudes de patentes:</w:t>
      </w:r>
    </w:p>
    <w:tbl>
      <w:tblPr>
        <w:tblStyle w:val="TableNormal"/>
        <w:tblW w:w="7925" w:type="dxa"/>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2409"/>
        <w:gridCol w:w="2268"/>
        <w:gridCol w:w="1701"/>
      </w:tblGrid>
      <w:tr w:rsidR="0069082E" w:rsidRPr="0069082E" w14:paraId="67BFA1D7" w14:textId="77777777" w:rsidTr="0069082E">
        <w:trPr>
          <w:trHeight w:val="299"/>
        </w:trPr>
        <w:tc>
          <w:tcPr>
            <w:tcW w:w="1547" w:type="dxa"/>
          </w:tcPr>
          <w:p w14:paraId="72CCA175" w14:textId="77777777" w:rsidR="0069082E" w:rsidRPr="0069082E" w:rsidRDefault="0069082E" w:rsidP="00265A26">
            <w:pPr>
              <w:pStyle w:val="TableParagraph"/>
              <w:spacing w:line="240" w:lineRule="auto"/>
              <w:ind w:left="0"/>
              <w:rPr>
                <w:rFonts w:ascii="Century Gothic" w:hAnsi="Century Gothic"/>
                <w:sz w:val="20"/>
                <w:szCs w:val="20"/>
              </w:rPr>
            </w:pPr>
          </w:p>
        </w:tc>
        <w:tc>
          <w:tcPr>
            <w:tcW w:w="2409" w:type="dxa"/>
          </w:tcPr>
          <w:p w14:paraId="2F5AEB08" w14:textId="77777777" w:rsidR="0069082E" w:rsidRPr="0069082E" w:rsidRDefault="0069082E" w:rsidP="0069082E">
            <w:pPr>
              <w:pStyle w:val="TableParagraph"/>
              <w:spacing w:line="279" w:lineRule="exact"/>
              <w:jc w:val="center"/>
              <w:rPr>
                <w:rFonts w:ascii="Century Gothic" w:eastAsiaTheme="minorHAnsi" w:hAnsi="Century Gothic"/>
                <w:sz w:val="20"/>
                <w:szCs w:val="20"/>
                <w:lang w:val="es-MX"/>
              </w:rPr>
            </w:pPr>
            <w:r w:rsidRPr="0069082E">
              <w:rPr>
                <w:rFonts w:ascii="Century Gothic" w:eastAsiaTheme="minorHAnsi" w:hAnsi="Century Gothic"/>
                <w:sz w:val="20"/>
                <w:szCs w:val="20"/>
                <w:lang w:val="es-MX"/>
              </w:rPr>
              <w:t>Dic 2021</w:t>
            </w:r>
          </w:p>
        </w:tc>
        <w:tc>
          <w:tcPr>
            <w:tcW w:w="2268" w:type="dxa"/>
          </w:tcPr>
          <w:p w14:paraId="4DF7708A" w14:textId="77777777" w:rsidR="0069082E" w:rsidRPr="0069082E" w:rsidRDefault="0069082E" w:rsidP="0069082E">
            <w:pPr>
              <w:pStyle w:val="TableParagraph"/>
              <w:spacing w:line="279" w:lineRule="exact"/>
              <w:jc w:val="center"/>
              <w:rPr>
                <w:rFonts w:ascii="Century Gothic" w:eastAsiaTheme="minorHAnsi" w:hAnsi="Century Gothic"/>
                <w:sz w:val="20"/>
                <w:szCs w:val="20"/>
                <w:lang w:val="es-MX"/>
              </w:rPr>
            </w:pPr>
            <w:r w:rsidRPr="0069082E">
              <w:rPr>
                <w:rFonts w:ascii="Century Gothic" w:eastAsiaTheme="minorHAnsi" w:hAnsi="Century Gothic"/>
                <w:sz w:val="20"/>
                <w:szCs w:val="20"/>
                <w:lang w:val="es-MX"/>
              </w:rPr>
              <w:t>Dic 2022</w:t>
            </w:r>
          </w:p>
        </w:tc>
        <w:tc>
          <w:tcPr>
            <w:tcW w:w="1701" w:type="dxa"/>
          </w:tcPr>
          <w:p w14:paraId="28A547C9" w14:textId="77777777" w:rsidR="0069082E" w:rsidRPr="0069082E" w:rsidRDefault="0069082E" w:rsidP="0069082E">
            <w:pPr>
              <w:pStyle w:val="TableParagraph"/>
              <w:spacing w:line="279" w:lineRule="exact"/>
              <w:ind w:left="104"/>
              <w:jc w:val="center"/>
              <w:rPr>
                <w:rFonts w:ascii="Century Gothic" w:eastAsiaTheme="minorHAnsi" w:hAnsi="Century Gothic"/>
                <w:sz w:val="20"/>
                <w:szCs w:val="20"/>
                <w:lang w:val="es-MX"/>
              </w:rPr>
            </w:pPr>
            <w:r w:rsidRPr="0069082E">
              <w:rPr>
                <w:rFonts w:ascii="Century Gothic" w:eastAsiaTheme="minorHAnsi" w:hAnsi="Century Gothic"/>
                <w:sz w:val="20"/>
                <w:szCs w:val="20"/>
                <w:lang w:val="es-MX"/>
              </w:rPr>
              <w:t>2023*</w:t>
            </w:r>
          </w:p>
        </w:tc>
      </w:tr>
      <w:tr w:rsidR="0069082E" w:rsidRPr="0069082E" w14:paraId="53E73027" w14:textId="77777777" w:rsidTr="0069082E">
        <w:trPr>
          <w:trHeight w:val="597"/>
        </w:trPr>
        <w:tc>
          <w:tcPr>
            <w:tcW w:w="1547" w:type="dxa"/>
          </w:tcPr>
          <w:p w14:paraId="3DB09B4F" w14:textId="77777777" w:rsidR="0069082E" w:rsidRPr="0069082E" w:rsidRDefault="0069082E" w:rsidP="002D5F49">
            <w:pPr>
              <w:pStyle w:val="TableParagraph"/>
              <w:jc w:val="center"/>
              <w:rPr>
                <w:rFonts w:ascii="Century Gothic" w:hAnsi="Century Gothic"/>
                <w:sz w:val="20"/>
                <w:szCs w:val="20"/>
              </w:rPr>
            </w:pPr>
            <w:r w:rsidRPr="0069082E">
              <w:rPr>
                <w:rFonts w:ascii="Century Gothic" w:hAnsi="Century Gothic"/>
                <w:spacing w:val="-2"/>
                <w:sz w:val="20"/>
                <w:szCs w:val="20"/>
              </w:rPr>
              <w:t>Patentes solicitadas</w:t>
            </w:r>
          </w:p>
        </w:tc>
        <w:tc>
          <w:tcPr>
            <w:tcW w:w="2409" w:type="dxa"/>
          </w:tcPr>
          <w:p w14:paraId="3B42F63F" w14:textId="77777777" w:rsidR="0069082E" w:rsidRPr="0069082E" w:rsidRDefault="0069082E" w:rsidP="002D5F49">
            <w:pPr>
              <w:pStyle w:val="TableParagraph"/>
              <w:tabs>
                <w:tab w:val="left" w:pos="798"/>
                <w:tab w:val="left" w:pos="1534"/>
              </w:tabs>
              <w:ind w:right="99"/>
              <w:jc w:val="center"/>
              <w:rPr>
                <w:rFonts w:ascii="Century Gothic" w:eastAsiaTheme="minorHAnsi" w:hAnsi="Century Gothic"/>
                <w:sz w:val="20"/>
                <w:szCs w:val="20"/>
                <w:lang w:val="es-MX"/>
              </w:rPr>
            </w:pPr>
            <w:r w:rsidRPr="0069082E">
              <w:rPr>
                <w:rFonts w:ascii="Century Gothic" w:eastAsiaTheme="minorHAnsi" w:hAnsi="Century Gothic"/>
                <w:sz w:val="20"/>
                <w:szCs w:val="20"/>
                <w:lang w:val="es-MX"/>
              </w:rPr>
              <w:t>94</w:t>
            </w:r>
            <w:r w:rsidRPr="0069082E">
              <w:rPr>
                <w:rFonts w:ascii="Century Gothic" w:eastAsiaTheme="minorHAnsi" w:hAnsi="Century Gothic"/>
                <w:sz w:val="20"/>
                <w:szCs w:val="20"/>
                <w:lang w:val="es-MX"/>
              </w:rPr>
              <w:tab/>
              <w:t>(4°</w:t>
            </w:r>
            <w:r w:rsidRPr="0069082E">
              <w:rPr>
                <w:rFonts w:ascii="Century Gothic" w:eastAsiaTheme="minorHAnsi" w:hAnsi="Century Gothic"/>
                <w:sz w:val="20"/>
                <w:szCs w:val="20"/>
                <w:lang w:val="es-MX"/>
              </w:rPr>
              <w:tab/>
              <w:t>lugar nacional)</w:t>
            </w:r>
          </w:p>
        </w:tc>
        <w:tc>
          <w:tcPr>
            <w:tcW w:w="2268" w:type="dxa"/>
          </w:tcPr>
          <w:p w14:paraId="12EDB2D8" w14:textId="77777777" w:rsidR="0069082E" w:rsidRPr="0069082E" w:rsidRDefault="0069082E" w:rsidP="002D5F49">
            <w:pPr>
              <w:pStyle w:val="TableParagraph"/>
              <w:tabs>
                <w:tab w:val="left" w:pos="798"/>
                <w:tab w:val="left" w:pos="1536"/>
              </w:tabs>
              <w:ind w:right="101"/>
              <w:jc w:val="center"/>
              <w:rPr>
                <w:rFonts w:ascii="Century Gothic" w:eastAsiaTheme="minorHAnsi" w:hAnsi="Century Gothic"/>
                <w:sz w:val="20"/>
                <w:szCs w:val="20"/>
                <w:lang w:val="es-MX"/>
              </w:rPr>
            </w:pPr>
            <w:r w:rsidRPr="0069082E">
              <w:rPr>
                <w:rFonts w:ascii="Century Gothic" w:eastAsiaTheme="minorHAnsi" w:hAnsi="Century Gothic"/>
                <w:sz w:val="20"/>
                <w:szCs w:val="20"/>
                <w:lang w:val="es-MX"/>
              </w:rPr>
              <w:t>33</w:t>
            </w:r>
            <w:r w:rsidRPr="0069082E">
              <w:rPr>
                <w:rFonts w:ascii="Century Gothic" w:eastAsiaTheme="minorHAnsi" w:hAnsi="Century Gothic"/>
                <w:sz w:val="20"/>
                <w:szCs w:val="20"/>
                <w:lang w:val="es-MX"/>
              </w:rPr>
              <w:tab/>
              <w:t>(7°</w:t>
            </w:r>
            <w:r w:rsidRPr="0069082E">
              <w:rPr>
                <w:rFonts w:ascii="Century Gothic" w:eastAsiaTheme="minorHAnsi" w:hAnsi="Century Gothic"/>
                <w:sz w:val="20"/>
                <w:szCs w:val="20"/>
                <w:lang w:val="es-MX"/>
              </w:rPr>
              <w:tab/>
              <w:t>lugar nacional)</w:t>
            </w:r>
          </w:p>
        </w:tc>
        <w:tc>
          <w:tcPr>
            <w:tcW w:w="1701" w:type="dxa"/>
          </w:tcPr>
          <w:p w14:paraId="43F2C7C9" w14:textId="77777777" w:rsidR="0069082E" w:rsidRPr="0069082E" w:rsidRDefault="0069082E" w:rsidP="002D5F49">
            <w:pPr>
              <w:pStyle w:val="TableParagraph"/>
              <w:ind w:left="104"/>
              <w:jc w:val="center"/>
              <w:rPr>
                <w:rFonts w:ascii="Century Gothic" w:eastAsiaTheme="minorHAnsi" w:hAnsi="Century Gothic"/>
                <w:sz w:val="20"/>
                <w:szCs w:val="20"/>
                <w:lang w:val="es-MX"/>
              </w:rPr>
            </w:pPr>
            <w:r w:rsidRPr="0069082E">
              <w:rPr>
                <w:rFonts w:ascii="Century Gothic" w:eastAsiaTheme="minorHAnsi" w:hAnsi="Century Gothic"/>
                <w:sz w:val="20"/>
                <w:szCs w:val="20"/>
                <w:lang w:val="es-MX"/>
              </w:rPr>
              <w:t>35 patentes (2° lugar nacional)</w:t>
            </w:r>
          </w:p>
        </w:tc>
      </w:tr>
    </w:tbl>
    <w:p w14:paraId="00701148" w14:textId="1D70DBEE" w:rsidR="007445CA" w:rsidRPr="00F349E2" w:rsidRDefault="007445CA" w:rsidP="00F349E2">
      <w:pPr>
        <w:pStyle w:val="Prrafodelista"/>
        <w:numPr>
          <w:ilvl w:val="0"/>
          <w:numId w:val="4"/>
        </w:numPr>
        <w:spacing w:after="285" w:line="276" w:lineRule="auto"/>
        <w:ind w:right="49"/>
        <w:jc w:val="both"/>
        <w:rPr>
          <w:rFonts w:ascii="Century Gothic" w:hAnsi="Century Gothic" w:cs="Arial"/>
        </w:rPr>
      </w:pPr>
      <w:r w:rsidRPr="00F349E2">
        <w:rPr>
          <w:rFonts w:ascii="Century Gothic" w:hAnsi="Century Gothic" w:cs="Arial"/>
          <w:b/>
          <w:bCs/>
        </w:rPr>
        <w:lastRenderedPageBreak/>
        <w:t>En materia de deuda pública los indicadores del IMCO son limitados.</w:t>
      </w:r>
      <w:r w:rsidR="00F349E2" w:rsidRPr="00F349E2">
        <w:rPr>
          <w:rFonts w:ascii="Century Gothic" w:hAnsi="Century Gothic" w:cs="Arial"/>
          <w:b/>
          <w:bCs/>
        </w:rPr>
        <w:t xml:space="preserve"> </w:t>
      </w:r>
      <w:r w:rsidRPr="00F349E2">
        <w:rPr>
          <w:rFonts w:ascii="Century Gothic" w:hAnsi="Century Gothic" w:cs="Arial"/>
        </w:rPr>
        <w:t>Con los resultados del Sistema de Alertas, emitidos por la Secretaría de Hacienda y Crédito Público (SHCP); así como, con los reportes publicados por las agencias calificadoras de reconocimiento internacional que evalúan a la entidad.</w:t>
      </w:r>
    </w:p>
    <w:p w14:paraId="33C88EE3" w14:textId="12B9EF4F" w:rsidR="007445CA" w:rsidRPr="00F349E2" w:rsidRDefault="007445CA" w:rsidP="00F349E2">
      <w:pPr>
        <w:pStyle w:val="Prrafodelista"/>
        <w:numPr>
          <w:ilvl w:val="0"/>
          <w:numId w:val="5"/>
        </w:numPr>
        <w:spacing w:after="285" w:line="276" w:lineRule="auto"/>
        <w:ind w:left="1560" w:right="49"/>
        <w:jc w:val="both"/>
        <w:rPr>
          <w:rFonts w:ascii="Century Gothic" w:hAnsi="Century Gothic" w:cs="Arial"/>
        </w:rPr>
      </w:pPr>
      <w:r w:rsidRPr="00F349E2">
        <w:rPr>
          <w:rFonts w:ascii="Century Gothic" w:hAnsi="Century Gothic" w:cs="Arial"/>
        </w:rPr>
        <w:t>En el indicador de la Deuda Per Cápita, Guanajuato se ubica entre las entidades que menos endeudamiento por habitante tiene, colocándose en la séptima posición, muy por debajo del promedio nacional.</w:t>
      </w:r>
    </w:p>
    <w:p w14:paraId="301E65B2" w14:textId="021E67AB" w:rsidR="007445CA" w:rsidRPr="00F349E2" w:rsidRDefault="007445CA" w:rsidP="00F349E2">
      <w:pPr>
        <w:pStyle w:val="Prrafodelista"/>
        <w:numPr>
          <w:ilvl w:val="0"/>
          <w:numId w:val="5"/>
        </w:numPr>
        <w:spacing w:after="285" w:line="276" w:lineRule="auto"/>
        <w:ind w:left="1560" w:right="49"/>
        <w:jc w:val="both"/>
        <w:rPr>
          <w:rFonts w:ascii="Century Gothic" w:hAnsi="Century Gothic" w:cs="Arial"/>
        </w:rPr>
      </w:pPr>
      <w:r w:rsidRPr="00F349E2">
        <w:rPr>
          <w:rFonts w:ascii="Century Gothic" w:hAnsi="Century Gothic" w:cs="Arial"/>
        </w:rPr>
        <w:t>En el indicador del saldo de la deuda contra participaciones, la entidad también ocupa la séptima posición, ubicándose tres veces por debajo del promedio nacional.</w:t>
      </w:r>
    </w:p>
    <w:p w14:paraId="19301F3B" w14:textId="37D8D700" w:rsidR="007445CA" w:rsidRPr="00F349E2" w:rsidRDefault="007445CA" w:rsidP="00F349E2">
      <w:pPr>
        <w:pStyle w:val="Prrafodelista"/>
        <w:numPr>
          <w:ilvl w:val="0"/>
          <w:numId w:val="5"/>
        </w:numPr>
        <w:spacing w:after="285" w:line="276" w:lineRule="auto"/>
        <w:ind w:left="1560" w:right="49"/>
        <w:jc w:val="both"/>
        <w:rPr>
          <w:rFonts w:ascii="Century Gothic" w:hAnsi="Century Gothic" w:cs="Arial"/>
        </w:rPr>
      </w:pPr>
      <w:r w:rsidRPr="00F349E2">
        <w:rPr>
          <w:rFonts w:ascii="Century Gothic" w:hAnsi="Century Gothic" w:cs="Arial"/>
        </w:rPr>
        <w:t>En cuanto al indicador del saldo de la deuda respecto al PIBE, al estado le representa el 1%, muy por debajo del promedio nacional que se ubica en el 2.5%</w:t>
      </w:r>
      <w:r w:rsidR="00F349E2" w:rsidRPr="00F349E2">
        <w:rPr>
          <w:rFonts w:ascii="Century Gothic" w:hAnsi="Century Gothic" w:cs="Arial"/>
        </w:rPr>
        <w:t>.</w:t>
      </w:r>
    </w:p>
    <w:p w14:paraId="710365BE" w14:textId="2A23BB65" w:rsidR="007445CA" w:rsidRPr="00F349E2" w:rsidRDefault="007445CA" w:rsidP="00F349E2">
      <w:pPr>
        <w:pStyle w:val="Prrafodelista"/>
        <w:numPr>
          <w:ilvl w:val="0"/>
          <w:numId w:val="5"/>
        </w:numPr>
        <w:spacing w:after="285" w:line="276" w:lineRule="auto"/>
        <w:ind w:left="1560" w:right="49"/>
        <w:jc w:val="both"/>
        <w:rPr>
          <w:rFonts w:ascii="Century Gothic" w:hAnsi="Century Gothic" w:cs="Arial"/>
        </w:rPr>
      </w:pPr>
      <w:r w:rsidRPr="00F349E2">
        <w:rPr>
          <w:rFonts w:ascii="Century Gothic" w:hAnsi="Century Gothic" w:cs="Arial"/>
        </w:rPr>
        <w:t>En cuanto al sistema de alertas, Guanajuato se destaca por mantener un nivel sostenible en su deuda pública.</w:t>
      </w:r>
    </w:p>
    <w:p w14:paraId="2A6311F3" w14:textId="14BCF584" w:rsidR="007445CA" w:rsidRDefault="007445CA" w:rsidP="00F349E2">
      <w:pPr>
        <w:pStyle w:val="Prrafodelista"/>
        <w:numPr>
          <w:ilvl w:val="0"/>
          <w:numId w:val="5"/>
        </w:numPr>
        <w:spacing w:after="285" w:line="276" w:lineRule="auto"/>
        <w:ind w:left="1560" w:right="49"/>
        <w:jc w:val="both"/>
        <w:rPr>
          <w:rFonts w:ascii="Century Gothic" w:hAnsi="Century Gothic" w:cs="Arial"/>
        </w:rPr>
      </w:pPr>
      <w:r w:rsidRPr="00F349E2">
        <w:rPr>
          <w:rFonts w:ascii="Century Gothic" w:hAnsi="Century Gothic" w:cs="Arial"/>
        </w:rPr>
        <w:t>Habría que revisar otros datos como calificación crediticia para tener una perspectiva integral sobre la materia.</w:t>
      </w:r>
    </w:p>
    <w:p w14:paraId="388E41A7" w14:textId="77777777" w:rsidR="00F349E2" w:rsidRDefault="00F349E2" w:rsidP="00F349E2">
      <w:pPr>
        <w:pStyle w:val="Prrafodelista"/>
        <w:spacing w:after="285" w:line="276" w:lineRule="auto"/>
        <w:ind w:left="1560" w:right="49"/>
        <w:jc w:val="both"/>
        <w:rPr>
          <w:rFonts w:ascii="Century Gothic" w:hAnsi="Century Gothic" w:cs="Arial"/>
        </w:rPr>
      </w:pPr>
    </w:p>
    <w:p w14:paraId="3503CB19" w14:textId="77777777" w:rsidR="00D212F4" w:rsidRPr="00F349E2" w:rsidRDefault="00D212F4" w:rsidP="00F349E2">
      <w:pPr>
        <w:pStyle w:val="Prrafodelista"/>
        <w:spacing w:after="285" w:line="276" w:lineRule="auto"/>
        <w:ind w:left="1560" w:right="49"/>
        <w:jc w:val="both"/>
        <w:rPr>
          <w:rFonts w:ascii="Century Gothic" w:hAnsi="Century Gothic" w:cs="Arial"/>
        </w:rPr>
      </w:pPr>
    </w:p>
    <w:p w14:paraId="6A9946ED" w14:textId="07EEB7DF" w:rsidR="007445CA" w:rsidRPr="00F349E2" w:rsidRDefault="007445CA" w:rsidP="00F349E2">
      <w:pPr>
        <w:pStyle w:val="Prrafodelista"/>
        <w:numPr>
          <w:ilvl w:val="0"/>
          <w:numId w:val="4"/>
        </w:numPr>
        <w:spacing w:after="285" w:line="276" w:lineRule="auto"/>
        <w:ind w:right="49"/>
        <w:jc w:val="both"/>
        <w:rPr>
          <w:rFonts w:ascii="Century Gothic" w:hAnsi="Century Gothic" w:cs="Arial"/>
        </w:rPr>
      </w:pPr>
      <w:r w:rsidRPr="00F349E2">
        <w:rPr>
          <w:rFonts w:ascii="Century Gothic" w:hAnsi="Century Gothic" w:cs="Arial"/>
          <w:b/>
          <w:bCs/>
        </w:rPr>
        <w:t>Contrastes de datos.</w:t>
      </w:r>
      <w:r w:rsidRPr="00F349E2">
        <w:rPr>
          <w:rFonts w:ascii="Century Gothic" w:hAnsi="Century Gothic" w:cs="Arial"/>
        </w:rPr>
        <w:t xml:space="preserve"> En otros casos es necesario contrastar </w:t>
      </w:r>
      <w:r w:rsidR="00D709C4">
        <w:rPr>
          <w:rFonts w:ascii="Century Gothic" w:hAnsi="Century Gothic" w:cs="Arial"/>
        </w:rPr>
        <w:t xml:space="preserve">los </w:t>
      </w:r>
      <w:r w:rsidRPr="00F349E2">
        <w:rPr>
          <w:rFonts w:ascii="Century Gothic" w:hAnsi="Century Gothic" w:cs="Arial"/>
        </w:rPr>
        <w:t>indicador</w:t>
      </w:r>
      <w:r w:rsidR="00D709C4">
        <w:rPr>
          <w:rFonts w:ascii="Century Gothic" w:hAnsi="Century Gothic" w:cs="Arial"/>
        </w:rPr>
        <w:t>es</w:t>
      </w:r>
      <w:r w:rsidRPr="00F349E2">
        <w:rPr>
          <w:rFonts w:ascii="Century Gothic" w:hAnsi="Century Gothic" w:cs="Arial"/>
        </w:rPr>
        <w:t xml:space="preserve"> con otros factores que podrían permitir una perspectiva mucho más clara sobre los temas que se pretenden medir. Por ejemplo</w:t>
      </w:r>
      <w:r w:rsidR="008F3DCD">
        <w:rPr>
          <w:rFonts w:ascii="Century Gothic" w:hAnsi="Century Gothic" w:cs="Arial"/>
        </w:rPr>
        <w:t>,</w:t>
      </w:r>
      <w:r w:rsidRPr="00F349E2">
        <w:rPr>
          <w:rFonts w:ascii="Century Gothic" w:hAnsi="Century Gothic" w:cs="Arial"/>
        </w:rPr>
        <w:t xml:space="preserve"> </w:t>
      </w:r>
      <w:r w:rsidR="008F3DCD">
        <w:rPr>
          <w:rFonts w:ascii="Century Gothic" w:hAnsi="Century Gothic" w:cs="Arial"/>
        </w:rPr>
        <w:t>e</w:t>
      </w:r>
      <w:r w:rsidRPr="00F349E2">
        <w:rPr>
          <w:rFonts w:ascii="Century Gothic" w:hAnsi="Century Gothic" w:cs="Arial"/>
        </w:rPr>
        <w:t xml:space="preserve">n la Categoría Derecho, el Estado es colocado en posición 18, sin embargo, el WORLD JUSTICE PROJECT publicó </w:t>
      </w:r>
      <w:r w:rsidR="00F349E2" w:rsidRPr="00F349E2">
        <w:rPr>
          <w:rFonts w:ascii="Century Gothic" w:hAnsi="Century Gothic" w:cs="Arial"/>
        </w:rPr>
        <w:t>sus índices</w:t>
      </w:r>
      <w:r w:rsidRPr="00F349E2">
        <w:rPr>
          <w:rFonts w:ascii="Century Gothic" w:hAnsi="Century Gothic" w:cs="Arial"/>
        </w:rPr>
        <w:t xml:space="preserve"> de Estado de Derecho utilizando diversos indicadores en matera de sistema penitenciario, justicia civil o límites al poder gubernamental, y ahí los indicadores permiten observar que el Estado tiene resultados favorables, de hecho, dentro de los primeros en el país.</w:t>
      </w:r>
    </w:p>
    <w:p w14:paraId="7CD122F7" w14:textId="111CA1E8" w:rsidR="0040345E" w:rsidRDefault="00F349E2" w:rsidP="00F349E2">
      <w:pPr>
        <w:spacing w:after="285" w:line="276" w:lineRule="auto"/>
        <w:ind w:right="49" w:firstLine="426"/>
        <w:jc w:val="both"/>
        <w:rPr>
          <w:rFonts w:ascii="Century Gothic" w:hAnsi="Century Gothic" w:cs="Arial"/>
        </w:rPr>
      </w:pPr>
      <w:r>
        <w:rPr>
          <w:rFonts w:ascii="Century Gothic" w:hAnsi="Century Gothic" w:cs="Arial"/>
        </w:rPr>
        <w:lastRenderedPageBreak/>
        <w:t>Así pues, h</w:t>
      </w:r>
      <w:r w:rsidR="007445CA" w:rsidRPr="007445CA">
        <w:rPr>
          <w:rFonts w:ascii="Century Gothic" w:hAnsi="Century Gothic" w:cs="Arial"/>
        </w:rPr>
        <w:t xml:space="preserve">ay rubros </w:t>
      </w:r>
      <w:r w:rsidR="005F274F">
        <w:rPr>
          <w:rFonts w:ascii="Century Gothic" w:hAnsi="Century Gothic" w:cs="Arial"/>
        </w:rPr>
        <w:t>en los que por la</w:t>
      </w:r>
      <w:r w:rsidR="007445CA" w:rsidRPr="007445CA">
        <w:rPr>
          <w:rFonts w:ascii="Century Gothic" w:hAnsi="Century Gothic" w:cs="Arial"/>
        </w:rPr>
        <w:t xml:space="preserve"> forma de construcción del </w:t>
      </w:r>
      <w:r w:rsidR="00D709C4">
        <w:rPr>
          <w:rFonts w:ascii="Century Gothic" w:hAnsi="Century Gothic" w:cs="Arial"/>
        </w:rPr>
        <w:t>Í</w:t>
      </w:r>
      <w:r w:rsidR="007445CA" w:rsidRPr="007445CA">
        <w:rPr>
          <w:rFonts w:ascii="Century Gothic" w:hAnsi="Century Gothic" w:cs="Arial"/>
        </w:rPr>
        <w:t xml:space="preserve">ndice no ayuda a reflejar </w:t>
      </w:r>
      <w:r w:rsidR="005F274F">
        <w:rPr>
          <w:rFonts w:ascii="Century Gothic" w:hAnsi="Century Gothic" w:cs="Arial"/>
        </w:rPr>
        <w:t>la condición que actualmente tiene la entidad federativa. Aún más, no existe metodológicamente una referencia formal, académica, que permita valorar las razones sobre la inclusión de los indicadores por los que se opta y aquellos que se dejan fuera</w:t>
      </w:r>
      <w:r w:rsidR="0040345E">
        <w:rPr>
          <w:rFonts w:ascii="Century Gothic" w:hAnsi="Century Gothic" w:cs="Arial"/>
        </w:rPr>
        <w:t xml:space="preserve">, por lo que </w:t>
      </w:r>
      <w:r w:rsidR="007445CA" w:rsidRPr="007445CA">
        <w:rPr>
          <w:rFonts w:ascii="Century Gothic" w:hAnsi="Century Gothic" w:cs="Arial"/>
        </w:rPr>
        <w:t>es necesario tener una visión más amplia sobre la construcción del</w:t>
      </w:r>
      <w:r w:rsidR="00EC0078">
        <w:rPr>
          <w:rFonts w:ascii="Century Gothic" w:hAnsi="Century Gothic" w:cs="Arial"/>
        </w:rPr>
        <w:t xml:space="preserve"> Índice</w:t>
      </w:r>
      <w:r w:rsidR="007445CA" w:rsidRPr="007445CA">
        <w:rPr>
          <w:rFonts w:ascii="Century Gothic" w:hAnsi="Century Gothic" w:cs="Arial"/>
        </w:rPr>
        <w:t>.</w:t>
      </w:r>
      <w:r w:rsidR="0040345E">
        <w:rPr>
          <w:rFonts w:ascii="Century Gothic" w:hAnsi="Century Gothic" w:cs="Arial"/>
        </w:rPr>
        <w:t xml:space="preserve"> </w:t>
      </w:r>
    </w:p>
    <w:p w14:paraId="5A351FCE" w14:textId="2BA1EE4E" w:rsidR="00140344" w:rsidRPr="008717A8" w:rsidRDefault="00140344" w:rsidP="00F349E2">
      <w:pPr>
        <w:spacing w:after="285" w:line="276" w:lineRule="auto"/>
        <w:ind w:right="49" w:firstLine="426"/>
        <w:jc w:val="both"/>
        <w:rPr>
          <w:rFonts w:ascii="Century Gothic" w:hAnsi="Century Gothic" w:cs="Arial"/>
        </w:rPr>
      </w:pPr>
      <w:r w:rsidRPr="00772FFB">
        <w:rPr>
          <w:rFonts w:ascii="Century Gothic" w:hAnsi="Century Gothic" w:cs="Arial"/>
        </w:rPr>
        <w:tab/>
      </w:r>
      <w:bookmarkStart w:id="2" w:name="_Hlk77525014"/>
      <w:r w:rsidRPr="00772FFB">
        <w:rPr>
          <w:rFonts w:ascii="Century Gothic" w:hAnsi="Century Gothic" w:cs="Arial"/>
        </w:rPr>
        <w:t>Por lo expuesto</w:t>
      </w:r>
      <w:r w:rsidR="00F349E2">
        <w:rPr>
          <w:rFonts w:ascii="Century Gothic" w:hAnsi="Century Gothic" w:cs="Arial"/>
        </w:rPr>
        <w:t xml:space="preserve">, quienes integramos la Comisión de Desarrollo Económico y Social, consideramos que </w:t>
      </w:r>
      <w:r w:rsidR="00F349E2" w:rsidRPr="007445CA">
        <w:rPr>
          <w:rFonts w:ascii="Century Gothic" w:hAnsi="Century Gothic" w:cs="Arial"/>
        </w:rPr>
        <w:t xml:space="preserve">es oportuno </w:t>
      </w:r>
      <w:r w:rsidR="00F349E2">
        <w:rPr>
          <w:rFonts w:ascii="Century Gothic" w:hAnsi="Century Gothic" w:cs="Arial"/>
        </w:rPr>
        <w:t xml:space="preserve">analizar con </w:t>
      </w:r>
      <w:r w:rsidR="00F349E2" w:rsidRPr="007445CA">
        <w:rPr>
          <w:rFonts w:ascii="Century Gothic" w:hAnsi="Century Gothic" w:cs="Arial"/>
        </w:rPr>
        <w:t>una visión más amplia</w:t>
      </w:r>
      <w:r w:rsidR="00F349E2">
        <w:rPr>
          <w:rFonts w:ascii="Century Gothic" w:hAnsi="Century Gothic" w:cs="Arial"/>
        </w:rPr>
        <w:t xml:space="preserve"> los indicadores del Índice de Competitividad Estatal 2023,</w:t>
      </w:r>
      <w:r w:rsidR="00F349E2" w:rsidRPr="007445CA">
        <w:rPr>
          <w:rFonts w:ascii="Century Gothic" w:hAnsi="Century Gothic" w:cs="Arial"/>
        </w:rPr>
        <w:t xml:space="preserve"> </w:t>
      </w:r>
      <w:r w:rsidR="00F349E2">
        <w:rPr>
          <w:rFonts w:ascii="Century Gothic" w:hAnsi="Century Gothic" w:cs="Arial"/>
        </w:rPr>
        <w:t xml:space="preserve">que permita </w:t>
      </w:r>
      <w:r w:rsidR="00F349E2" w:rsidRPr="007445CA">
        <w:rPr>
          <w:rFonts w:ascii="Century Gothic" w:hAnsi="Century Gothic" w:cs="Arial"/>
        </w:rPr>
        <w:t xml:space="preserve">tener una perspectiva integral sobre los factores que inciden en la competitividad </w:t>
      </w:r>
      <w:r w:rsidR="00F349E2">
        <w:rPr>
          <w:rFonts w:ascii="Century Gothic" w:hAnsi="Century Gothic" w:cs="Arial"/>
        </w:rPr>
        <w:t>del Estado</w:t>
      </w:r>
      <w:r w:rsidR="005F274F">
        <w:rPr>
          <w:rFonts w:ascii="Century Gothic" w:hAnsi="Century Gothic" w:cs="Arial"/>
        </w:rPr>
        <w:t xml:space="preserve"> y buscar herramientas que sí permitan construir y desprender hipótesis de causalidad</w:t>
      </w:r>
      <w:r w:rsidR="008717A8">
        <w:rPr>
          <w:rFonts w:ascii="Century Gothic" w:hAnsi="Century Gothic" w:cs="Arial"/>
        </w:rPr>
        <w:t>, por lo que</w:t>
      </w:r>
      <w:r w:rsidRPr="008717A8">
        <w:rPr>
          <w:rFonts w:ascii="Century Gothic" w:hAnsi="Century Gothic" w:cs="Arial"/>
        </w:rPr>
        <w:t xml:space="preserve"> con fundamento en el artículo 171 la Ley Orgánica del Poder Legislativo del Estado de Guanajuato, proponemos a la Asamblea la aprobación del siguiente:</w:t>
      </w:r>
    </w:p>
    <w:bookmarkEnd w:id="1"/>
    <w:p w14:paraId="5E6E5C31" w14:textId="77777777" w:rsidR="00D212F4" w:rsidRDefault="00D212F4" w:rsidP="00140344">
      <w:pPr>
        <w:pStyle w:val="Sinespaciado"/>
        <w:spacing w:line="276" w:lineRule="auto"/>
        <w:jc w:val="both"/>
        <w:rPr>
          <w:rFonts w:ascii="Century Gothic" w:hAnsi="Century Gothic" w:cs="Arial"/>
          <w:sz w:val="24"/>
          <w:szCs w:val="24"/>
        </w:rPr>
      </w:pPr>
    </w:p>
    <w:bookmarkEnd w:id="2"/>
    <w:p w14:paraId="24DCA2EB" w14:textId="54BFCB92" w:rsidR="00140344" w:rsidRPr="00772FFB" w:rsidRDefault="00140344" w:rsidP="00140344">
      <w:pPr>
        <w:spacing w:line="276" w:lineRule="auto"/>
        <w:jc w:val="center"/>
        <w:rPr>
          <w:rFonts w:ascii="Century Gothic" w:eastAsia="Times New Roman" w:hAnsi="Century Gothic" w:cs="Arial"/>
          <w:b/>
          <w:bCs/>
          <w:lang w:eastAsia="es-MX"/>
        </w:rPr>
      </w:pPr>
      <w:r w:rsidRPr="00772FFB">
        <w:rPr>
          <w:rFonts w:ascii="Century Gothic" w:eastAsia="Times New Roman" w:hAnsi="Century Gothic" w:cs="Arial"/>
          <w:b/>
          <w:bCs/>
          <w:lang w:eastAsia="es-MX"/>
        </w:rPr>
        <w:t>ACUERDO</w:t>
      </w:r>
    </w:p>
    <w:p w14:paraId="3F62CBBE" w14:textId="77777777" w:rsidR="00140344" w:rsidRDefault="00140344" w:rsidP="00140344">
      <w:pPr>
        <w:spacing w:line="276" w:lineRule="auto"/>
        <w:jc w:val="both"/>
        <w:rPr>
          <w:rFonts w:ascii="Century Gothic" w:eastAsia="Times New Roman" w:hAnsi="Century Gothic" w:cs="Arial"/>
          <w:lang w:eastAsia="es-MX"/>
        </w:rPr>
      </w:pPr>
    </w:p>
    <w:p w14:paraId="572C6E7E" w14:textId="676CA5A9" w:rsidR="00140344" w:rsidRDefault="00140344" w:rsidP="00C25DC9">
      <w:pPr>
        <w:spacing w:after="46" w:line="276" w:lineRule="auto"/>
        <w:ind w:left="-5" w:firstLine="856"/>
        <w:jc w:val="both"/>
        <w:rPr>
          <w:rFonts w:ascii="Century Gothic" w:hAnsi="Century Gothic" w:cs="Arial"/>
        </w:rPr>
      </w:pPr>
      <w:r w:rsidRPr="00772FFB">
        <w:rPr>
          <w:rFonts w:ascii="Century Gothic" w:eastAsia="Times New Roman" w:hAnsi="Century Gothic" w:cs="Arial"/>
          <w:lang w:eastAsia="es-MX"/>
        </w:rPr>
        <w:t xml:space="preserve">Único. </w:t>
      </w:r>
      <w:r w:rsidR="008717A8" w:rsidRPr="00947482">
        <w:rPr>
          <w:rFonts w:ascii="Century Gothic" w:eastAsia="Times New Roman" w:hAnsi="Century Gothic" w:cs="Arial"/>
          <w:lang w:eastAsia="es-MX"/>
        </w:rPr>
        <w:t xml:space="preserve">La Sexagésima Quinta Legislatura del Congreso del Estado Libre y Soberano de Guanajuato ordena se dé archivo definitivo </w:t>
      </w:r>
      <w:r w:rsidR="00F349E2">
        <w:rPr>
          <w:rFonts w:ascii="Century Gothic" w:eastAsia="Times New Roman" w:hAnsi="Century Gothic" w:cs="Arial"/>
          <w:lang w:eastAsia="es-MX"/>
        </w:rPr>
        <w:t xml:space="preserve">al </w:t>
      </w:r>
      <w:r w:rsidR="00F349E2" w:rsidRPr="00772FFB">
        <w:rPr>
          <w:rFonts w:ascii="Century Gothic" w:hAnsi="Century Gothic" w:cs="Arial"/>
        </w:rPr>
        <w:t>punto de acuerdo formulada por</w:t>
      </w:r>
      <w:r w:rsidR="00F349E2">
        <w:rPr>
          <w:rFonts w:ascii="Century Gothic" w:hAnsi="Century Gothic" w:cs="Arial"/>
        </w:rPr>
        <w:t xml:space="preserve"> el diputado David Martínez Mendizábal y la diputada Hades Berenice Aguilar Castillo, integrantes del Grupo Parlamentario del Partido MORENA</w:t>
      </w:r>
      <w:r w:rsidR="00F349E2" w:rsidRPr="009F0DDB">
        <w:rPr>
          <w:rFonts w:ascii="Century Gothic" w:hAnsi="Century Gothic" w:cs="Arial"/>
        </w:rPr>
        <w:t xml:space="preserve">, para exhortar </w:t>
      </w:r>
      <w:r w:rsidR="00F349E2" w:rsidRPr="00363DD9">
        <w:rPr>
          <w:rFonts w:ascii="Century Gothic" w:hAnsi="Century Gothic" w:cs="Arial"/>
        </w:rPr>
        <w:t xml:space="preserve">al </w:t>
      </w:r>
      <w:r w:rsidR="00F349E2">
        <w:rPr>
          <w:rFonts w:ascii="Century Gothic" w:hAnsi="Century Gothic" w:cs="Arial"/>
        </w:rPr>
        <w:t>Gobernador del Estado de Guanajuato, Diego Sinhué Rodríguez Vallejo, para que en el ámbito de su atribuciones eval</w:t>
      </w:r>
      <w:r w:rsidR="00E03A26">
        <w:rPr>
          <w:rFonts w:ascii="Century Gothic" w:hAnsi="Century Gothic" w:cs="Arial"/>
        </w:rPr>
        <w:t>úe</w:t>
      </w:r>
      <w:r w:rsidR="00F349E2">
        <w:rPr>
          <w:rFonts w:ascii="Century Gothic" w:hAnsi="Century Gothic" w:cs="Arial"/>
        </w:rPr>
        <w:t xml:space="preserve"> las políticas públicas en materia de competitividad e incorpore mecanismos de mejora en la política y programas de desarrollo económico y social, partiendo de los resultados señalados por el índice de Competitividad Estatal 2023 del IMCO</w:t>
      </w:r>
      <w:r w:rsidR="008717A8" w:rsidRPr="00772FFB">
        <w:rPr>
          <w:rFonts w:ascii="Century Gothic" w:hAnsi="Century Gothic" w:cs="Arial"/>
        </w:rPr>
        <w:t>.</w:t>
      </w:r>
    </w:p>
    <w:p w14:paraId="3DEC69F7" w14:textId="77777777" w:rsidR="00F8790B" w:rsidRDefault="00F8790B" w:rsidP="00C25DC9">
      <w:pPr>
        <w:spacing w:after="46" w:line="276" w:lineRule="auto"/>
        <w:ind w:left="-5" w:firstLine="856"/>
        <w:jc w:val="both"/>
        <w:rPr>
          <w:rFonts w:ascii="Century Gothic" w:hAnsi="Century Gothic" w:cs="Arial"/>
        </w:rPr>
      </w:pPr>
    </w:p>
    <w:p w14:paraId="5E97B8CE" w14:textId="5BF812BC" w:rsidR="00140344" w:rsidRPr="00772FFB" w:rsidRDefault="00140344" w:rsidP="00140344">
      <w:pPr>
        <w:pStyle w:val="Sinespaciado"/>
        <w:spacing w:line="276" w:lineRule="auto"/>
        <w:ind w:firstLine="708"/>
        <w:jc w:val="center"/>
        <w:rPr>
          <w:rFonts w:ascii="Century Gothic" w:eastAsia="Arial Unicode MS" w:hAnsi="Century Gothic" w:cs="Arial"/>
          <w:b/>
          <w:bCs/>
          <w:sz w:val="24"/>
          <w:szCs w:val="24"/>
        </w:rPr>
      </w:pPr>
      <w:r w:rsidRPr="00772FFB">
        <w:rPr>
          <w:rFonts w:ascii="Century Gothic" w:eastAsia="Arial Unicode MS" w:hAnsi="Century Gothic" w:cs="Arial"/>
          <w:b/>
          <w:bCs/>
          <w:sz w:val="24"/>
          <w:szCs w:val="24"/>
        </w:rPr>
        <w:t xml:space="preserve">Guanajuato, Gto., </w:t>
      </w:r>
      <w:r w:rsidR="00F349E2">
        <w:rPr>
          <w:rFonts w:ascii="Century Gothic" w:eastAsia="Arial Unicode MS" w:hAnsi="Century Gothic" w:cs="Arial"/>
          <w:b/>
          <w:bCs/>
          <w:sz w:val="24"/>
          <w:szCs w:val="24"/>
        </w:rPr>
        <w:t>16 de agosto</w:t>
      </w:r>
      <w:r w:rsidRPr="00772FFB">
        <w:rPr>
          <w:rFonts w:ascii="Century Gothic" w:eastAsia="Arial Unicode MS" w:hAnsi="Century Gothic" w:cs="Arial"/>
          <w:b/>
          <w:bCs/>
          <w:sz w:val="24"/>
          <w:szCs w:val="24"/>
        </w:rPr>
        <w:t xml:space="preserve"> de 202</w:t>
      </w:r>
      <w:r>
        <w:rPr>
          <w:rFonts w:ascii="Century Gothic" w:eastAsia="Arial Unicode MS" w:hAnsi="Century Gothic" w:cs="Arial"/>
          <w:b/>
          <w:bCs/>
          <w:sz w:val="24"/>
          <w:szCs w:val="24"/>
        </w:rPr>
        <w:t>3</w:t>
      </w:r>
    </w:p>
    <w:p w14:paraId="759EE956" w14:textId="77777777" w:rsidR="00F8790B" w:rsidRDefault="00F8790B" w:rsidP="00140344">
      <w:pPr>
        <w:pStyle w:val="Sinespaciado"/>
        <w:spacing w:line="276" w:lineRule="auto"/>
        <w:ind w:firstLine="708"/>
        <w:jc w:val="center"/>
        <w:rPr>
          <w:rFonts w:ascii="Century Gothic" w:eastAsia="Arial Unicode MS" w:hAnsi="Century Gothic" w:cs="Arial"/>
          <w:b/>
          <w:bCs/>
          <w:sz w:val="24"/>
          <w:szCs w:val="24"/>
        </w:rPr>
      </w:pPr>
    </w:p>
    <w:p w14:paraId="7D99994A" w14:textId="746584A7" w:rsidR="00140344" w:rsidRDefault="00140344" w:rsidP="00140344">
      <w:pPr>
        <w:pStyle w:val="Sinespaciado"/>
        <w:spacing w:line="276" w:lineRule="auto"/>
        <w:ind w:firstLine="708"/>
        <w:jc w:val="center"/>
        <w:rPr>
          <w:rFonts w:ascii="Century Gothic" w:eastAsia="Arial Unicode MS" w:hAnsi="Century Gothic" w:cs="Arial"/>
          <w:b/>
          <w:bCs/>
          <w:sz w:val="24"/>
          <w:szCs w:val="24"/>
        </w:rPr>
      </w:pPr>
      <w:r w:rsidRPr="00772FFB">
        <w:rPr>
          <w:rFonts w:ascii="Century Gothic" w:eastAsia="Arial Unicode MS" w:hAnsi="Century Gothic" w:cs="Arial"/>
          <w:b/>
          <w:bCs/>
          <w:sz w:val="24"/>
          <w:szCs w:val="24"/>
        </w:rPr>
        <w:lastRenderedPageBreak/>
        <w:t>La Comisión de Desarrollo Económico y Social</w:t>
      </w:r>
    </w:p>
    <w:p w14:paraId="1B080980" w14:textId="77777777" w:rsidR="00D212F4" w:rsidRPr="00772FFB" w:rsidRDefault="00D212F4" w:rsidP="00140344">
      <w:pPr>
        <w:pStyle w:val="Sinespaciado"/>
        <w:spacing w:line="276" w:lineRule="auto"/>
        <w:ind w:firstLine="708"/>
        <w:jc w:val="center"/>
        <w:rPr>
          <w:rFonts w:ascii="Century Gothic" w:eastAsia="Arial Unicode MS" w:hAnsi="Century Gothic" w:cs="Arial"/>
          <w:b/>
          <w:bCs/>
          <w:sz w:val="24"/>
          <w:szCs w:val="24"/>
        </w:rPr>
      </w:pPr>
    </w:p>
    <w:p w14:paraId="089A9FA7" w14:textId="77777777" w:rsidR="00140344" w:rsidRDefault="00140344" w:rsidP="00140344">
      <w:pPr>
        <w:pStyle w:val="Sinespaciado"/>
        <w:spacing w:line="276" w:lineRule="auto"/>
        <w:jc w:val="both"/>
        <w:rPr>
          <w:rFonts w:ascii="Century Gothic" w:eastAsia="Arial Unicode MS" w:hAnsi="Century Gothic" w:cs="Arial"/>
          <w:sz w:val="24"/>
          <w:szCs w:val="24"/>
        </w:rPr>
      </w:pPr>
    </w:p>
    <w:tbl>
      <w:tblPr>
        <w:tblW w:w="0" w:type="auto"/>
        <w:tblLook w:val="04A0" w:firstRow="1" w:lastRow="0" w:firstColumn="1" w:lastColumn="0" w:noHBand="0" w:noVBand="1"/>
      </w:tblPr>
      <w:tblGrid>
        <w:gridCol w:w="4411"/>
        <w:gridCol w:w="4427"/>
      </w:tblGrid>
      <w:tr w:rsidR="00140344" w:rsidRPr="00772FFB" w14:paraId="0C32E247" w14:textId="77777777" w:rsidTr="001E7444">
        <w:tc>
          <w:tcPr>
            <w:tcW w:w="8838" w:type="dxa"/>
            <w:gridSpan w:val="2"/>
          </w:tcPr>
          <w:p w14:paraId="19161E2C" w14:textId="77777777" w:rsidR="00140344" w:rsidRPr="00772FFB" w:rsidRDefault="00140344" w:rsidP="001E7444">
            <w:pPr>
              <w:pStyle w:val="Sinespaciado"/>
              <w:spacing w:line="276" w:lineRule="auto"/>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Dip. Miguel Ángel Salim Alle</w:t>
            </w:r>
          </w:p>
          <w:p w14:paraId="00903044" w14:textId="77777777" w:rsidR="00140344" w:rsidRPr="00772FFB" w:rsidRDefault="00140344" w:rsidP="001E7444">
            <w:pPr>
              <w:pStyle w:val="Sinespaciado"/>
              <w:spacing w:line="276" w:lineRule="auto"/>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Presidente</w:t>
            </w:r>
          </w:p>
          <w:p w14:paraId="49E53E7E" w14:textId="77777777" w:rsidR="00140344" w:rsidRDefault="00140344" w:rsidP="001E7444">
            <w:pPr>
              <w:pStyle w:val="Sinespaciado"/>
              <w:spacing w:line="276" w:lineRule="auto"/>
              <w:ind w:firstLine="708"/>
              <w:jc w:val="center"/>
              <w:rPr>
                <w:rFonts w:ascii="Century Gothic" w:eastAsia="Arial Unicode MS" w:hAnsi="Century Gothic" w:cs="Arial"/>
                <w:b/>
                <w:sz w:val="24"/>
                <w:szCs w:val="24"/>
              </w:rPr>
            </w:pPr>
          </w:p>
          <w:p w14:paraId="36984F9C" w14:textId="77777777" w:rsidR="00F8790B" w:rsidRPr="00772FFB" w:rsidRDefault="00F8790B" w:rsidP="001E7444">
            <w:pPr>
              <w:pStyle w:val="Sinespaciado"/>
              <w:spacing w:line="276" w:lineRule="auto"/>
              <w:ind w:firstLine="708"/>
              <w:jc w:val="center"/>
              <w:rPr>
                <w:rFonts w:ascii="Century Gothic" w:eastAsia="Arial Unicode MS" w:hAnsi="Century Gothic" w:cs="Arial"/>
                <w:b/>
                <w:sz w:val="24"/>
                <w:szCs w:val="24"/>
              </w:rPr>
            </w:pPr>
          </w:p>
        </w:tc>
      </w:tr>
      <w:tr w:rsidR="00140344" w:rsidRPr="00772FFB" w14:paraId="1157C74C" w14:textId="77777777" w:rsidTr="001E7444">
        <w:tc>
          <w:tcPr>
            <w:tcW w:w="4411" w:type="dxa"/>
          </w:tcPr>
          <w:p w14:paraId="671DDF27" w14:textId="77777777" w:rsidR="001A11BD" w:rsidRDefault="001A11BD" w:rsidP="00F8790B">
            <w:pPr>
              <w:pStyle w:val="Sinespaciado"/>
              <w:spacing w:line="276" w:lineRule="auto"/>
              <w:rPr>
                <w:rFonts w:ascii="Century Gothic" w:eastAsia="Arial Unicode MS" w:hAnsi="Century Gothic" w:cs="Arial"/>
                <w:b/>
                <w:sz w:val="24"/>
                <w:szCs w:val="24"/>
              </w:rPr>
            </w:pPr>
          </w:p>
          <w:p w14:paraId="3D118204" w14:textId="6B576A7D" w:rsidR="00140344" w:rsidRPr="00772FFB" w:rsidRDefault="00140344" w:rsidP="001E7444">
            <w:pPr>
              <w:pStyle w:val="Sinespaciado"/>
              <w:spacing w:line="276" w:lineRule="auto"/>
              <w:ind w:hanging="9"/>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Dip. Alejandro Arias Ávila</w:t>
            </w:r>
          </w:p>
          <w:p w14:paraId="63B5A952" w14:textId="77777777" w:rsidR="00140344" w:rsidRPr="00772FFB" w:rsidRDefault="00140344" w:rsidP="001E7444">
            <w:pPr>
              <w:pStyle w:val="Sinespaciado"/>
              <w:spacing w:line="276" w:lineRule="auto"/>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Secretario</w:t>
            </w:r>
          </w:p>
          <w:p w14:paraId="4B2D8EC6" w14:textId="1B914D63" w:rsidR="00140344" w:rsidRDefault="00140344" w:rsidP="001E7444">
            <w:pPr>
              <w:pStyle w:val="Sinespaciado"/>
              <w:spacing w:line="276" w:lineRule="auto"/>
              <w:jc w:val="center"/>
              <w:rPr>
                <w:rFonts w:ascii="Century Gothic" w:eastAsia="Arial Unicode MS" w:hAnsi="Century Gothic" w:cs="Arial"/>
                <w:b/>
                <w:sz w:val="24"/>
                <w:szCs w:val="24"/>
              </w:rPr>
            </w:pPr>
          </w:p>
          <w:p w14:paraId="2DCB0F8F" w14:textId="77777777" w:rsidR="00140344" w:rsidRPr="00772FFB" w:rsidRDefault="00140344" w:rsidP="001E7444">
            <w:pPr>
              <w:pStyle w:val="Sinespaciado"/>
              <w:spacing w:line="276" w:lineRule="auto"/>
              <w:rPr>
                <w:rFonts w:ascii="Century Gothic" w:eastAsia="Arial Unicode MS" w:hAnsi="Century Gothic" w:cs="Arial"/>
                <w:b/>
                <w:sz w:val="24"/>
                <w:szCs w:val="24"/>
              </w:rPr>
            </w:pPr>
          </w:p>
          <w:p w14:paraId="17F35F60" w14:textId="77777777" w:rsidR="00140344" w:rsidRPr="00772FFB" w:rsidRDefault="00140344" w:rsidP="001E7444">
            <w:pPr>
              <w:pStyle w:val="Sinespaciado"/>
              <w:spacing w:line="276" w:lineRule="auto"/>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Dip. Víctor Manuel Zanella Huerta</w:t>
            </w:r>
          </w:p>
          <w:p w14:paraId="6E9E9D65" w14:textId="77777777" w:rsidR="00140344" w:rsidRPr="00772FFB" w:rsidRDefault="00140344" w:rsidP="001E7444">
            <w:pPr>
              <w:pStyle w:val="Sinespaciado"/>
              <w:spacing w:line="276" w:lineRule="auto"/>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Vocal</w:t>
            </w:r>
          </w:p>
        </w:tc>
        <w:tc>
          <w:tcPr>
            <w:tcW w:w="4427" w:type="dxa"/>
          </w:tcPr>
          <w:p w14:paraId="56091C62" w14:textId="77777777" w:rsidR="00140344" w:rsidRPr="00772FFB" w:rsidRDefault="00140344" w:rsidP="00C25DC9">
            <w:pPr>
              <w:pStyle w:val="Sinespaciado"/>
              <w:spacing w:line="276" w:lineRule="auto"/>
              <w:rPr>
                <w:rFonts w:ascii="Century Gothic" w:eastAsia="Arial Unicode MS" w:hAnsi="Century Gothic" w:cs="Arial"/>
                <w:b/>
                <w:sz w:val="24"/>
                <w:szCs w:val="24"/>
              </w:rPr>
            </w:pPr>
          </w:p>
          <w:p w14:paraId="365B754F" w14:textId="77777777" w:rsidR="00140344" w:rsidRPr="00772FFB" w:rsidRDefault="00140344" w:rsidP="001E7444">
            <w:pPr>
              <w:pStyle w:val="Sinespaciado"/>
              <w:spacing w:line="276" w:lineRule="auto"/>
              <w:ind w:hanging="9"/>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Dip. Janet Melanie Murillo Chávez Vocal</w:t>
            </w:r>
          </w:p>
          <w:p w14:paraId="6DB02519" w14:textId="77777777" w:rsidR="00140344" w:rsidRPr="00772FFB" w:rsidRDefault="00140344" w:rsidP="001E7444">
            <w:pPr>
              <w:pStyle w:val="Sinespaciado"/>
              <w:spacing w:line="276" w:lineRule="auto"/>
              <w:ind w:hanging="9"/>
              <w:jc w:val="center"/>
              <w:rPr>
                <w:rFonts w:ascii="Century Gothic" w:eastAsia="Arial Unicode MS" w:hAnsi="Century Gothic" w:cs="Arial"/>
                <w:b/>
                <w:sz w:val="24"/>
                <w:szCs w:val="24"/>
              </w:rPr>
            </w:pPr>
          </w:p>
          <w:p w14:paraId="50E9BDEB" w14:textId="77777777" w:rsidR="00C25DC9" w:rsidRDefault="00C25DC9" w:rsidP="001E7444">
            <w:pPr>
              <w:pStyle w:val="Sinespaciado"/>
              <w:spacing w:line="276" w:lineRule="auto"/>
              <w:rPr>
                <w:rFonts w:ascii="Century Gothic" w:eastAsia="Arial Unicode MS" w:hAnsi="Century Gothic" w:cs="Arial"/>
                <w:bCs/>
                <w:sz w:val="20"/>
                <w:szCs w:val="20"/>
              </w:rPr>
            </w:pPr>
          </w:p>
          <w:p w14:paraId="4A9401A3" w14:textId="02F01F34" w:rsidR="00140344" w:rsidRPr="00772FFB" w:rsidRDefault="00140344" w:rsidP="001E7444">
            <w:pPr>
              <w:pStyle w:val="Sinespaciado"/>
              <w:spacing w:line="276" w:lineRule="auto"/>
              <w:rPr>
                <w:rFonts w:ascii="Century Gothic" w:eastAsia="Arial Unicode MS" w:hAnsi="Century Gothic" w:cs="Arial"/>
                <w:b/>
                <w:sz w:val="24"/>
                <w:szCs w:val="24"/>
              </w:rPr>
            </w:pPr>
            <w:r w:rsidRPr="00772FFB">
              <w:rPr>
                <w:rFonts w:ascii="Century Gothic" w:eastAsia="Arial Unicode MS" w:hAnsi="Century Gothic" w:cs="Arial"/>
                <w:b/>
                <w:sz w:val="24"/>
                <w:szCs w:val="24"/>
              </w:rPr>
              <w:t>Dip. Martha Edith Moreno Valencia</w:t>
            </w:r>
          </w:p>
          <w:p w14:paraId="2B0F9F1C" w14:textId="77777777" w:rsidR="00140344" w:rsidRPr="00772FFB" w:rsidRDefault="00140344" w:rsidP="001E7444">
            <w:pPr>
              <w:pStyle w:val="Sinespaciado"/>
              <w:spacing w:line="276" w:lineRule="auto"/>
              <w:jc w:val="center"/>
              <w:rPr>
                <w:rFonts w:ascii="Century Gothic" w:eastAsia="Arial Unicode MS" w:hAnsi="Century Gothic" w:cs="Arial"/>
                <w:b/>
                <w:sz w:val="24"/>
                <w:szCs w:val="24"/>
              </w:rPr>
            </w:pPr>
            <w:r w:rsidRPr="00772FFB">
              <w:rPr>
                <w:rFonts w:ascii="Century Gothic" w:eastAsia="Arial Unicode MS" w:hAnsi="Century Gothic" w:cs="Arial"/>
                <w:b/>
                <w:sz w:val="24"/>
                <w:szCs w:val="24"/>
              </w:rPr>
              <w:t>Vocal</w:t>
            </w:r>
          </w:p>
        </w:tc>
      </w:tr>
    </w:tbl>
    <w:p w14:paraId="354860C0" w14:textId="77777777" w:rsidR="0085245E" w:rsidRDefault="0085245E"/>
    <w:p w14:paraId="0B02BBDE" w14:textId="77777777" w:rsidR="0085245E" w:rsidRDefault="0085245E"/>
    <w:p w14:paraId="7D3B579C" w14:textId="77777777" w:rsidR="0085245E" w:rsidRDefault="0085245E"/>
    <w:p w14:paraId="1C13C3FF" w14:textId="77777777" w:rsidR="00610986" w:rsidRDefault="00610986"/>
    <w:p w14:paraId="2B2622F1" w14:textId="77777777" w:rsidR="00610986" w:rsidRDefault="00610986"/>
    <w:p w14:paraId="2366FFDC" w14:textId="77777777" w:rsidR="00610986" w:rsidRDefault="00610986"/>
    <w:p w14:paraId="6A9C6833" w14:textId="77777777" w:rsidR="0085245E" w:rsidRDefault="0085245E"/>
    <w:p w14:paraId="4EA2F8E0" w14:textId="77777777" w:rsidR="0085245E" w:rsidRDefault="0085245E"/>
    <w:p w14:paraId="5CB188A2" w14:textId="77777777" w:rsidR="00610986" w:rsidRDefault="00610986"/>
    <w:p w14:paraId="4F239273" w14:textId="77777777" w:rsidR="00610986" w:rsidRDefault="00610986"/>
    <w:p w14:paraId="40EA766E" w14:textId="77777777" w:rsidR="00610986" w:rsidRDefault="00610986"/>
    <w:p w14:paraId="6C7D7BEF" w14:textId="77777777" w:rsidR="00610986" w:rsidRDefault="00610986"/>
    <w:p w14:paraId="4E8C87AC" w14:textId="77777777" w:rsidR="00610986" w:rsidRDefault="00610986"/>
    <w:p w14:paraId="3B611812" w14:textId="1B232F82" w:rsidR="0085245E" w:rsidRDefault="00F8790B" w:rsidP="00F8790B">
      <w:pPr>
        <w:jc w:val="both"/>
      </w:pPr>
      <w:r w:rsidRPr="00A21C87">
        <w:rPr>
          <w:rFonts w:ascii="Century Gothic" w:eastAsia="Times New Roman" w:hAnsi="Century Gothic" w:cs="Arial"/>
          <w:sz w:val="16"/>
          <w:szCs w:val="16"/>
          <w:lang w:eastAsia="es-MX"/>
        </w:rPr>
        <w:t>Dictamen de la Comisión de Desarrollo Económico y Social, mediante el cual se ordena el archivo definitivo del punto de acuerdo,</w:t>
      </w:r>
      <w:r>
        <w:rPr>
          <w:rFonts w:ascii="Century Gothic" w:hAnsi="Century Gothic" w:cs="Arial"/>
          <w:sz w:val="16"/>
          <w:szCs w:val="16"/>
        </w:rPr>
        <w:t xml:space="preserve"> </w:t>
      </w:r>
      <w:r w:rsidRPr="00F8790B">
        <w:rPr>
          <w:rFonts w:ascii="Century Gothic" w:hAnsi="Century Gothic" w:cs="Arial"/>
          <w:sz w:val="16"/>
          <w:szCs w:val="16"/>
        </w:rPr>
        <w:t>formulada por el diputado David Martínez Mendizábal y la diputada Hades Berenice Aguilar Castillo, integrantes del Grupo Parlamentario del Partido MORENA, para exhortar al Gobernador del Estado de Guanajuato, Diego Sinhué Rodríguez Vallejo, para que en el ámbito de su atribuciones evalué las políticas públicas en materia de competitividad e incorpore mecanismos de mejora en la política y programas de desarrollo económico y social, partiendo de los resultados señalados por el índice de Competitividad Estatal 2023 del IMCO</w:t>
      </w:r>
      <w:r>
        <w:rPr>
          <w:rFonts w:ascii="Century Gothic" w:hAnsi="Century Gothic" w:cs="Arial"/>
          <w:sz w:val="16"/>
          <w:szCs w:val="16"/>
        </w:rPr>
        <w:t xml:space="preserve">.- </w:t>
      </w:r>
    </w:p>
    <w:p w14:paraId="68CB38C2" w14:textId="2FE23FD5" w:rsidR="0085245E" w:rsidRPr="00A21C87" w:rsidRDefault="0085245E" w:rsidP="00A21C87">
      <w:pPr>
        <w:jc w:val="both"/>
        <w:rPr>
          <w:sz w:val="16"/>
          <w:szCs w:val="16"/>
        </w:rPr>
      </w:pPr>
    </w:p>
    <w:sectPr w:rsidR="0085245E" w:rsidRPr="00A21C87" w:rsidSect="00C25DC9">
      <w:headerReference w:type="default" r:id="rId8"/>
      <w:footerReference w:type="default" r:id="rId9"/>
      <w:pgSz w:w="12240" w:h="15840"/>
      <w:pgMar w:top="2977" w:right="1701" w:bottom="1276" w:left="1701" w:header="5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4B29" w14:textId="77777777" w:rsidR="00C43195" w:rsidRDefault="00C43195" w:rsidP="00140344">
      <w:r>
        <w:separator/>
      </w:r>
    </w:p>
  </w:endnote>
  <w:endnote w:type="continuationSeparator" w:id="0">
    <w:p w14:paraId="448DE4B4" w14:textId="77777777" w:rsidR="00C43195" w:rsidRDefault="00C43195" w:rsidP="0014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12282"/>
      <w:docPartObj>
        <w:docPartGallery w:val="Page Numbers (Bottom of Page)"/>
        <w:docPartUnique/>
      </w:docPartObj>
    </w:sdtPr>
    <w:sdtEndPr>
      <w:rPr>
        <w:sz w:val="20"/>
        <w:szCs w:val="20"/>
      </w:rPr>
    </w:sdtEndPr>
    <w:sdtContent>
      <w:p w14:paraId="160D73F0" w14:textId="77777777" w:rsidR="00DA18CB" w:rsidRPr="002707EE" w:rsidRDefault="00C25DC9">
        <w:pPr>
          <w:pStyle w:val="Piedepgina"/>
          <w:jc w:val="right"/>
          <w:rPr>
            <w:sz w:val="20"/>
            <w:szCs w:val="20"/>
          </w:rPr>
        </w:pPr>
        <w:r w:rsidRPr="002707EE">
          <w:rPr>
            <w:sz w:val="22"/>
            <w:szCs w:val="22"/>
          </w:rPr>
          <w:fldChar w:fldCharType="begin"/>
        </w:r>
        <w:r w:rsidRPr="002707EE">
          <w:rPr>
            <w:sz w:val="22"/>
            <w:szCs w:val="22"/>
          </w:rPr>
          <w:instrText>PAGE   \* MERGEFORMAT</w:instrText>
        </w:r>
        <w:r w:rsidRPr="002707EE">
          <w:rPr>
            <w:sz w:val="22"/>
            <w:szCs w:val="22"/>
          </w:rPr>
          <w:fldChar w:fldCharType="separate"/>
        </w:r>
        <w:r w:rsidRPr="002707EE">
          <w:rPr>
            <w:sz w:val="22"/>
            <w:szCs w:val="22"/>
            <w:lang w:val="es-ES"/>
          </w:rPr>
          <w:t>2</w:t>
        </w:r>
        <w:r w:rsidRPr="002707EE">
          <w:rPr>
            <w:sz w:val="22"/>
            <w:szCs w:val="22"/>
          </w:rPr>
          <w:fldChar w:fldCharType="end"/>
        </w:r>
      </w:p>
    </w:sdtContent>
  </w:sdt>
  <w:p w14:paraId="1D256D9F" w14:textId="77777777" w:rsidR="00DA18CB" w:rsidRPr="002707EE" w:rsidRDefault="00DA18CB">
    <w:pPr>
      <w:pStyle w:val="Piedepgina"/>
      <w:rPr>
        <w:sz w:val="22"/>
        <w:szCs w:val="22"/>
      </w:rPr>
    </w:pPr>
  </w:p>
  <w:p w14:paraId="3FEB366B" w14:textId="77777777" w:rsidR="005E4BF7" w:rsidRDefault="005E4BF7"/>
  <w:p w14:paraId="36C5910C" w14:textId="77777777" w:rsidR="00F8790B" w:rsidRDefault="00F87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502E" w14:textId="77777777" w:rsidR="00C43195" w:rsidRDefault="00C43195" w:rsidP="00140344">
      <w:r>
        <w:separator/>
      </w:r>
    </w:p>
  </w:footnote>
  <w:footnote w:type="continuationSeparator" w:id="0">
    <w:p w14:paraId="5C569F74" w14:textId="77777777" w:rsidR="00C43195" w:rsidRDefault="00C43195" w:rsidP="00140344">
      <w:r>
        <w:continuationSeparator/>
      </w:r>
    </w:p>
  </w:footnote>
  <w:footnote w:id="1">
    <w:p w14:paraId="626E643F" w14:textId="42A89FBB" w:rsidR="00082C63" w:rsidRDefault="00082C63" w:rsidP="00082C63">
      <w:pPr>
        <w:pStyle w:val="Textonotapie"/>
      </w:pPr>
      <w:r>
        <w:rPr>
          <w:rStyle w:val="Refdenotaalpie"/>
        </w:rPr>
        <w:footnoteRef/>
      </w:r>
      <w:r>
        <w:t xml:space="preserve"> </w:t>
      </w:r>
      <w:hyperlink r:id="rId1" w:anchor=":~:text=Las%20pol%C3%ADticas%20p%C3%BAblicas%2C%20son%20el,frente%20a%20determinados%20problemas%20p%C3%BAblicos.&amp;text=Estos%20procesos%20de%20toma%20de,omisiones%20de%20las%20instituciones%20gubernamentales." w:history="1">
        <w:r w:rsidRPr="001A11BD">
          <w:rPr>
            <w:rStyle w:val="Hipervnculo"/>
            <w:rFonts w:ascii="Arial" w:hAnsi="Arial" w:cs="Arial"/>
            <w:sz w:val="16"/>
            <w:szCs w:val="16"/>
          </w:rPr>
          <w:t>2 (diputados.gob.mx)</w:t>
        </w:r>
      </w:hyperlink>
      <w:r w:rsidRPr="001A11BD">
        <w:rPr>
          <w:rFonts w:ascii="Arial" w:hAnsi="Arial" w:cs="Arial"/>
          <w:sz w:val="16"/>
          <w:szCs w:val="16"/>
        </w:rPr>
        <w:t xml:space="preserve"> Cámara de Diputados, Servicios de Investigación y análisis.</w:t>
      </w:r>
      <w:r w:rsidR="001A11BD">
        <w:rPr>
          <w:rFonts w:ascii="Arial" w:hAnsi="Arial" w:cs="Arial"/>
          <w:sz w:val="16"/>
          <w:szCs w:val="16"/>
        </w:rPr>
        <w:t xml:space="preserve"> 2. El marco teórico – conceptual de la evaluación de las políticas públicas.</w:t>
      </w:r>
    </w:p>
  </w:footnote>
  <w:footnote w:id="2">
    <w:p w14:paraId="5D048733" w14:textId="0ECA8649" w:rsidR="009244AE" w:rsidRDefault="009244AE">
      <w:pPr>
        <w:pStyle w:val="Textonotapie"/>
      </w:pPr>
      <w:r>
        <w:rPr>
          <w:rStyle w:val="Refdenotaalpie"/>
        </w:rPr>
        <w:footnoteRef/>
      </w:r>
      <w:r>
        <w:t xml:space="preserve"> </w:t>
      </w:r>
      <w:hyperlink r:id="rId2" w:history="1">
        <w:r w:rsidRPr="001A11BD">
          <w:rPr>
            <w:rStyle w:val="Hipervnculo"/>
            <w:sz w:val="16"/>
            <w:szCs w:val="16"/>
          </w:rPr>
          <w:t>Índice de Competitividad Estatal 2023 (ICE)</w:t>
        </w:r>
      </w:hyperlink>
      <w:r w:rsidRPr="001A11BD">
        <w:rPr>
          <w:sz w:val="16"/>
          <w:szCs w:val="16"/>
        </w:rPr>
        <w:t xml:space="preserve">. </w:t>
      </w:r>
      <w:r w:rsidR="001A11BD" w:rsidRPr="001A11BD">
        <w:rPr>
          <w:sz w:val="16"/>
          <w:szCs w:val="16"/>
        </w:rPr>
        <w:t>Instituto Mexicano para la Competitividad A.C.</w:t>
      </w:r>
    </w:p>
  </w:footnote>
  <w:footnote w:id="3">
    <w:p w14:paraId="3672012E" w14:textId="77777777" w:rsidR="00610986" w:rsidRDefault="00610986" w:rsidP="00610986">
      <w:pPr>
        <w:pStyle w:val="Textonotapie"/>
      </w:pPr>
      <w:r>
        <w:rPr>
          <w:rStyle w:val="Refdenotaalpie"/>
        </w:rPr>
        <w:footnoteRef/>
      </w:r>
      <w:r>
        <w:t xml:space="preserve"> </w:t>
      </w:r>
      <w:hyperlink r:id="rId3" w:history="1">
        <w:r w:rsidRPr="001A11BD">
          <w:rPr>
            <w:rStyle w:val="Hipervnculo"/>
            <w:sz w:val="16"/>
            <w:szCs w:val="16"/>
          </w:rPr>
          <w:t>Anexo metodológico del ICE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75C2" w14:textId="77777777" w:rsidR="00DA18CB" w:rsidRDefault="00C25DC9" w:rsidP="005641B6">
    <w:pPr>
      <w:jc w:val="center"/>
      <w:rPr>
        <w:b/>
        <w:bCs/>
        <w:i/>
        <w:iCs/>
        <w:sz w:val="14"/>
        <w:szCs w:val="14"/>
        <w:lang w:val="es-ES"/>
      </w:rPr>
    </w:pPr>
    <w:r>
      <w:rPr>
        <w:noProof/>
      </w:rPr>
      <w:drawing>
        <wp:anchor distT="0" distB="0" distL="114300" distR="114300" simplePos="0" relativeHeight="251659264" behindDoc="0" locked="0" layoutInCell="1" allowOverlap="1" wp14:anchorId="5C2B5567" wp14:editId="057840D0">
          <wp:simplePos x="0" y="0"/>
          <wp:positionH relativeFrom="margin">
            <wp:align>left</wp:align>
          </wp:positionH>
          <wp:positionV relativeFrom="paragraph">
            <wp:posOffset>15903</wp:posOffset>
          </wp:positionV>
          <wp:extent cx="1307432" cy="1265705"/>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11-29 a la(s) 12.48.52 p. m..png"/>
                  <pic:cNvPicPr/>
                </pic:nvPicPr>
                <pic:blipFill>
                  <a:blip r:embed="rId1">
                    <a:extLst>
                      <a:ext uri="{28A0092B-C50C-407E-A947-70E740481C1C}">
                        <a14:useLocalDpi xmlns:a14="http://schemas.microsoft.com/office/drawing/2010/main" val="0"/>
                      </a:ext>
                    </a:extLst>
                  </a:blip>
                  <a:stretch>
                    <a:fillRect/>
                  </a:stretch>
                </pic:blipFill>
                <pic:spPr>
                  <a:xfrm>
                    <a:off x="0" y="0"/>
                    <a:ext cx="1307432" cy="1265705"/>
                  </a:xfrm>
                  <a:prstGeom prst="rect">
                    <a:avLst/>
                  </a:prstGeom>
                </pic:spPr>
              </pic:pic>
            </a:graphicData>
          </a:graphic>
        </wp:anchor>
      </w:drawing>
    </w:r>
  </w:p>
  <w:p w14:paraId="15E86693" w14:textId="77777777" w:rsidR="00DA18CB" w:rsidRDefault="00DA18CB" w:rsidP="008157F5">
    <w:pPr>
      <w:pStyle w:val="Encabezado"/>
      <w:ind w:left="-1134"/>
    </w:pPr>
  </w:p>
  <w:p w14:paraId="0FB3D9BD" w14:textId="77777777" w:rsidR="005E4BF7" w:rsidRDefault="005E4BF7"/>
  <w:p w14:paraId="78FF8BD5" w14:textId="77777777" w:rsidR="00F8790B" w:rsidRDefault="00F879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26D77"/>
    <w:multiLevelType w:val="hybridMultilevel"/>
    <w:tmpl w:val="2A72E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784E36"/>
    <w:multiLevelType w:val="hybridMultilevel"/>
    <w:tmpl w:val="1EE80A84"/>
    <w:lvl w:ilvl="0" w:tplc="628ADC5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4884CBD"/>
    <w:multiLevelType w:val="hybridMultilevel"/>
    <w:tmpl w:val="7A12721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552126B4"/>
    <w:multiLevelType w:val="hybridMultilevel"/>
    <w:tmpl w:val="2440323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19372A"/>
    <w:multiLevelType w:val="hybridMultilevel"/>
    <w:tmpl w:val="251C276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1744744">
    <w:abstractNumId w:val="0"/>
  </w:num>
  <w:num w:numId="2" w16cid:durableId="531190993">
    <w:abstractNumId w:val="3"/>
  </w:num>
  <w:num w:numId="3" w16cid:durableId="608706861">
    <w:abstractNumId w:val="4"/>
  </w:num>
  <w:num w:numId="4" w16cid:durableId="1486430380">
    <w:abstractNumId w:val="1"/>
  </w:num>
  <w:num w:numId="5" w16cid:durableId="59146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44"/>
    <w:rsid w:val="00082C63"/>
    <w:rsid w:val="00127B73"/>
    <w:rsid w:val="00140344"/>
    <w:rsid w:val="00192672"/>
    <w:rsid w:val="00192C6A"/>
    <w:rsid w:val="001A11BD"/>
    <w:rsid w:val="001C67EA"/>
    <w:rsid w:val="001D6AD2"/>
    <w:rsid w:val="001E5C7D"/>
    <w:rsid w:val="00200C56"/>
    <w:rsid w:val="00211828"/>
    <w:rsid w:val="0022314E"/>
    <w:rsid w:val="002A7610"/>
    <w:rsid w:val="002C039D"/>
    <w:rsid w:val="002D5F49"/>
    <w:rsid w:val="002F7DF8"/>
    <w:rsid w:val="0035356F"/>
    <w:rsid w:val="003556DF"/>
    <w:rsid w:val="0040345E"/>
    <w:rsid w:val="004B6FFE"/>
    <w:rsid w:val="004C63B0"/>
    <w:rsid w:val="004E6746"/>
    <w:rsid w:val="005203CA"/>
    <w:rsid w:val="00574230"/>
    <w:rsid w:val="005E4BF7"/>
    <w:rsid w:val="005F274F"/>
    <w:rsid w:val="00610986"/>
    <w:rsid w:val="00654EF4"/>
    <w:rsid w:val="0065584E"/>
    <w:rsid w:val="0069082E"/>
    <w:rsid w:val="006B0222"/>
    <w:rsid w:val="00703978"/>
    <w:rsid w:val="00710A7E"/>
    <w:rsid w:val="007445CA"/>
    <w:rsid w:val="007551DE"/>
    <w:rsid w:val="007C7F14"/>
    <w:rsid w:val="00802669"/>
    <w:rsid w:val="0085245E"/>
    <w:rsid w:val="008717A8"/>
    <w:rsid w:val="008F3DCD"/>
    <w:rsid w:val="00912244"/>
    <w:rsid w:val="009244AE"/>
    <w:rsid w:val="00947586"/>
    <w:rsid w:val="009D5EC1"/>
    <w:rsid w:val="00A21C87"/>
    <w:rsid w:val="00A91E70"/>
    <w:rsid w:val="00C25DC9"/>
    <w:rsid w:val="00C43195"/>
    <w:rsid w:val="00C6703C"/>
    <w:rsid w:val="00CE0D84"/>
    <w:rsid w:val="00D16CE0"/>
    <w:rsid w:val="00D212F4"/>
    <w:rsid w:val="00D415AE"/>
    <w:rsid w:val="00D709C4"/>
    <w:rsid w:val="00DA18CB"/>
    <w:rsid w:val="00DB2C27"/>
    <w:rsid w:val="00DB64FB"/>
    <w:rsid w:val="00DF05C6"/>
    <w:rsid w:val="00E03A26"/>
    <w:rsid w:val="00E23BF3"/>
    <w:rsid w:val="00EA3DCE"/>
    <w:rsid w:val="00EC0078"/>
    <w:rsid w:val="00EC794B"/>
    <w:rsid w:val="00F33C99"/>
    <w:rsid w:val="00F349E2"/>
    <w:rsid w:val="00F8790B"/>
    <w:rsid w:val="00FB1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3317"/>
  <w15:chartTrackingRefBased/>
  <w15:docId w15:val="{45DFEBFB-7370-4696-A628-1E7AC12B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A8"/>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0344"/>
    <w:pPr>
      <w:tabs>
        <w:tab w:val="center" w:pos="4419"/>
        <w:tab w:val="right" w:pos="8838"/>
      </w:tabs>
    </w:pPr>
  </w:style>
  <w:style w:type="character" w:customStyle="1" w:styleId="EncabezadoCar">
    <w:name w:val="Encabezado Car"/>
    <w:basedOn w:val="Fuentedeprrafopredeter"/>
    <w:link w:val="Encabezado"/>
    <w:uiPriority w:val="99"/>
    <w:rsid w:val="00140344"/>
    <w:rPr>
      <w:sz w:val="24"/>
      <w:szCs w:val="24"/>
    </w:rPr>
  </w:style>
  <w:style w:type="paragraph" w:styleId="Piedepgina">
    <w:name w:val="footer"/>
    <w:basedOn w:val="Normal"/>
    <w:link w:val="PiedepginaCar"/>
    <w:uiPriority w:val="99"/>
    <w:unhideWhenUsed/>
    <w:rsid w:val="00140344"/>
    <w:pPr>
      <w:tabs>
        <w:tab w:val="center" w:pos="4419"/>
        <w:tab w:val="right" w:pos="8838"/>
      </w:tabs>
    </w:pPr>
  </w:style>
  <w:style w:type="character" w:customStyle="1" w:styleId="PiedepginaCar">
    <w:name w:val="Pie de página Car"/>
    <w:basedOn w:val="Fuentedeprrafopredeter"/>
    <w:link w:val="Piedepgina"/>
    <w:uiPriority w:val="99"/>
    <w:rsid w:val="00140344"/>
    <w:rPr>
      <w:sz w:val="24"/>
      <w:szCs w:val="24"/>
    </w:rPr>
  </w:style>
  <w:style w:type="paragraph" w:styleId="Sinespaciado">
    <w:name w:val="No Spacing"/>
    <w:uiPriority w:val="1"/>
    <w:qFormat/>
    <w:rsid w:val="00140344"/>
    <w:pPr>
      <w:spacing w:after="0" w:line="240" w:lineRule="auto"/>
    </w:pPr>
    <w:rPr>
      <w:rFonts w:ascii="Calibri" w:eastAsia="Times New Roman" w:hAnsi="Calibri" w:cs="Times New Roman"/>
      <w:lang w:eastAsia="es-MX"/>
    </w:rPr>
  </w:style>
  <w:style w:type="paragraph" w:styleId="Textoindependiente">
    <w:name w:val="Body Text"/>
    <w:basedOn w:val="Normal"/>
    <w:link w:val="TextoindependienteCar"/>
    <w:uiPriority w:val="1"/>
    <w:qFormat/>
    <w:rsid w:val="00140344"/>
    <w:pPr>
      <w:widowControl w:val="0"/>
      <w:autoSpaceDE w:val="0"/>
      <w:autoSpaceDN w:val="0"/>
      <w:adjustRightInd w:val="0"/>
    </w:pPr>
    <w:rPr>
      <w:rFonts w:ascii="Arial" w:eastAsiaTheme="minorEastAsia" w:hAnsi="Arial" w:cs="Arial"/>
      <w:sz w:val="25"/>
      <w:szCs w:val="25"/>
      <w:lang w:eastAsia="es-MX"/>
    </w:rPr>
  </w:style>
  <w:style w:type="character" w:customStyle="1" w:styleId="TextoindependienteCar">
    <w:name w:val="Texto independiente Car"/>
    <w:basedOn w:val="Fuentedeprrafopredeter"/>
    <w:link w:val="Textoindependiente"/>
    <w:uiPriority w:val="1"/>
    <w:rsid w:val="00140344"/>
    <w:rPr>
      <w:rFonts w:ascii="Arial" w:eastAsiaTheme="minorEastAsia" w:hAnsi="Arial" w:cs="Arial"/>
      <w:sz w:val="25"/>
      <w:szCs w:val="25"/>
      <w:lang w:eastAsia="es-MX"/>
    </w:rPr>
  </w:style>
  <w:style w:type="paragraph" w:styleId="Textonotapie">
    <w:name w:val="footnote text"/>
    <w:basedOn w:val="Normal"/>
    <w:link w:val="TextonotapieCar"/>
    <w:uiPriority w:val="99"/>
    <w:semiHidden/>
    <w:unhideWhenUsed/>
    <w:rsid w:val="00140344"/>
    <w:rPr>
      <w:sz w:val="20"/>
      <w:szCs w:val="20"/>
    </w:rPr>
  </w:style>
  <w:style w:type="character" w:customStyle="1" w:styleId="TextonotapieCar">
    <w:name w:val="Texto nota pie Car"/>
    <w:basedOn w:val="Fuentedeprrafopredeter"/>
    <w:link w:val="Textonotapie"/>
    <w:uiPriority w:val="99"/>
    <w:semiHidden/>
    <w:rsid w:val="00140344"/>
    <w:rPr>
      <w:sz w:val="20"/>
      <w:szCs w:val="20"/>
    </w:rPr>
  </w:style>
  <w:style w:type="character" w:styleId="Refdenotaalpie">
    <w:name w:val="footnote reference"/>
    <w:basedOn w:val="Fuentedeprrafopredeter"/>
    <w:uiPriority w:val="99"/>
    <w:semiHidden/>
    <w:unhideWhenUsed/>
    <w:rsid w:val="00140344"/>
    <w:rPr>
      <w:vertAlign w:val="superscript"/>
    </w:rPr>
  </w:style>
  <w:style w:type="character" w:styleId="Hipervnculo">
    <w:name w:val="Hyperlink"/>
    <w:basedOn w:val="Fuentedeprrafopredeter"/>
    <w:uiPriority w:val="99"/>
    <w:unhideWhenUsed/>
    <w:rsid w:val="00140344"/>
    <w:rPr>
      <w:color w:val="0000FF"/>
      <w:u w:val="single"/>
    </w:rPr>
  </w:style>
  <w:style w:type="paragraph" w:customStyle="1" w:styleId="Pa8">
    <w:name w:val="Pa8"/>
    <w:basedOn w:val="Normal"/>
    <w:next w:val="Normal"/>
    <w:uiPriority w:val="99"/>
    <w:rsid w:val="00140344"/>
    <w:pPr>
      <w:autoSpaceDE w:val="0"/>
      <w:autoSpaceDN w:val="0"/>
      <w:adjustRightInd w:val="0"/>
      <w:spacing w:line="221" w:lineRule="atLeast"/>
    </w:pPr>
    <w:rPr>
      <w:rFonts w:ascii="Arial" w:hAnsi="Arial" w:cs="Arial"/>
      <w:lang w:val="en-US"/>
    </w:rPr>
  </w:style>
  <w:style w:type="paragraph" w:customStyle="1" w:styleId="texto">
    <w:name w:val="texto"/>
    <w:basedOn w:val="Normal"/>
    <w:uiPriority w:val="99"/>
    <w:rsid w:val="00140344"/>
    <w:pPr>
      <w:keepLines/>
      <w:spacing w:before="240"/>
      <w:jc w:val="both"/>
    </w:pPr>
    <w:rPr>
      <w:rFonts w:ascii="Arial" w:eastAsia="Times New Roman" w:hAnsi="Arial" w:cs="Times New Roman"/>
      <w:color w:val="000080"/>
      <w:szCs w:val="20"/>
      <w:lang w:eastAsia="es-ES"/>
    </w:rPr>
  </w:style>
  <w:style w:type="paragraph" w:styleId="Prrafodelista">
    <w:name w:val="List Paragraph"/>
    <w:basedOn w:val="Normal"/>
    <w:uiPriority w:val="34"/>
    <w:qFormat/>
    <w:rsid w:val="00140344"/>
    <w:pPr>
      <w:ind w:left="720"/>
      <w:contextualSpacing/>
    </w:pPr>
  </w:style>
  <w:style w:type="character" w:customStyle="1" w:styleId="user-highlighted-active">
    <w:name w:val="user-highlighted-active"/>
    <w:basedOn w:val="Fuentedeprrafopredeter"/>
    <w:rsid w:val="00CE0D84"/>
  </w:style>
  <w:style w:type="character" w:customStyle="1" w:styleId="a">
    <w:name w:val="_"/>
    <w:basedOn w:val="Fuentedeprrafopredeter"/>
    <w:rsid w:val="00CE0D84"/>
  </w:style>
  <w:style w:type="character" w:customStyle="1" w:styleId="ls7">
    <w:name w:val="ls7"/>
    <w:basedOn w:val="Fuentedeprrafopredeter"/>
    <w:rsid w:val="00CE0D84"/>
  </w:style>
  <w:style w:type="character" w:customStyle="1" w:styleId="ls18">
    <w:name w:val="ls18"/>
    <w:basedOn w:val="Fuentedeprrafopredeter"/>
    <w:rsid w:val="00CE0D84"/>
  </w:style>
  <w:style w:type="character" w:styleId="Textoennegrita">
    <w:name w:val="Strong"/>
    <w:basedOn w:val="Fuentedeprrafopredeter"/>
    <w:uiPriority w:val="22"/>
    <w:qFormat/>
    <w:rsid w:val="00CE0D84"/>
    <w:rPr>
      <w:b/>
      <w:bCs/>
    </w:rPr>
  </w:style>
  <w:style w:type="character" w:styleId="Hipervnculovisitado">
    <w:name w:val="FollowedHyperlink"/>
    <w:basedOn w:val="Fuentedeprrafopredeter"/>
    <w:uiPriority w:val="99"/>
    <w:semiHidden/>
    <w:unhideWhenUsed/>
    <w:rsid w:val="00211828"/>
    <w:rPr>
      <w:color w:val="954F72" w:themeColor="followedHyperlink"/>
      <w:u w:val="single"/>
    </w:rPr>
  </w:style>
  <w:style w:type="character" w:styleId="Mencinsinresolver">
    <w:name w:val="Unresolved Mention"/>
    <w:basedOn w:val="Fuentedeprrafopredeter"/>
    <w:uiPriority w:val="99"/>
    <w:semiHidden/>
    <w:unhideWhenUsed/>
    <w:rsid w:val="009244AE"/>
    <w:rPr>
      <w:color w:val="605E5C"/>
      <w:shd w:val="clear" w:color="auto" w:fill="E1DFDD"/>
    </w:rPr>
  </w:style>
  <w:style w:type="table" w:customStyle="1" w:styleId="TableNormal">
    <w:name w:val="Table Normal"/>
    <w:uiPriority w:val="2"/>
    <w:semiHidden/>
    <w:unhideWhenUsed/>
    <w:qFormat/>
    <w:rsid w:val="006908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082E"/>
    <w:pPr>
      <w:widowControl w:val="0"/>
      <w:autoSpaceDE w:val="0"/>
      <w:autoSpaceDN w:val="0"/>
      <w:spacing w:line="300" w:lineRule="exact"/>
      <w:ind w:left="107"/>
    </w:pPr>
    <w:rPr>
      <w:rFonts w:ascii="Arial" w:eastAsia="Arial" w:hAnsi="Arial" w:cs="Arial"/>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367">
      <w:bodyDiv w:val="1"/>
      <w:marLeft w:val="0"/>
      <w:marRight w:val="0"/>
      <w:marTop w:val="0"/>
      <w:marBottom w:val="0"/>
      <w:divBdr>
        <w:top w:val="none" w:sz="0" w:space="0" w:color="auto"/>
        <w:left w:val="none" w:sz="0" w:space="0" w:color="auto"/>
        <w:bottom w:val="none" w:sz="0" w:space="0" w:color="auto"/>
        <w:right w:val="none" w:sz="0" w:space="0" w:color="auto"/>
      </w:divBdr>
    </w:div>
    <w:div w:id="476655799">
      <w:bodyDiv w:val="1"/>
      <w:marLeft w:val="0"/>
      <w:marRight w:val="0"/>
      <w:marTop w:val="0"/>
      <w:marBottom w:val="0"/>
      <w:divBdr>
        <w:top w:val="none" w:sz="0" w:space="0" w:color="auto"/>
        <w:left w:val="none" w:sz="0" w:space="0" w:color="auto"/>
        <w:bottom w:val="none" w:sz="0" w:space="0" w:color="auto"/>
        <w:right w:val="none" w:sz="0" w:space="0" w:color="auto"/>
      </w:divBdr>
    </w:div>
    <w:div w:id="722405551">
      <w:bodyDiv w:val="1"/>
      <w:marLeft w:val="0"/>
      <w:marRight w:val="0"/>
      <w:marTop w:val="0"/>
      <w:marBottom w:val="0"/>
      <w:divBdr>
        <w:top w:val="none" w:sz="0" w:space="0" w:color="auto"/>
        <w:left w:val="none" w:sz="0" w:space="0" w:color="auto"/>
        <w:bottom w:val="none" w:sz="0" w:space="0" w:color="auto"/>
        <w:right w:val="none" w:sz="0" w:space="0" w:color="auto"/>
      </w:divBdr>
    </w:div>
    <w:div w:id="1386639964">
      <w:bodyDiv w:val="1"/>
      <w:marLeft w:val="0"/>
      <w:marRight w:val="0"/>
      <w:marTop w:val="0"/>
      <w:marBottom w:val="0"/>
      <w:divBdr>
        <w:top w:val="none" w:sz="0" w:space="0" w:color="auto"/>
        <w:left w:val="none" w:sz="0" w:space="0" w:color="auto"/>
        <w:bottom w:val="none" w:sz="0" w:space="0" w:color="auto"/>
        <w:right w:val="none" w:sz="0" w:space="0" w:color="auto"/>
      </w:divBdr>
    </w:div>
    <w:div w:id="1486163237">
      <w:bodyDiv w:val="1"/>
      <w:marLeft w:val="0"/>
      <w:marRight w:val="0"/>
      <w:marTop w:val="0"/>
      <w:marBottom w:val="0"/>
      <w:divBdr>
        <w:top w:val="none" w:sz="0" w:space="0" w:color="auto"/>
        <w:left w:val="none" w:sz="0" w:space="0" w:color="auto"/>
        <w:bottom w:val="none" w:sz="0" w:space="0" w:color="auto"/>
        <w:right w:val="none" w:sz="0" w:space="0" w:color="auto"/>
      </w:divBdr>
    </w:div>
    <w:div w:id="1665350908">
      <w:bodyDiv w:val="1"/>
      <w:marLeft w:val="0"/>
      <w:marRight w:val="0"/>
      <w:marTop w:val="0"/>
      <w:marBottom w:val="0"/>
      <w:divBdr>
        <w:top w:val="none" w:sz="0" w:space="0" w:color="auto"/>
        <w:left w:val="none" w:sz="0" w:space="0" w:color="auto"/>
        <w:bottom w:val="none" w:sz="0" w:space="0" w:color="auto"/>
        <w:right w:val="none" w:sz="0" w:space="0" w:color="auto"/>
      </w:divBdr>
    </w:div>
    <w:div w:id="16960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pi.imco.org.mx/release/latest/vendor/imco/indices-api/documentos/Competitividad/%C3%8Dndice%20de%20Competitividad%20Estatal/2023-05-29_0900%20%C3%8Dndice%20de%20Competitividad%20Estatal%202023/Documentos%20de%20resultados/ICE%202023%20Anexo%20Metodolo%CC%81gico.pdf" TargetMode="External"/><Relationship Id="rId2" Type="http://schemas.openxmlformats.org/officeDocument/2006/relationships/hyperlink" Target="https://api.imco.org.mx/release/latest/vendor/imco/indices-api/documentos/Competitividad/%C3%8Dndice%20de%20Competitividad%20Estatal/2023-05-29_0900%20%C3%8Dndice%20de%20Competitividad%20Estatal%202023/Documentos%20de%20resultados/ICE%202023%20Documento.pdf" TargetMode="External"/><Relationship Id="rId1" Type="http://schemas.openxmlformats.org/officeDocument/2006/relationships/hyperlink" Target="https://www.diputados.gob.mx/bibliot/publica/inveyana/polisoc/dps22/4dps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F707-89ED-45CF-978B-E1F17FAB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3660</Words>
  <Characters>20131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Alejandra Rodríguez Vázquez</dc:creator>
  <cp:keywords/>
  <dc:description/>
  <cp:lastModifiedBy>Mayra Alejandra Rodríguez Vázquez</cp:lastModifiedBy>
  <cp:revision>2</cp:revision>
  <dcterms:created xsi:type="dcterms:W3CDTF">2023-08-15T15:31:00Z</dcterms:created>
  <dcterms:modified xsi:type="dcterms:W3CDTF">2023-08-15T15:31:00Z</dcterms:modified>
</cp:coreProperties>
</file>