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D62E6" w14:textId="77777777" w:rsidR="00060E74" w:rsidRDefault="00060E74" w:rsidP="00E94374">
      <w:pPr>
        <w:spacing w:line="276" w:lineRule="auto"/>
        <w:jc w:val="both"/>
        <w:rPr>
          <w:rFonts w:ascii="Century Gothic" w:hAnsi="Century Gothic" w:cs="Arial"/>
          <w:b/>
          <w:lang w:val="pt-PT"/>
        </w:rPr>
      </w:pPr>
    </w:p>
    <w:p w14:paraId="16D74E47" w14:textId="1B897BC1" w:rsidR="00E94374" w:rsidRPr="003A7E70" w:rsidRDefault="00E94374" w:rsidP="00E94374">
      <w:pPr>
        <w:spacing w:line="276" w:lineRule="auto"/>
        <w:jc w:val="both"/>
        <w:rPr>
          <w:rFonts w:ascii="Century Gothic" w:hAnsi="Century Gothic" w:cs="Arial"/>
          <w:b/>
          <w:lang w:val="pt-PT"/>
        </w:rPr>
      </w:pPr>
      <w:r w:rsidRPr="003A7E70">
        <w:rPr>
          <w:rFonts w:ascii="Century Gothic" w:hAnsi="Century Gothic" w:cs="Arial"/>
          <w:b/>
          <w:lang w:val="pt-PT"/>
        </w:rPr>
        <w:t>Presidencia del Congreso del Estado</w:t>
      </w:r>
    </w:p>
    <w:p w14:paraId="5CE2BB5B" w14:textId="77777777" w:rsidR="00E94374" w:rsidRPr="003A7E70" w:rsidRDefault="00E94374" w:rsidP="00E94374">
      <w:pPr>
        <w:spacing w:line="276" w:lineRule="auto"/>
        <w:jc w:val="both"/>
        <w:rPr>
          <w:rFonts w:ascii="Century Gothic" w:hAnsi="Century Gothic" w:cs="Arial"/>
          <w:b/>
          <w:lang w:val="pt-PT"/>
        </w:rPr>
      </w:pPr>
      <w:r w:rsidRPr="003A7E70">
        <w:rPr>
          <w:rFonts w:ascii="Century Gothic" w:hAnsi="Century Gothic" w:cs="Arial"/>
          <w:b/>
          <w:lang w:val="pt-PT"/>
        </w:rPr>
        <w:t>P r e s e n t e.</w:t>
      </w:r>
    </w:p>
    <w:p w14:paraId="013A696E" w14:textId="77777777" w:rsidR="00E94374" w:rsidRPr="003A7E70" w:rsidRDefault="00E94374" w:rsidP="00E94374">
      <w:pPr>
        <w:spacing w:line="276" w:lineRule="auto"/>
        <w:jc w:val="both"/>
        <w:rPr>
          <w:rFonts w:ascii="Century Gothic" w:hAnsi="Century Gothic" w:cs="Arial"/>
          <w:lang w:val="pt-PT"/>
        </w:rPr>
      </w:pPr>
    </w:p>
    <w:p w14:paraId="38EB4C7F" w14:textId="77777777" w:rsidR="00E94374" w:rsidRPr="003A7E70" w:rsidRDefault="00E94374" w:rsidP="00E94374">
      <w:pPr>
        <w:spacing w:line="276" w:lineRule="auto"/>
        <w:ind w:firstLine="851"/>
        <w:jc w:val="both"/>
        <w:rPr>
          <w:rFonts w:ascii="Century Gothic" w:hAnsi="Century Gothic" w:cs="Arial"/>
          <w:lang w:val="pt-PT"/>
        </w:rPr>
      </w:pPr>
    </w:p>
    <w:p w14:paraId="35E26C12" w14:textId="77777777" w:rsidR="00E94374" w:rsidRPr="00772FFB" w:rsidRDefault="00E94374" w:rsidP="00C359DF">
      <w:pPr>
        <w:spacing w:after="46" w:line="276" w:lineRule="auto"/>
        <w:ind w:left="-5" w:firstLine="714"/>
        <w:jc w:val="both"/>
        <w:rPr>
          <w:rFonts w:ascii="Century Gothic" w:hAnsi="Century Gothic" w:cs="Arial"/>
        </w:rPr>
      </w:pPr>
      <w:r w:rsidRPr="00772FFB">
        <w:rPr>
          <w:rFonts w:ascii="Century Gothic" w:hAnsi="Century Gothic" w:cs="Arial"/>
        </w:rPr>
        <w:t xml:space="preserve">A la Comisión de Desarrollo Económico y Social de la Sexagésima Quinta Legislatura del Congreso del Estado de Guanajuato, le fue turnada </w:t>
      </w:r>
      <w:bookmarkStart w:id="0" w:name="_Hlk63767858"/>
      <w:r w:rsidRPr="00772FFB">
        <w:rPr>
          <w:rFonts w:ascii="Century Gothic" w:hAnsi="Century Gothic" w:cs="Arial"/>
        </w:rPr>
        <w:t>la propuesta de punto de acuerdo formulada por</w:t>
      </w:r>
      <w:r>
        <w:rPr>
          <w:rFonts w:ascii="Century Gothic" w:hAnsi="Century Gothic" w:cs="Arial"/>
        </w:rPr>
        <w:t xml:space="preserve"> el diputado Ernesto Alejandro Prieto Gallardo, integrante del Grupo Parlamentario del Partido MORENA</w:t>
      </w:r>
      <w:r w:rsidRPr="009F0DDB">
        <w:rPr>
          <w:rFonts w:ascii="Century Gothic" w:hAnsi="Century Gothic" w:cs="Arial"/>
        </w:rPr>
        <w:t>, para exhortar</w:t>
      </w:r>
      <w:r>
        <w:rPr>
          <w:rFonts w:ascii="Century Gothic" w:hAnsi="Century Gothic" w:cs="Arial"/>
        </w:rPr>
        <w:t xml:space="preserve"> </w:t>
      </w:r>
      <w:r w:rsidRPr="00C07E99">
        <w:rPr>
          <w:rFonts w:ascii="Century Gothic" w:hAnsi="Century Gothic" w:cs="Arial"/>
        </w:rPr>
        <w:t>al Titular del Poder Ejecutivo del Estado de Guanajuato, para que en atención a sus facultades y atribuciones, comprendidas respectivamente en la Ley para el Desarrollo y Competitividad Económica del Estado de Guanajuato y sus Municipios y la Ley de Desarrollo Social y Humano para el Estado y los Municipios de Guanajuato, se realice un estudio emergente sobre la situación de crecimiento de la pobreza en el municipio de León, Guanajuato, y se presenten propuestas para revertirla. Así mismo exhorta</w:t>
      </w:r>
      <w:r>
        <w:rPr>
          <w:rFonts w:ascii="Century Gothic" w:hAnsi="Century Gothic" w:cs="Arial"/>
        </w:rPr>
        <w:t>r</w:t>
      </w:r>
      <w:r w:rsidRPr="00C07E99">
        <w:rPr>
          <w:rFonts w:ascii="Century Gothic" w:hAnsi="Century Gothic" w:cs="Arial"/>
        </w:rPr>
        <w:t xml:space="preserve"> para que a través de la Subsecretaría de Trabajo y Previsión Social se establezca un programa extraordinario de revisión de cumplimiento de las condiciones laborales, en el municipio de León</w:t>
      </w:r>
      <w:r w:rsidRPr="00772FFB">
        <w:rPr>
          <w:rFonts w:ascii="Century Gothic" w:hAnsi="Century Gothic" w:cs="Arial"/>
        </w:rPr>
        <w:t>.</w:t>
      </w:r>
    </w:p>
    <w:p w14:paraId="4A58BBDD" w14:textId="77777777" w:rsidR="00E94374" w:rsidRPr="00772FFB" w:rsidRDefault="00E94374" w:rsidP="00C359DF">
      <w:pPr>
        <w:spacing w:line="276" w:lineRule="auto"/>
        <w:ind w:firstLine="714"/>
        <w:jc w:val="both"/>
        <w:rPr>
          <w:rFonts w:ascii="Century Gothic" w:hAnsi="Century Gothic" w:cs="Arial"/>
        </w:rPr>
      </w:pPr>
    </w:p>
    <w:bookmarkEnd w:id="0"/>
    <w:p w14:paraId="492BF882" w14:textId="77777777" w:rsidR="00E94374" w:rsidRPr="00772FFB" w:rsidRDefault="00E94374" w:rsidP="00C359DF">
      <w:pPr>
        <w:spacing w:line="276" w:lineRule="auto"/>
        <w:ind w:firstLine="714"/>
        <w:jc w:val="both"/>
        <w:rPr>
          <w:rFonts w:ascii="Century Gothic" w:hAnsi="Century Gothic" w:cs="Arial"/>
        </w:rPr>
      </w:pPr>
      <w:r w:rsidRPr="00772FFB">
        <w:rPr>
          <w:rFonts w:ascii="Century Gothic" w:hAnsi="Century Gothic" w:cs="Arial"/>
        </w:rPr>
        <w:t xml:space="preserve">De conformidad con los artículos 89, fracción V; 107, fracción </w:t>
      </w:r>
      <w:r>
        <w:rPr>
          <w:rFonts w:ascii="Century Gothic" w:hAnsi="Century Gothic" w:cs="Arial"/>
        </w:rPr>
        <w:t>I</w:t>
      </w:r>
      <w:r w:rsidRPr="00772FFB">
        <w:rPr>
          <w:rFonts w:ascii="Century Gothic" w:hAnsi="Century Gothic" w:cs="Arial"/>
        </w:rPr>
        <w:t>V y 171 de la Ley Orgánica del Poder Legislativo del Estado de Guanajuato, sometemos a la consideración de la Asamblea el presente dictamen, con base en las siguientes:</w:t>
      </w:r>
    </w:p>
    <w:p w14:paraId="36E96A4B" w14:textId="77777777" w:rsidR="00E94374" w:rsidRDefault="00E94374" w:rsidP="00E94374">
      <w:pPr>
        <w:pStyle w:val="Sinespaciado"/>
        <w:spacing w:line="276" w:lineRule="auto"/>
        <w:jc w:val="both"/>
        <w:rPr>
          <w:rFonts w:ascii="Century Gothic" w:hAnsi="Century Gothic" w:cs="Arial"/>
          <w:szCs w:val="24"/>
        </w:rPr>
      </w:pPr>
    </w:p>
    <w:p w14:paraId="784FD4CD" w14:textId="77777777" w:rsidR="00060E74" w:rsidRPr="00772FFB" w:rsidRDefault="00060E74" w:rsidP="00E94374">
      <w:pPr>
        <w:pStyle w:val="Sinespaciado"/>
        <w:spacing w:line="276" w:lineRule="auto"/>
        <w:jc w:val="both"/>
        <w:rPr>
          <w:rFonts w:ascii="Century Gothic" w:hAnsi="Century Gothic" w:cs="Arial"/>
          <w:szCs w:val="24"/>
        </w:rPr>
      </w:pPr>
    </w:p>
    <w:p w14:paraId="339F9BA2" w14:textId="77777777" w:rsidR="00E94374" w:rsidRPr="00772FFB" w:rsidRDefault="00E94374" w:rsidP="00E94374">
      <w:pPr>
        <w:pStyle w:val="Sinespaciado"/>
        <w:spacing w:line="276" w:lineRule="auto"/>
        <w:jc w:val="center"/>
        <w:rPr>
          <w:rFonts w:ascii="Century Gothic" w:hAnsi="Century Gothic" w:cs="Arial"/>
          <w:b/>
          <w:sz w:val="24"/>
          <w:szCs w:val="24"/>
        </w:rPr>
      </w:pPr>
      <w:r w:rsidRPr="00772FFB">
        <w:rPr>
          <w:rFonts w:ascii="Century Gothic" w:hAnsi="Century Gothic" w:cs="Arial"/>
          <w:b/>
          <w:sz w:val="24"/>
          <w:szCs w:val="24"/>
        </w:rPr>
        <w:t>Consideraciones</w:t>
      </w:r>
    </w:p>
    <w:p w14:paraId="05C4360D" w14:textId="77777777" w:rsidR="00060E74" w:rsidRPr="00772FFB" w:rsidRDefault="00060E74" w:rsidP="00E94374">
      <w:pPr>
        <w:pStyle w:val="Sinespaciado"/>
        <w:spacing w:line="276" w:lineRule="auto"/>
        <w:jc w:val="both"/>
        <w:rPr>
          <w:rFonts w:ascii="Century Gothic" w:hAnsi="Century Gothic" w:cs="Arial"/>
          <w:sz w:val="24"/>
          <w:szCs w:val="24"/>
        </w:rPr>
      </w:pPr>
    </w:p>
    <w:p w14:paraId="7CED0D6D" w14:textId="77777777" w:rsidR="00E94374" w:rsidRPr="00772FFB" w:rsidRDefault="00E94374" w:rsidP="00E94374">
      <w:pPr>
        <w:pStyle w:val="Sinespaciado"/>
        <w:numPr>
          <w:ilvl w:val="0"/>
          <w:numId w:val="8"/>
        </w:numPr>
        <w:spacing w:line="276" w:lineRule="auto"/>
        <w:ind w:left="720"/>
        <w:jc w:val="both"/>
        <w:rPr>
          <w:rFonts w:ascii="Century Gothic" w:hAnsi="Century Gothic" w:cs="Arial"/>
          <w:b/>
          <w:sz w:val="24"/>
          <w:szCs w:val="24"/>
        </w:rPr>
      </w:pPr>
      <w:r w:rsidRPr="00772FFB">
        <w:rPr>
          <w:rFonts w:ascii="Century Gothic" w:hAnsi="Century Gothic" w:cs="Arial"/>
          <w:b/>
          <w:sz w:val="24"/>
          <w:szCs w:val="24"/>
        </w:rPr>
        <w:t>Antecedentes</w:t>
      </w:r>
    </w:p>
    <w:p w14:paraId="2D290FED" w14:textId="77777777" w:rsidR="00E94374" w:rsidRPr="00772FFB" w:rsidRDefault="00E94374" w:rsidP="00E94374">
      <w:pPr>
        <w:pStyle w:val="Sinespaciado"/>
        <w:spacing w:line="276" w:lineRule="auto"/>
        <w:jc w:val="both"/>
        <w:rPr>
          <w:rFonts w:ascii="Century Gothic" w:hAnsi="Century Gothic" w:cs="Arial"/>
          <w:sz w:val="24"/>
          <w:szCs w:val="24"/>
        </w:rPr>
      </w:pPr>
    </w:p>
    <w:p w14:paraId="1B54BE5B" w14:textId="77777777" w:rsidR="00E94374" w:rsidRPr="00060E74" w:rsidRDefault="00E94374" w:rsidP="00C359DF">
      <w:pPr>
        <w:pStyle w:val="Sinespaciado"/>
        <w:spacing w:line="276" w:lineRule="auto"/>
        <w:ind w:firstLine="709"/>
        <w:jc w:val="both"/>
        <w:rPr>
          <w:rFonts w:ascii="Century Gothic" w:hAnsi="Century Gothic" w:cs="Arial"/>
          <w:sz w:val="24"/>
          <w:szCs w:val="24"/>
        </w:rPr>
      </w:pPr>
      <w:r w:rsidRPr="00772FFB">
        <w:rPr>
          <w:rFonts w:ascii="Century Gothic" w:hAnsi="Century Gothic" w:cs="Arial"/>
          <w:sz w:val="24"/>
          <w:szCs w:val="24"/>
        </w:rPr>
        <w:t xml:space="preserve">En sesión ordinaria de </w:t>
      </w:r>
      <w:r>
        <w:rPr>
          <w:rFonts w:ascii="Century Gothic" w:hAnsi="Century Gothic" w:cs="Arial"/>
          <w:sz w:val="24"/>
          <w:szCs w:val="24"/>
        </w:rPr>
        <w:t>08 de diciembre de 2022</w:t>
      </w:r>
      <w:r w:rsidRPr="00772FFB">
        <w:rPr>
          <w:rFonts w:ascii="Century Gothic" w:hAnsi="Century Gothic" w:cs="Arial"/>
          <w:sz w:val="24"/>
          <w:szCs w:val="24"/>
        </w:rPr>
        <w:t xml:space="preserve">, la presidencia de la Mesa Directiva turnó a la Comisión de Desarrollo Económico y Social, para </w:t>
      </w:r>
      <w:r w:rsidRPr="00772FFB">
        <w:rPr>
          <w:rFonts w:ascii="Century Gothic" w:hAnsi="Century Gothic" w:cs="Arial"/>
          <w:sz w:val="24"/>
          <w:szCs w:val="24"/>
        </w:rPr>
        <w:lastRenderedPageBreak/>
        <w:t>efectos de su estudio y dictamen, la propuesta de punto de acuerdo referido en el proemio del presente dictamen</w:t>
      </w:r>
      <w:r>
        <w:rPr>
          <w:rFonts w:ascii="Century Gothic" w:hAnsi="Century Gothic" w:cs="Arial"/>
          <w:sz w:val="24"/>
          <w:szCs w:val="24"/>
        </w:rPr>
        <w:t xml:space="preserve"> con número de Expediente Legislativo Digital 216/LXV-PPA. Lo anterior </w:t>
      </w:r>
      <w:r w:rsidRPr="00772FFB">
        <w:rPr>
          <w:rFonts w:ascii="Century Gothic" w:hAnsi="Century Gothic" w:cs="Arial"/>
          <w:sz w:val="24"/>
          <w:szCs w:val="24"/>
        </w:rPr>
        <w:t xml:space="preserve">con fundamento en el artículo 107 fracción </w:t>
      </w:r>
      <w:r>
        <w:rPr>
          <w:rFonts w:ascii="Century Gothic" w:hAnsi="Century Gothic" w:cs="Arial"/>
          <w:sz w:val="24"/>
          <w:szCs w:val="24"/>
        </w:rPr>
        <w:t>I</w:t>
      </w:r>
      <w:r w:rsidRPr="00772FFB">
        <w:rPr>
          <w:rFonts w:ascii="Century Gothic" w:hAnsi="Century Gothic" w:cs="Arial"/>
          <w:sz w:val="24"/>
          <w:szCs w:val="24"/>
        </w:rPr>
        <w:t xml:space="preserve">V de </w:t>
      </w:r>
      <w:r w:rsidRPr="00060E74">
        <w:rPr>
          <w:rFonts w:ascii="Century Gothic" w:hAnsi="Century Gothic" w:cs="Arial"/>
          <w:sz w:val="24"/>
          <w:szCs w:val="24"/>
        </w:rPr>
        <w:t>la Ley Orgánica del Poder Legislativo del Estado de Guanajuato.</w:t>
      </w:r>
    </w:p>
    <w:p w14:paraId="1D1778EF" w14:textId="77777777" w:rsidR="00E94374" w:rsidRPr="00060E74" w:rsidRDefault="00E94374" w:rsidP="00E94374">
      <w:pPr>
        <w:pStyle w:val="Sinespaciado"/>
        <w:spacing w:line="276" w:lineRule="auto"/>
        <w:ind w:firstLine="851"/>
        <w:jc w:val="both"/>
        <w:rPr>
          <w:rFonts w:ascii="Century Gothic" w:hAnsi="Century Gothic" w:cs="Arial"/>
          <w:szCs w:val="24"/>
        </w:rPr>
      </w:pPr>
    </w:p>
    <w:p w14:paraId="2887346E" w14:textId="6B1AF496" w:rsidR="00E94374" w:rsidRPr="002E7D71" w:rsidRDefault="00E94374" w:rsidP="00C359DF">
      <w:pPr>
        <w:pStyle w:val="Sinespaciado"/>
        <w:spacing w:line="276" w:lineRule="auto"/>
        <w:ind w:firstLine="709"/>
        <w:jc w:val="both"/>
        <w:rPr>
          <w:rFonts w:ascii="Century Gothic" w:hAnsi="Century Gothic" w:cs="Arial"/>
          <w:sz w:val="24"/>
          <w:szCs w:val="24"/>
        </w:rPr>
      </w:pPr>
      <w:r w:rsidRPr="00060E74">
        <w:rPr>
          <w:rFonts w:ascii="Century Gothic" w:hAnsi="Century Gothic" w:cs="Arial"/>
          <w:sz w:val="24"/>
          <w:szCs w:val="24"/>
        </w:rPr>
        <w:t>El 02 de febrero del año 2023, la comisión dictaminadora radicó la propuesta de punto de acuerdo y posteriormente en fecha 01 de junio, se acordó girar atento oficio a la Secretaría de Desarro</w:t>
      </w:r>
      <w:r w:rsidRPr="002E7D71">
        <w:rPr>
          <w:rFonts w:ascii="Century Gothic" w:hAnsi="Century Gothic" w:cs="Arial"/>
          <w:sz w:val="24"/>
          <w:szCs w:val="24"/>
        </w:rPr>
        <w:t xml:space="preserve">llo Humano y Social, así como al Ayuntamiento de León con la finalidad de que proporcionaran información que permitiera a los integrantes de esta comisión allegarse de los elementos necesarios para el debido análisis y estudio del objetivo materia </w:t>
      </w:r>
      <w:r>
        <w:rPr>
          <w:rFonts w:ascii="Century Gothic" w:hAnsi="Century Gothic" w:cs="Arial"/>
          <w:sz w:val="24"/>
          <w:szCs w:val="24"/>
        </w:rPr>
        <w:t>del tema</w:t>
      </w:r>
      <w:r w:rsidRPr="002E7D71">
        <w:rPr>
          <w:rFonts w:ascii="Century Gothic" w:hAnsi="Century Gothic" w:cs="Arial"/>
          <w:sz w:val="24"/>
          <w:szCs w:val="24"/>
        </w:rPr>
        <w:t>.</w:t>
      </w:r>
    </w:p>
    <w:p w14:paraId="65F31E00" w14:textId="77777777" w:rsidR="00E94374" w:rsidRPr="002E7D71" w:rsidRDefault="00E94374" w:rsidP="00C359DF">
      <w:pPr>
        <w:pStyle w:val="Sinespaciado"/>
        <w:spacing w:line="276" w:lineRule="auto"/>
        <w:ind w:firstLine="709"/>
        <w:jc w:val="both"/>
        <w:rPr>
          <w:rFonts w:ascii="Century Gothic" w:hAnsi="Century Gothic" w:cs="Arial"/>
          <w:sz w:val="24"/>
          <w:szCs w:val="24"/>
        </w:rPr>
      </w:pPr>
    </w:p>
    <w:p w14:paraId="3AD2CF20" w14:textId="646A9F5E" w:rsidR="00E94374" w:rsidRPr="002E7D71" w:rsidRDefault="00E94374" w:rsidP="00C359DF">
      <w:pPr>
        <w:spacing w:line="276" w:lineRule="auto"/>
        <w:ind w:firstLine="709"/>
        <w:jc w:val="both"/>
        <w:rPr>
          <w:rFonts w:ascii="Century Gothic" w:hAnsi="Century Gothic" w:cs="Arial"/>
        </w:rPr>
      </w:pPr>
      <w:r w:rsidRPr="002E7D71">
        <w:rPr>
          <w:rFonts w:ascii="Century Gothic" w:hAnsi="Century Gothic" w:cs="Arial"/>
        </w:rPr>
        <w:t xml:space="preserve">Una vez recibida la información, en fecha 15 de febrero del año en curso, se reunieron las diputadas y </w:t>
      </w:r>
      <w:r w:rsidR="00EE6E7F">
        <w:rPr>
          <w:rFonts w:ascii="Century Gothic" w:hAnsi="Century Gothic" w:cs="Arial"/>
        </w:rPr>
        <w:t>los diputados</w:t>
      </w:r>
      <w:r w:rsidRPr="002E7D71">
        <w:rPr>
          <w:rFonts w:ascii="Century Gothic" w:hAnsi="Century Gothic" w:cs="Arial"/>
        </w:rPr>
        <w:t xml:space="preserve"> integrantes de la Comisión de </w:t>
      </w:r>
      <w:r>
        <w:rPr>
          <w:rFonts w:ascii="Century Gothic" w:hAnsi="Century Gothic" w:cs="Arial"/>
        </w:rPr>
        <w:t>Desarrollo Económico y Social</w:t>
      </w:r>
      <w:r w:rsidRPr="002E7D71">
        <w:rPr>
          <w:rFonts w:ascii="Century Gothic" w:hAnsi="Century Gothic" w:cs="Arial"/>
        </w:rPr>
        <w:t>, con la finalidad de analizar el contenido y objetivo de la propuesta de punto de acuerdo</w:t>
      </w:r>
      <w:r>
        <w:rPr>
          <w:rFonts w:ascii="Century Gothic" w:hAnsi="Century Gothic" w:cs="Arial"/>
        </w:rPr>
        <w:t xml:space="preserve">. El 06 de julio de 2023 se recibió oficio SHA/1128/2023 signado por el </w:t>
      </w:r>
      <w:r w:rsidR="00EE6E7F">
        <w:rPr>
          <w:rFonts w:ascii="Century Gothic" w:hAnsi="Century Gothic" w:cs="Arial"/>
        </w:rPr>
        <w:t>s</w:t>
      </w:r>
      <w:r>
        <w:rPr>
          <w:rFonts w:ascii="Century Gothic" w:hAnsi="Century Gothic" w:cs="Arial"/>
        </w:rPr>
        <w:t xml:space="preserve">ecretario del H. Ayuntamiento de León en el que se presentan diversas acciones relacionadas con políticas y programas para abatir la pobreza en el municipio de León. </w:t>
      </w:r>
    </w:p>
    <w:p w14:paraId="4460D265" w14:textId="77777777" w:rsidR="00E94374" w:rsidRDefault="00E94374" w:rsidP="00C359DF">
      <w:pPr>
        <w:pStyle w:val="Sinespaciado"/>
        <w:spacing w:line="276" w:lineRule="auto"/>
        <w:ind w:firstLine="709"/>
        <w:jc w:val="both"/>
        <w:rPr>
          <w:rFonts w:ascii="Arial" w:hAnsi="Arial" w:cs="Arial"/>
          <w:sz w:val="24"/>
          <w:szCs w:val="24"/>
        </w:rPr>
      </w:pPr>
    </w:p>
    <w:p w14:paraId="51744961" w14:textId="09B726D1" w:rsidR="00E94374" w:rsidRPr="00772FFB" w:rsidRDefault="00E94374" w:rsidP="00C359DF">
      <w:pPr>
        <w:pStyle w:val="Sinespaciado"/>
        <w:spacing w:line="276" w:lineRule="auto"/>
        <w:ind w:firstLine="709"/>
        <w:jc w:val="both"/>
        <w:rPr>
          <w:rFonts w:ascii="Century Gothic" w:hAnsi="Century Gothic" w:cs="Arial"/>
          <w:sz w:val="24"/>
          <w:szCs w:val="24"/>
        </w:rPr>
      </w:pPr>
      <w:r>
        <w:rPr>
          <w:rFonts w:ascii="Century Gothic" w:hAnsi="Century Gothic" w:cs="Arial"/>
          <w:sz w:val="24"/>
          <w:szCs w:val="24"/>
        </w:rPr>
        <w:t xml:space="preserve"> </w:t>
      </w:r>
      <w:r w:rsidR="002F5EA3">
        <w:rPr>
          <w:rFonts w:ascii="Century Gothic" w:hAnsi="Century Gothic" w:cs="Arial"/>
          <w:sz w:val="24"/>
          <w:szCs w:val="24"/>
        </w:rPr>
        <w:t xml:space="preserve">Posteriormente </w:t>
      </w:r>
      <w:r>
        <w:rPr>
          <w:rFonts w:ascii="Century Gothic" w:hAnsi="Century Gothic" w:cs="Arial"/>
          <w:sz w:val="24"/>
          <w:szCs w:val="24"/>
        </w:rPr>
        <w:t>y por facultad de la presidencia, con fundamento en los artículos 94 fracción VII y 272 fracción VIII, inciso e) de la Ley Orgánica del Poder Legislativo del Estado de Guanajuato, se instruyó para la elaboración del dictamen.</w:t>
      </w:r>
    </w:p>
    <w:p w14:paraId="752FDC29" w14:textId="77777777" w:rsidR="00E94374" w:rsidRDefault="00E94374" w:rsidP="00E94374">
      <w:pPr>
        <w:pStyle w:val="Sinespaciado"/>
        <w:spacing w:line="276" w:lineRule="auto"/>
        <w:jc w:val="both"/>
        <w:rPr>
          <w:rFonts w:ascii="Century Gothic" w:hAnsi="Century Gothic" w:cs="Arial"/>
          <w:sz w:val="24"/>
          <w:szCs w:val="24"/>
        </w:rPr>
      </w:pPr>
      <w:r w:rsidRPr="00772FFB">
        <w:rPr>
          <w:rFonts w:ascii="Century Gothic" w:hAnsi="Century Gothic" w:cs="Arial"/>
          <w:sz w:val="24"/>
          <w:szCs w:val="24"/>
        </w:rPr>
        <w:t xml:space="preserve"> </w:t>
      </w:r>
    </w:p>
    <w:p w14:paraId="4A7B38BD" w14:textId="77777777" w:rsidR="00060E74" w:rsidRPr="00772FFB" w:rsidRDefault="00060E74" w:rsidP="00E94374">
      <w:pPr>
        <w:pStyle w:val="Sinespaciado"/>
        <w:spacing w:line="276" w:lineRule="auto"/>
        <w:jc w:val="both"/>
        <w:rPr>
          <w:rFonts w:ascii="Century Gothic" w:hAnsi="Century Gothic" w:cs="Arial"/>
          <w:sz w:val="24"/>
          <w:szCs w:val="24"/>
        </w:rPr>
      </w:pPr>
    </w:p>
    <w:p w14:paraId="481E0D80" w14:textId="77777777" w:rsidR="00E94374" w:rsidRPr="00772FFB" w:rsidRDefault="00E94374" w:rsidP="00E94374">
      <w:pPr>
        <w:pStyle w:val="Sinespaciado"/>
        <w:numPr>
          <w:ilvl w:val="0"/>
          <w:numId w:val="8"/>
        </w:numPr>
        <w:spacing w:line="276" w:lineRule="auto"/>
        <w:ind w:left="720"/>
        <w:jc w:val="both"/>
        <w:rPr>
          <w:rFonts w:ascii="Century Gothic" w:hAnsi="Century Gothic" w:cs="Arial"/>
          <w:b/>
          <w:sz w:val="24"/>
          <w:szCs w:val="24"/>
        </w:rPr>
      </w:pPr>
      <w:r w:rsidRPr="00772FFB">
        <w:rPr>
          <w:rFonts w:ascii="Century Gothic" w:hAnsi="Century Gothic" w:cs="Arial"/>
          <w:b/>
          <w:sz w:val="24"/>
          <w:szCs w:val="24"/>
        </w:rPr>
        <w:t>Valoración de la propuesta.</w:t>
      </w:r>
    </w:p>
    <w:p w14:paraId="43F8C409" w14:textId="77777777" w:rsidR="00E94374" w:rsidRPr="00772FFB" w:rsidRDefault="00E94374" w:rsidP="00E94374">
      <w:pPr>
        <w:pStyle w:val="Sinespaciado"/>
        <w:spacing w:line="276" w:lineRule="auto"/>
        <w:ind w:left="720"/>
        <w:jc w:val="both"/>
        <w:rPr>
          <w:rFonts w:ascii="Century Gothic" w:hAnsi="Century Gothic" w:cs="Arial"/>
          <w:b/>
          <w:sz w:val="24"/>
          <w:szCs w:val="24"/>
        </w:rPr>
      </w:pPr>
      <w:r w:rsidRPr="00772FFB">
        <w:rPr>
          <w:rFonts w:ascii="Century Gothic" w:hAnsi="Century Gothic" w:cs="Arial"/>
          <w:b/>
          <w:sz w:val="24"/>
          <w:szCs w:val="24"/>
        </w:rPr>
        <w:t xml:space="preserve"> </w:t>
      </w:r>
    </w:p>
    <w:p w14:paraId="420D363E" w14:textId="19E6BEB2" w:rsidR="00EE6E7F" w:rsidRDefault="00E94374" w:rsidP="00EE6E7F">
      <w:pPr>
        <w:pStyle w:val="Sinespaciado"/>
        <w:spacing w:line="276" w:lineRule="auto"/>
        <w:ind w:firstLine="709"/>
        <w:jc w:val="both"/>
        <w:rPr>
          <w:rFonts w:ascii="Century Gothic" w:hAnsi="Century Gothic" w:cs="Arial"/>
          <w:bCs/>
          <w:sz w:val="24"/>
          <w:szCs w:val="24"/>
        </w:rPr>
      </w:pPr>
      <w:r w:rsidRPr="00772FFB">
        <w:rPr>
          <w:rFonts w:ascii="Century Gothic" w:hAnsi="Century Gothic" w:cs="Arial"/>
          <w:bCs/>
          <w:sz w:val="24"/>
          <w:szCs w:val="24"/>
        </w:rPr>
        <w:t xml:space="preserve">De la exposición de motivos de la propuesta de punto de acuerdo se resalta lo siguiente: </w:t>
      </w:r>
    </w:p>
    <w:p w14:paraId="25232103" w14:textId="46C256F7" w:rsidR="00EE6E7F" w:rsidRDefault="00EE6E7F" w:rsidP="00EE6E7F">
      <w:pPr>
        <w:pStyle w:val="Sinespaciado"/>
        <w:spacing w:line="276" w:lineRule="auto"/>
        <w:ind w:left="567" w:firstLine="567"/>
        <w:jc w:val="both"/>
        <w:rPr>
          <w:rFonts w:ascii="Century Gothic" w:hAnsi="Century Gothic" w:cs="Arial"/>
          <w:bCs/>
        </w:rPr>
      </w:pPr>
      <w:r w:rsidRPr="00EE6E7F">
        <w:rPr>
          <w:rFonts w:ascii="Century Gothic" w:hAnsi="Century Gothic" w:cs="Arial"/>
          <w:i/>
          <w:iCs/>
          <w:sz w:val="20"/>
          <w:szCs w:val="20"/>
        </w:rPr>
        <w:t>“</w:t>
      </w:r>
      <w:r w:rsidR="00E94374" w:rsidRPr="00EE6E7F">
        <w:rPr>
          <w:rFonts w:ascii="Century Gothic" w:hAnsi="Century Gothic" w:cs="Arial"/>
          <w:i/>
          <w:iCs/>
          <w:sz w:val="20"/>
          <w:szCs w:val="20"/>
        </w:rPr>
        <w:t>…</w:t>
      </w:r>
    </w:p>
    <w:p w14:paraId="1712CB57" w14:textId="77777777" w:rsidR="00EE6E7F" w:rsidRPr="00EE6E7F" w:rsidRDefault="00EE6E7F" w:rsidP="00EE6E7F">
      <w:pPr>
        <w:pStyle w:val="Sinespaciado"/>
        <w:spacing w:line="276" w:lineRule="auto"/>
        <w:ind w:left="567" w:firstLine="709"/>
        <w:jc w:val="both"/>
        <w:rPr>
          <w:rFonts w:ascii="Century Gothic" w:hAnsi="Century Gothic" w:cs="Arial"/>
          <w:bCs/>
        </w:rPr>
      </w:pPr>
    </w:p>
    <w:p w14:paraId="21327103" w14:textId="43C37CBB" w:rsidR="00E94374" w:rsidRDefault="00E94374" w:rsidP="00E94374">
      <w:pPr>
        <w:ind w:left="1134" w:right="900"/>
        <w:jc w:val="both"/>
        <w:rPr>
          <w:rFonts w:ascii="Century Gothic" w:eastAsia="Times New Roman" w:hAnsi="Century Gothic" w:cs="Arial"/>
          <w:i/>
          <w:iCs/>
          <w:sz w:val="20"/>
          <w:szCs w:val="20"/>
          <w:lang w:eastAsia="es-MX"/>
        </w:rPr>
      </w:pPr>
      <w:r w:rsidRPr="00356DCB">
        <w:rPr>
          <w:rFonts w:ascii="Century Gothic" w:eastAsia="Times New Roman" w:hAnsi="Century Gothic" w:cs="Arial"/>
          <w:i/>
          <w:iCs/>
          <w:sz w:val="20"/>
          <w:szCs w:val="20"/>
          <w:lang w:eastAsia="es-MX"/>
        </w:rPr>
        <w:lastRenderedPageBreak/>
        <w:t>El pasado 7 de noviembre de este año 2022 se publicó un artículo periodístico titulado “Cómo León se convirtió en la ciudad más pobre de México”.</w:t>
      </w:r>
    </w:p>
    <w:p w14:paraId="27263F2E" w14:textId="77777777" w:rsidR="00E94374" w:rsidRPr="00356DCB" w:rsidRDefault="00E94374" w:rsidP="00E94374">
      <w:pPr>
        <w:ind w:left="1134" w:right="900"/>
        <w:jc w:val="both"/>
        <w:rPr>
          <w:rFonts w:ascii="Century Gothic" w:eastAsia="Times New Roman" w:hAnsi="Century Gothic" w:cs="Arial"/>
          <w:i/>
          <w:iCs/>
          <w:sz w:val="20"/>
          <w:szCs w:val="20"/>
          <w:lang w:eastAsia="es-MX"/>
        </w:rPr>
      </w:pPr>
    </w:p>
    <w:p w14:paraId="01529F4E" w14:textId="77777777" w:rsidR="00E94374" w:rsidRDefault="00E94374" w:rsidP="00E94374">
      <w:pPr>
        <w:ind w:left="1134" w:right="900"/>
        <w:jc w:val="both"/>
        <w:rPr>
          <w:rFonts w:ascii="Century Gothic" w:eastAsia="Times New Roman" w:hAnsi="Century Gothic" w:cs="Arial"/>
          <w:i/>
          <w:iCs/>
          <w:sz w:val="20"/>
          <w:szCs w:val="20"/>
          <w:lang w:eastAsia="es-MX"/>
        </w:rPr>
      </w:pPr>
      <w:r w:rsidRPr="00356DCB">
        <w:rPr>
          <w:rFonts w:ascii="Century Gothic" w:eastAsia="Times New Roman" w:hAnsi="Century Gothic" w:cs="Arial"/>
          <w:i/>
          <w:iCs/>
          <w:sz w:val="20"/>
          <w:szCs w:val="20"/>
          <w:lang w:eastAsia="es-MX"/>
        </w:rPr>
        <w:t>Su autora es la Doctora Viridiana Ríos, quién hizo sus estudios de posgrado en la Universidad de Harvard, y es columnista en los medios de comunicación El País, Milenio y Expansión. En el año 2020 el Foro Económico Mundial la reconoció como parte de los Jóvenes Líderes Mundiales.</w:t>
      </w:r>
    </w:p>
    <w:p w14:paraId="59B633C6" w14:textId="77777777" w:rsidR="00E94374" w:rsidRPr="00356DCB" w:rsidRDefault="00E94374" w:rsidP="00E94374">
      <w:pPr>
        <w:ind w:left="1134" w:right="900"/>
        <w:jc w:val="both"/>
        <w:rPr>
          <w:rFonts w:ascii="Century Gothic" w:eastAsia="Times New Roman" w:hAnsi="Century Gothic" w:cs="Arial"/>
          <w:i/>
          <w:iCs/>
          <w:sz w:val="20"/>
          <w:szCs w:val="20"/>
          <w:lang w:eastAsia="es-MX"/>
        </w:rPr>
      </w:pPr>
    </w:p>
    <w:p w14:paraId="3DED14DD" w14:textId="77777777" w:rsidR="00E94374" w:rsidRDefault="00E94374" w:rsidP="00E94374">
      <w:pPr>
        <w:ind w:left="1134" w:right="900"/>
        <w:jc w:val="both"/>
        <w:rPr>
          <w:rFonts w:ascii="Century Gothic" w:eastAsia="Times New Roman" w:hAnsi="Century Gothic" w:cs="Arial"/>
          <w:i/>
          <w:iCs/>
          <w:sz w:val="20"/>
          <w:szCs w:val="20"/>
          <w:lang w:eastAsia="es-MX"/>
        </w:rPr>
      </w:pPr>
      <w:r w:rsidRPr="00356DCB">
        <w:rPr>
          <w:rFonts w:ascii="Century Gothic" w:eastAsia="Times New Roman" w:hAnsi="Century Gothic" w:cs="Arial"/>
          <w:i/>
          <w:iCs/>
          <w:sz w:val="20"/>
          <w:szCs w:val="20"/>
          <w:lang w:eastAsia="es-MX"/>
        </w:rPr>
        <w:t>Sin duda el tema desarrollado con datos precisos debe resultar de sumo interés, importancia y atención para esta Asamblea, en tanto se trata del municipio más grande del Estado de Guanajuato, en los aspectos poblacional y actividad económica, pero con un grave problema de crecimiento de pobreza en la última década.</w:t>
      </w:r>
    </w:p>
    <w:p w14:paraId="4B4630BC" w14:textId="77777777" w:rsidR="00E94374" w:rsidRPr="00356DCB" w:rsidRDefault="00E94374" w:rsidP="00E94374">
      <w:pPr>
        <w:ind w:left="1134" w:right="900"/>
        <w:jc w:val="both"/>
        <w:rPr>
          <w:rFonts w:ascii="Century Gothic" w:eastAsia="Times New Roman" w:hAnsi="Century Gothic" w:cs="Arial"/>
          <w:i/>
          <w:iCs/>
          <w:sz w:val="20"/>
          <w:szCs w:val="20"/>
          <w:lang w:eastAsia="es-MX"/>
        </w:rPr>
      </w:pPr>
    </w:p>
    <w:p w14:paraId="5EC87CF4" w14:textId="77777777" w:rsidR="00E94374" w:rsidRDefault="00E94374" w:rsidP="00E94374">
      <w:pPr>
        <w:ind w:left="1134" w:right="900"/>
        <w:jc w:val="both"/>
        <w:rPr>
          <w:rFonts w:ascii="Century Gothic" w:eastAsia="Times New Roman" w:hAnsi="Century Gothic" w:cs="Arial"/>
          <w:i/>
          <w:iCs/>
          <w:sz w:val="20"/>
          <w:szCs w:val="20"/>
          <w:lang w:eastAsia="es-MX"/>
        </w:rPr>
      </w:pPr>
      <w:r w:rsidRPr="00356DCB">
        <w:rPr>
          <w:rFonts w:ascii="Century Gothic" w:eastAsia="Times New Roman" w:hAnsi="Century Gothic" w:cs="Arial"/>
          <w:i/>
          <w:iCs/>
          <w:sz w:val="20"/>
          <w:szCs w:val="20"/>
          <w:lang w:eastAsia="es-MX"/>
        </w:rPr>
        <w:t xml:space="preserve">Haber pasado de estar en el 4º lugar con mayor número de personas en situación de pobreza en el año 2010, por debajo de Iztapalapa, Ecatepec y Puebla, a ser el primer lugar en el año 2020, con 816,934 personas, </w:t>
      </w:r>
      <w:proofErr w:type="gramStart"/>
      <w:r w:rsidRPr="00356DCB">
        <w:rPr>
          <w:rFonts w:ascii="Century Gothic" w:eastAsia="Times New Roman" w:hAnsi="Century Gothic" w:cs="Arial"/>
          <w:i/>
          <w:iCs/>
          <w:sz w:val="20"/>
          <w:szCs w:val="20"/>
          <w:lang w:eastAsia="es-MX"/>
        </w:rPr>
        <w:t>de acuerdo a</w:t>
      </w:r>
      <w:proofErr w:type="gramEnd"/>
      <w:r w:rsidRPr="00356DCB">
        <w:rPr>
          <w:rFonts w:ascii="Century Gothic" w:eastAsia="Times New Roman" w:hAnsi="Century Gothic" w:cs="Arial"/>
          <w:i/>
          <w:iCs/>
          <w:sz w:val="20"/>
          <w:szCs w:val="20"/>
          <w:lang w:eastAsia="es-MX"/>
        </w:rPr>
        <w:t xml:space="preserve"> datos citados del Consejo Nacional de Evaluación de la Política de Desarrollo Social (CONEVAL), sin duda alguna es una situación que requiere una intervención integral emergente y urgente.</w:t>
      </w:r>
    </w:p>
    <w:p w14:paraId="4C6E829E" w14:textId="77777777" w:rsidR="00E94374" w:rsidRPr="00356DCB" w:rsidRDefault="00E94374" w:rsidP="00E94374">
      <w:pPr>
        <w:ind w:left="1134" w:right="900"/>
        <w:jc w:val="both"/>
        <w:rPr>
          <w:rFonts w:ascii="Century Gothic" w:eastAsia="Times New Roman" w:hAnsi="Century Gothic" w:cs="Arial"/>
          <w:i/>
          <w:iCs/>
          <w:sz w:val="20"/>
          <w:szCs w:val="20"/>
          <w:lang w:eastAsia="es-MX"/>
        </w:rPr>
      </w:pPr>
    </w:p>
    <w:p w14:paraId="4695C968" w14:textId="77777777" w:rsidR="00E94374" w:rsidRDefault="00E94374" w:rsidP="00E94374">
      <w:pPr>
        <w:ind w:left="1134" w:right="900"/>
        <w:jc w:val="both"/>
        <w:rPr>
          <w:rFonts w:ascii="Century Gothic" w:eastAsia="Times New Roman" w:hAnsi="Century Gothic" w:cs="Arial"/>
          <w:i/>
          <w:iCs/>
          <w:sz w:val="20"/>
          <w:szCs w:val="20"/>
          <w:lang w:eastAsia="es-MX"/>
        </w:rPr>
      </w:pPr>
      <w:r w:rsidRPr="00356DCB">
        <w:rPr>
          <w:rFonts w:ascii="Century Gothic" w:eastAsia="Times New Roman" w:hAnsi="Century Gothic" w:cs="Arial"/>
          <w:i/>
          <w:iCs/>
          <w:sz w:val="20"/>
          <w:szCs w:val="20"/>
          <w:lang w:eastAsia="es-MX"/>
        </w:rPr>
        <w:t>Esta cifra de pobreza llegó a ese máximo que coloca en primer lugar a León, porque entre 2015 y 2020 incrementaron 294 mil personas en situación de pobreza, lo que significó 6.7 pobres cada hora.</w:t>
      </w:r>
    </w:p>
    <w:p w14:paraId="7B5C64BB" w14:textId="77777777" w:rsidR="00E94374" w:rsidRPr="00356DCB" w:rsidRDefault="00E94374" w:rsidP="00E94374">
      <w:pPr>
        <w:ind w:left="1134" w:right="900"/>
        <w:jc w:val="both"/>
        <w:rPr>
          <w:rFonts w:ascii="Century Gothic" w:eastAsia="Times New Roman" w:hAnsi="Century Gothic" w:cs="Arial"/>
          <w:i/>
          <w:iCs/>
          <w:sz w:val="20"/>
          <w:szCs w:val="20"/>
          <w:lang w:eastAsia="es-MX"/>
        </w:rPr>
      </w:pPr>
    </w:p>
    <w:p w14:paraId="229164DA" w14:textId="77777777" w:rsidR="00E94374" w:rsidRDefault="00E94374" w:rsidP="00E94374">
      <w:pPr>
        <w:ind w:left="1134" w:right="900"/>
        <w:jc w:val="both"/>
        <w:rPr>
          <w:rFonts w:ascii="Century Gothic" w:eastAsia="Times New Roman" w:hAnsi="Century Gothic" w:cs="Arial"/>
          <w:i/>
          <w:iCs/>
          <w:sz w:val="20"/>
          <w:szCs w:val="20"/>
          <w:lang w:eastAsia="es-MX"/>
        </w:rPr>
      </w:pPr>
      <w:r w:rsidRPr="00356DCB">
        <w:rPr>
          <w:rFonts w:ascii="Century Gothic" w:eastAsia="Times New Roman" w:hAnsi="Century Gothic" w:cs="Arial"/>
          <w:i/>
          <w:iCs/>
          <w:sz w:val="20"/>
          <w:szCs w:val="20"/>
          <w:lang w:eastAsia="es-MX"/>
        </w:rPr>
        <w:t>La explicación que se ofrece para esta situación se basa en el análisis de la caída que sufrieron los salarios en este municipio, se cita que hubo una pérdida del 23%, pese a que los trabajadores duplicaron su productividad.</w:t>
      </w:r>
    </w:p>
    <w:p w14:paraId="3ED6D00B" w14:textId="77777777" w:rsidR="00E94374" w:rsidRPr="00356DCB" w:rsidRDefault="00E94374" w:rsidP="00E94374">
      <w:pPr>
        <w:ind w:left="1134" w:right="900"/>
        <w:jc w:val="both"/>
        <w:rPr>
          <w:rFonts w:ascii="Century Gothic" w:eastAsia="Times New Roman" w:hAnsi="Century Gothic" w:cs="Arial"/>
          <w:i/>
          <w:iCs/>
          <w:sz w:val="20"/>
          <w:szCs w:val="20"/>
          <w:lang w:eastAsia="es-MX"/>
        </w:rPr>
      </w:pPr>
    </w:p>
    <w:p w14:paraId="51F80F76" w14:textId="77777777" w:rsidR="00E94374" w:rsidRDefault="00E94374" w:rsidP="00E94374">
      <w:pPr>
        <w:ind w:left="1134" w:right="900"/>
        <w:jc w:val="both"/>
        <w:rPr>
          <w:rFonts w:ascii="Century Gothic" w:eastAsia="Times New Roman" w:hAnsi="Century Gothic" w:cs="Arial"/>
          <w:i/>
          <w:iCs/>
          <w:sz w:val="20"/>
          <w:szCs w:val="20"/>
          <w:lang w:eastAsia="es-MX"/>
        </w:rPr>
      </w:pPr>
      <w:r w:rsidRPr="00356DCB">
        <w:rPr>
          <w:rFonts w:ascii="Century Gothic" w:eastAsia="Times New Roman" w:hAnsi="Century Gothic" w:cs="Arial"/>
          <w:i/>
          <w:iCs/>
          <w:sz w:val="20"/>
          <w:szCs w:val="20"/>
          <w:lang w:eastAsia="es-MX"/>
        </w:rPr>
        <w:t>Como evidente paradoja en el municipio de León, a mayor productividad menor paga, lo que se conoce como pobreza laboral. No basta que existan empleos, es necesario sean retribuidos en forma justa y equitativa a la riqueza que contribuyen a generar.</w:t>
      </w:r>
    </w:p>
    <w:p w14:paraId="3475F710" w14:textId="77777777" w:rsidR="00E94374" w:rsidRPr="00356DCB" w:rsidRDefault="00E94374" w:rsidP="00E94374">
      <w:pPr>
        <w:ind w:left="1134" w:right="900"/>
        <w:jc w:val="both"/>
        <w:rPr>
          <w:rFonts w:ascii="Century Gothic" w:eastAsia="Times New Roman" w:hAnsi="Century Gothic" w:cs="Arial"/>
          <w:i/>
          <w:iCs/>
          <w:sz w:val="20"/>
          <w:szCs w:val="20"/>
          <w:lang w:eastAsia="es-MX"/>
        </w:rPr>
      </w:pPr>
    </w:p>
    <w:p w14:paraId="2C93E872" w14:textId="77777777" w:rsidR="00E94374" w:rsidRDefault="00E94374" w:rsidP="00E94374">
      <w:pPr>
        <w:ind w:left="1134" w:right="900"/>
        <w:jc w:val="both"/>
        <w:rPr>
          <w:rFonts w:ascii="Century Gothic" w:eastAsia="Times New Roman" w:hAnsi="Century Gothic" w:cs="Arial"/>
          <w:i/>
          <w:iCs/>
          <w:sz w:val="20"/>
          <w:szCs w:val="20"/>
          <w:lang w:eastAsia="es-MX"/>
        </w:rPr>
      </w:pPr>
      <w:r w:rsidRPr="00356DCB">
        <w:rPr>
          <w:rFonts w:ascii="Century Gothic" w:eastAsia="Times New Roman" w:hAnsi="Century Gothic" w:cs="Arial"/>
          <w:i/>
          <w:iCs/>
          <w:sz w:val="20"/>
          <w:szCs w:val="20"/>
          <w:lang w:eastAsia="es-MX"/>
        </w:rPr>
        <w:t xml:space="preserve">Se señala en el artículo como la cuestión está en el empleo formal, mediante un comparativo se cita que las empresas en Ciudad Juárez, Chihuahua, pagan 59% más que en León, </w:t>
      </w:r>
      <w:proofErr w:type="gramStart"/>
      <w:r w:rsidRPr="00356DCB">
        <w:rPr>
          <w:rFonts w:ascii="Century Gothic" w:eastAsia="Times New Roman" w:hAnsi="Century Gothic" w:cs="Arial"/>
          <w:i/>
          <w:iCs/>
          <w:sz w:val="20"/>
          <w:szCs w:val="20"/>
          <w:lang w:eastAsia="es-MX"/>
        </w:rPr>
        <w:t>de acuerdo a</w:t>
      </w:r>
      <w:proofErr w:type="gramEnd"/>
      <w:r w:rsidRPr="00356DCB">
        <w:rPr>
          <w:rFonts w:ascii="Century Gothic" w:eastAsia="Times New Roman" w:hAnsi="Century Gothic" w:cs="Arial"/>
          <w:i/>
          <w:iCs/>
          <w:sz w:val="20"/>
          <w:szCs w:val="20"/>
          <w:lang w:eastAsia="es-MX"/>
        </w:rPr>
        <w:t xml:space="preserve"> información consultada en la Encuesta Nacional de Ocupación y Empleo (2010 a 2022), pese a que los trabajadores de León generan un 4% más de valor agregado que los de aquella entidad, y que las ventas internacionales se han duplicado en el municipio guanajuatense, entre 2010 y 2021.</w:t>
      </w:r>
    </w:p>
    <w:p w14:paraId="414929C4" w14:textId="77777777" w:rsidR="00E94374" w:rsidRPr="00356DCB" w:rsidRDefault="00E94374" w:rsidP="00E94374">
      <w:pPr>
        <w:ind w:left="1134" w:right="900"/>
        <w:jc w:val="both"/>
        <w:rPr>
          <w:rFonts w:ascii="Century Gothic" w:eastAsia="Times New Roman" w:hAnsi="Century Gothic" w:cs="Arial"/>
          <w:i/>
          <w:iCs/>
          <w:sz w:val="20"/>
          <w:szCs w:val="20"/>
          <w:lang w:eastAsia="es-MX"/>
        </w:rPr>
      </w:pPr>
    </w:p>
    <w:p w14:paraId="2ED42191" w14:textId="77777777" w:rsidR="00E94374" w:rsidRPr="00356DCB" w:rsidRDefault="00E94374" w:rsidP="00E94374">
      <w:pPr>
        <w:ind w:left="1134" w:right="900"/>
        <w:jc w:val="both"/>
        <w:rPr>
          <w:rFonts w:ascii="Century Gothic" w:eastAsia="Times New Roman" w:hAnsi="Century Gothic" w:cs="Arial"/>
          <w:i/>
          <w:iCs/>
          <w:sz w:val="20"/>
          <w:szCs w:val="20"/>
          <w:lang w:eastAsia="es-MX"/>
        </w:rPr>
      </w:pPr>
      <w:r w:rsidRPr="00356DCB">
        <w:rPr>
          <w:rFonts w:ascii="Century Gothic" w:eastAsia="Times New Roman" w:hAnsi="Century Gothic" w:cs="Arial"/>
          <w:i/>
          <w:iCs/>
          <w:sz w:val="20"/>
          <w:szCs w:val="20"/>
          <w:lang w:eastAsia="es-MX"/>
        </w:rPr>
        <w:t xml:space="preserve">Hay una referencia a una campaña llamada “salario digno”, que se está impulsando principalmente desde el sector empresarial, como reconocimiento al problema que se vive, que también ha provocado </w:t>
      </w:r>
      <w:proofErr w:type="gramStart"/>
      <w:r w:rsidRPr="00356DCB">
        <w:rPr>
          <w:rFonts w:ascii="Century Gothic" w:eastAsia="Times New Roman" w:hAnsi="Century Gothic" w:cs="Arial"/>
          <w:i/>
          <w:iCs/>
          <w:sz w:val="20"/>
          <w:szCs w:val="20"/>
          <w:lang w:eastAsia="es-MX"/>
        </w:rPr>
        <w:t>que</w:t>
      </w:r>
      <w:proofErr w:type="gramEnd"/>
      <w:r w:rsidRPr="00356DCB">
        <w:rPr>
          <w:rFonts w:ascii="Century Gothic" w:eastAsia="Times New Roman" w:hAnsi="Century Gothic" w:cs="Arial"/>
          <w:i/>
          <w:iCs/>
          <w:sz w:val="20"/>
          <w:szCs w:val="20"/>
          <w:lang w:eastAsia="es-MX"/>
        </w:rPr>
        <w:t xml:space="preserve"> por el nivel de los sueldos, las personas prefieran emplearse en la actividades informales o auto emplearse, que integrarse a jornadas laborales extensas y con salarios bajos.</w:t>
      </w:r>
    </w:p>
    <w:p w14:paraId="1B187798" w14:textId="77777777" w:rsidR="00E94374" w:rsidRPr="00356DCB" w:rsidRDefault="00E94374" w:rsidP="00E94374">
      <w:pPr>
        <w:ind w:left="1134" w:right="900"/>
        <w:jc w:val="both"/>
        <w:rPr>
          <w:rFonts w:ascii="Century Gothic" w:eastAsia="Times New Roman" w:hAnsi="Century Gothic" w:cs="Arial"/>
          <w:i/>
          <w:iCs/>
          <w:sz w:val="20"/>
          <w:szCs w:val="20"/>
          <w:lang w:eastAsia="es-MX"/>
        </w:rPr>
      </w:pPr>
      <w:r w:rsidRPr="00356DCB">
        <w:rPr>
          <w:rFonts w:ascii="Century Gothic" w:eastAsia="Times New Roman" w:hAnsi="Century Gothic" w:cs="Arial"/>
          <w:i/>
          <w:iCs/>
          <w:sz w:val="20"/>
          <w:szCs w:val="20"/>
          <w:lang w:eastAsia="es-MX"/>
        </w:rPr>
        <w:t>Esta situación requiere atención y participación desde este Pleno del Congreso del Estado de Guanajuato</w:t>
      </w:r>
      <w:r w:rsidRPr="00E23BF3">
        <w:rPr>
          <w:rFonts w:ascii="Century Gothic" w:eastAsia="Times New Roman" w:hAnsi="Century Gothic" w:cs="Arial"/>
          <w:i/>
          <w:iCs/>
          <w:sz w:val="20"/>
          <w:szCs w:val="20"/>
          <w:lang w:eastAsia="es-MX"/>
        </w:rPr>
        <w:t>.</w:t>
      </w:r>
    </w:p>
    <w:p w14:paraId="14B0B360" w14:textId="77777777" w:rsidR="00E94374" w:rsidRDefault="00E94374" w:rsidP="00E94374">
      <w:pPr>
        <w:ind w:left="1134" w:right="474"/>
        <w:jc w:val="both"/>
        <w:rPr>
          <w:rFonts w:ascii="Century Gothic" w:eastAsia="Times New Roman" w:hAnsi="Century Gothic" w:cs="Arial"/>
          <w:i/>
          <w:iCs/>
          <w:sz w:val="20"/>
          <w:szCs w:val="20"/>
          <w:lang w:eastAsia="es-MX"/>
        </w:rPr>
      </w:pPr>
    </w:p>
    <w:p w14:paraId="59DE2358" w14:textId="77777777" w:rsidR="00E94374" w:rsidRPr="00772FFB" w:rsidRDefault="00E94374" w:rsidP="00E94374">
      <w:pPr>
        <w:ind w:left="1134" w:right="474"/>
        <w:jc w:val="both"/>
        <w:rPr>
          <w:rFonts w:ascii="Century Gothic" w:eastAsia="Times New Roman" w:hAnsi="Century Gothic" w:cs="Arial"/>
          <w:i/>
          <w:iCs/>
          <w:sz w:val="20"/>
          <w:szCs w:val="20"/>
          <w:lang w:eastAsia="es-MX"/>
        </w:rPr>
      </w:pPr>
      <w:r w:rsidRPr="00772FFB">
        <w:rPr>
          <w:rFonts w:ascii="Century Gothic" w:eastAsia="Times New Roman" w:hAnsi="Century Gothic" w:cs="Arial"/>
          <w:i/>
          <w:iCs/>
          <w:sz w:val="20"/>
          <w:szCs w:val="20"/>
          <w:lang w:eastAsia="es-MX"/>
        </w:rPr>
        <w:t>...”</w:t>
      </w:r>
    </w:p>
    <w:p w14:paraId="19C56B4D" w14:textId="77777777" w:rsidR="000A23B0" w:rsidRPr="00CE58B8" w:rsidRDefault="000A23B0" w:rsidP="001C0CD9">
      <w:pPr>
        <w:spacing w:line="276" w:lineRule="auto"/>
        <w:jc w:val="both"/>
        <w:rPr>
          <w:rFonts w:ascii="Century Gothic" w:hAnsi="Century Gothic" w:cs="Arial"/>
        </w:rPr>
      </w:pPr>
    </w:p>
    <w:p w14:paraId="6E32CA5C" w14:textId="57DAD02D" w:rsidR="00102FBD" w:rsidRPr="00CE58B8" w:rsidRDefault="00102FBD" w:rsidP="00914291">
      <w:pPr>
        <w:pStyle w:val="Sinespaciado"/>
        <w:numPr>
          <w:ilvl w:val="0"/>
          <w:numId w:val="8"/>
        </w:numPr>
        <w:spacing w:line="276" w:lineRule="auto"/>
        <w:ind w:left="426" w:firstLine="425"/>
        <w:jc w:val="both"/>
        <w:rPr>
          <w:rFonts w:ascii="Century Gothic" w:hAnsi="Century Gothic" w:cs="Arial"/>
          <w:b/>
          <w:sz w:val="24"/>
          <w:szCs w:val="24"/>
        </w:rPr>
      </w:pPr>
      <w:r w:rsidRPr="00CE58B8">
        <w:rPr>
          <w:rFonts w:ascii="Century Gothic" w:hAnsi="Century Gothic" w:cs="Arial"/>
          <w:b/>
          <w:sz w:val="24"/>
          <w:szCs w:val="24"/>
        </w:rPr>
        <w:t xml:space="preserve">Análisis de la propuesta </w:t>
      </w:r>
    </w:p>
    <w:p w14:paraId="2D8A0F87" w14:textId="77777777" w:rsidR="00102FBD" w:rsidRDefault="00102FBD" w:rsidP="00914291">
      <w:pPr>
        <w:pStyle w:val="Sinespaciado"/>
        <w:spacing w:line="276" w:lineRule="auto"/>
        <w:ind w:left="426" w:firstLine="425"/>
        <w:jc w:val="both"/>
        <w:rPr>
          <w:rFonts w:ascii="Century Gothic" w:hAnsi="Century Gothic" w:cs="Arial"/>
          <w:b/>
          <w:sz w:val="24"/>
          <w:szCs w:val="24"/>
        </w:rPr>
      </w:pPr>
    </w:p>
    <w:p w14:paraId="44184E6B" w14:textId="77777777" w:rsidR="00914291" w:rsidRDefault="00914291" w:rsidP="00C359DF">
      <w:pPr>
        <w:pStyle w:val="Sinespaciado"/>
        <w:spacing w:line="276" w:lineRule="auto"/>
        <w:ind w:firstLine="709"/>
        <w:jc w:val="both"/>
        <w:rPr>
          <w:rFonts w:ascii="Century Gothic" w:eastAsiaTheme="minorHAnsi" w:hAnsi="Century Gothic" w:cstheme="minorBidi"/>
          <w:sz w:val="24"/>
          <w:szCs w:val="24"/>
          <w:lang w:eastAsia="en-US"/>
        </w:rPr>
      </w:pPr>
      <w:r>
        <w:rPr>
          <w:rFonts w:ascii="Century Gothic" w:eastAsiaTheme="minorHAnsi" w:hAnsi="Century Gothic" w:cstheme="minorBidi"/>
          <w:sz w:val="24"/>
          <w:szCs w:val="24"/>
          <w:lang w:eastAsia="en-US"/>
        </w:rPr>
        <w:t xml:space="preserve">Quienes integramos la </w:t>
      </w:r>
      <w:r w:rsidR="002146AE">
        <w:rPr>
          <w:rFonts w:ascii="Century Gothic" w:eastAsiaTheme="minorHAnsi" w:hAnsi="Century Gothic" w:cstheme="minorBidi"/>
          <w:sz w:val="24"/>
          <w:szCs w:val="24"/>
          <w:lang w:eastAsia="en-US"/>
        </w:rPr>
        <w:t>Comisión</w:t>
      </w:r>
      <w:r>
        <w:rPr>
          <w:rFonts w:ascii="Century Gothic" w:eastAsiaTheme="minorHAnsi" w:hAnsi="Century Gothic" w:cstheme="minorBidi"/>
          <w:sz w:val="24"/>
          <w:szCs w:val="24"/>
          <w:lang w:eastAsia="en-US"/>
        </w:rPr>
        <w:t xml:space="preserve"> de Desarrollo Económico y Social</w:t>
      </w:r>
      <w:r w:rsidR="002146AE">
        <w:rPr>
          <w:rFonts w:ascii="Century Gothic" w:eastAsiaTheme="minorHAnsi" w:hAnsi="Century Gothic" w:cstheme="minorBidi"/>
          <w:sz w:val="24"/>
          <w:szCs w:val="24"/>
          <w:lang w:eastAsia="en-US"/>
        </w:rPr>
        <w:t xml:space="preserve"> </w:t>
      </w:r>
      <w:r w:rsidR="008B2AF0">
        <w:rPr>
          <w:rFonts w:ascii="Century Gothic" w:eastAsiaTheme="minorHAnsi" w:hAnsi="Century Gothic" w:cstheme="minorBidi"/>
          <w:sz w:val="24"/>
          <w:szCs w:val="24"/>
          <w:lang w:eastAsia="en-US"/>
        </w:rPr>
        <w:t xml:space="preserve">realizamos las siguientes consideraciones </w:t>
      </w:r>
      <w:r w:rsidR="00DA661A">
        <w:rPr>
          <w:rFonts w:ascii="Century Gothic" w:eastAsiaTheme="minorHAnsi" w:hAnsi="Century Gothic" w:cstheme="minorBidi"/>
          <w:sz w:val="24"/>
          <w:szCs w:val="24"/>
          <w:lang w:eastAsia="en-US"/>
        </w:rPr>
        <w:t>para el análisis de</w:t>
      </w:r>
      <w:r>
        <w:rPr>
          <w:rFonts w:ascii="Century Gothic" w:eastAsiaTheme="minorHAnsi" w:hAnsi="Century Gothic" w:cstheme="minorBidi"/>
          <w:sz w:val="24"/>
          <w:szCs w:val="24"/>
          <w:lang w:eastAsia="en-US"/>
        </w:rPr>
        <w:t xml:space="preserve"> </w:t>
      </w:r>
      <w:r w:rsidR="00DA661A">
        <w:rPr>
          <w:rFonts w:ascii="Century Gothic" w:eastAsiaTheme="minorHAnsi" w:hAnsi="Century Gothic" w:cstheme="minorBidi"/>
          <w:sz w:val="24"/>
          <w:szCs w:val="24"/>
          <w:lang w:eastAsia="en-US"/>
        </w:rPr>
        <w:t>l</w:t>
      </w:r>
      <w:r>
        <w:rPr>
          <w:rFonts w:ascii="Century Gothic" w:eastAsiaTheme="minorHAnsi" w:hAnsi="Century Gothic" w:cstheme="minorBidi"/>
          <w:sz w:val="24"/>
          <w:szCs w:val="24"/>
          <w:lang w:eastAsia="en-US"/>
        </w:rPr>
        <w:t>a propuesta de punto de acuerdo</w:t>
      </w:r>
      <w:r w:rsidR="00DA661A">
        <w:rPr>
          <w:rFonts w:ascii="Century Gothic" w:eastAsiaTheme="minorHAnsi" w:hAnsi="Century Gothic" w:cstheme="minorBidi"/>
          <w:sz w:val="24"/>
          <w:szCs w:val="24"/>
          <w:lang w:eastAsia="en-US"/>
        </w:rPr>
        <w:t>:</w:t>
      </w:r>
    </w:p>
    <w:p w14:paraId="5B6152D2" w14:textId="77777777" w:rsidR="00914291" w:rsidRDefault="00914291" w:rsidP="00C359DF">
      <w:pPr>
        <w:pStyle w:val="Sinespaciado"/>
        <w:spacing w:line="276" w:lineRule="auto"/>
        <w:ind w:firstLine="709"/>
        <w:jc w:val="both"/>
        <w:rPr>
          <w:rFonts w:ascii="Century Gothic" w:eastAsiaTheme="minorHAnsi" w:hAnsi="Century Gothic" w:cstheme="minorBidi"/>
          <w:sz w:val="24"/>
          <w:szCs w:val="24"/>
          <w:lang w:eastAsia="en-US"/>
        </w:rPr>
      </w:pPr>
    </w:p>
    <w:p w14:paraId="69B3463E" w14:textId="7385497E" w:rsidR="0068530C" w:rsidRPr="00914291" w:rsidRDefault="0068530C" w:rsidP="00C359DF">
      <w:pPr>
        <w:pStyle w:val="Sinespaciado"/>
        <w:spacing w:line="276" w:lineRule="auto"/>
        <w:ind w:firstLine="709"/>
        <w:jc w:val="both"/>
        <w:rPr>
          <w:rFonts w:ascii="Century Gothic" w:eastAsiaTheme="minorHAnsi" w:hAnsi="Century Gothic" w:cstheme="minorBidi"/>
          <w:sz w:val="24"/>
          <w:szCs w:val="24"/>
          <w:lang w:eastAsia="en-US"/>
        </w:rPr>
      </w:pPr>
      <w:r w:rsidRPr="00914291">
        <w:rPr>
          <w:rFonts w:ascii="Century Gothic" w:hAnsi="Century Gothic"/>
          <w:sz w:val="24"/>
          <w:szCs w:val="24"/>
        </w:rPr>
        <w:t xml:space="preserve">Los registros de pobreza en el país en el año 2020 estuvieron marcados por los efectos de la crisis sanitaria. </w:t>
      </w:r>
    </w:p>
    <w:p w14:paraId="5A1409D6" w14:textId="77777777" w:rsidR="0068530C" w:rsidRDefault="0068530C" w:rsidP="00C359DF">
      <w:pPr>
        <w:spacing w:line="276" w:lineRule="auto"/>
        <w:ind w:firstLine="709"/>
        <w:jc w:val="both"/>
        <w:rPr>
          <w:rFonts w:ascii="Century Gothic" w:hAnsi="Century Gothic"/>
        </w:rPr>
      </w:pPr>
    </w:p>
    <w:p w14:paraId="1D9AA1E0" w14:textId="5B1BF1B1" w:rsidR="0068530C" w:rsidRPr="000B6C89" w:rsidRDefault="0068530C" w:rsidP="00C359DF">
      <w:pPr>
        <w:spacing w:line="276" w:lineRule="auto"/>
        <w:ind w:firstLine="709"/>
        <w:jc w:val="both"/>
        <w:rPr>
          <w:rFonts w:ascii="Century Gothic" w:hAnsi="Century Gothic"/>
        </w:rPr>
      </w:pPr>
      <w:r w:rsidRPr="000B6C89">
        <w:rPr>
          <w:rFonts w:ascii="Century Gothic" w:hAnsi="Century Gothic"/>
        </w:rPr>
        <w:t xml:space="preserve">El levantamiento de información de la Encuesta Nacional de Ingresos y Gastos de los Hogares 2020 se llevó a cabo del 21 de agosto al 28 de noviembre de 2020, por lo que los datos reflejaron los efectos económicos de la pandemia.  </w:t>
      </w:r>
    </w:p>
    <w:p w14:paraId="62C1BE43" w14:textId="77777777" w:rsidR="0068530C" w:rsidRDefault="0068530C" w:rsidP="00C359DF">
      <w:pPr>
        <w:spacing w:line="276" w:lineRule="auto"/>
        <w:ind w:firstLine="709"/>
        <w:jc w:val="both"/>
        <w:rPr>
          <w:rFonts w:ascii="Century Gothic" w:hAnsi="Century Gothic"/>
        </w:rPr>
      </w:pPr>
    </w:p>
    <w:p w14:paraId="5040D0B0" w14:textId="4DCA3E38" w:rsidR="0068530C" w:rsidRDefault="0068530C" w:rsidP="00C359DF">
      <w:pPr>
        <w:spacing w:line="276" w:lineRule="auto"/>
        <w:ind w:firstLine="709"/>
        <w:jc w:val="both"/>
        <w:rPr>
          <w:rFonts w:ascii="Century Gothic" w:hAnsi="Century Gothic"/>
        </w:rPr>
      </w:pPr>
      <w:r w:rsidRPr="000B6C89">
        <w:rPr>
          <w:rFonts w:ascii="Century Gothic" w:hAnsi="Century Gothic"/>
        </w:rPr>
        <w:t>En México, en 2020 la población en situación de pobreza superó los 55 millones de personas y el registro de personas en pobreza extrema alcanzó los 10.8 millones de personas, la cifra más alta bajo la metodología que se ha empleado por CONEVAL en los últimos años. Los resultados específicos de 2020 en el país son indicativos de una tendencia que reflejó de los efectos de la crisis sanitaria y de decisiones de políticas en el ámbito federal que limitaron el acceso a servicios sociales. El caso del indicador por acceso a los servicios de salud es indicativo al incrementar en 15 millones de personas la falta de cobertura:</w:t>
      </w:r>
    </w:p>
    <w:p w14:paraId="11796A78" w14:textId="77777777" w:rsidR="00DA661A" w:rsidRDefault="00DA661A" w:rsidP="0068530C">
      <w:pPr>
        <w:spacing w:line="276" w:lineRule="auto"/>
        <w:jc w:val="both"/>
        <w:rPr>
          <w:rFonts w:ascii="Century Gothic" w:hAnsi="Century Gothic"/>
        </w:rPr>
      </w:pPr>
    </w:p>
    <w:p w14:paraId="6192C042" w14:textId="77777777" w:rsidR="0068530C" w:rsidRPr="000B6C89" w:rsidRDefault="0068530C" w:rsidP="0068530C">
      <w:pPr>
        <w:jc w:val="both"/>
        <w:rPr>
          <w:rFonts w:ascii="Century Gothic" w:hAnsi="Century Gothic"/>
        </w:rPr>
      </w:pPr>
    </w:p>
    <w:tbl>
      <w:tblPr>
        <w:tblW w:w="10159" w:type="dxa"/>
        <w:tblInd w:w="-709" w:type="dxa"/>
        <w:tblCellMar>
          <w:left w:w="70" w:type="dxa"/>
          <w:right w:w="70" w:type="dxa"/>
        </w:tblCellMar>
        <w:tblLook w:val="04A0" w:firstRow="1" w:lastRow="0" w:firstColumn="1" w:lastColumn="0" w:noHBand="0" w:noVBand="1"/>
      </w:tblPr>
      <w:tblGrid>
        <w:gridCol w:w="5093"/>
        <w:gridCol w:w="844"/>
        <w:gridCol w:w="844"/>
        <w:gridCol w:w="845"/>
        <w:gridCol w:w="844"/>
        <w:gridCol w:w="844"/>
        <w:gridCol w:w="845"/>
      </w:tblGrid>
      <w:tr w:rsidR="0068530C" w:rsidRPr="0068530C" w14:paraId="52EF434D" w14:textId="77777777" w:rsidTr="00C359DF">
        <w:trPr>
          <w:trHeight w:val="462"/>
          <w:tblHeader/>
        </w:trPr>
        <w:tc>
          <w:tcPr>
            <w:tcW w:w="5093" w:type="dxa"/>
            <w:vMerge w:val="restart"/>
            <w:tcBorders>
              <w:top w:val="single" w:sz="8" w:space="0" w:color="auto"/>
              <w:left w:val="nil"/>
              <w:bottom w:val="single" w:sz="8" w:space="0" w:color="000000"/>
              <w:right w:val="nil"/>
            </w:tcBorders>
            <w:shd w:val="clear" w:color="auto" w:fill="D9D9D9" w:themeFill="background1" w:themeFillShade="D9"/>
            <w:vAlign w:val="center"/>
            <w:hideMark/>
          </w:tcPr>
          <w:p w14:paraId="55E69963" w14:textId="77777777" w:rsidR="0068530C" w:rsidRPr="0068530C" w:rsidRDefault="0068530C" w:rsidP="00194A44">
            <w:pPr>
              <w:ind w:right="162"/>
              <w:jc w:val="center"/>
              <w:rPr>
                <w:rFonts w:ascii="Century Gothic" w:eastAsia="Times New Roman" w:hAnsi="Century Gothic" w:cs="Arial"/>
                <w:b/>
                <w:bCs/>
                <w:sz w:val="18"/>
                <w:szCs w:val="18"/>
                <w:lang w:eastAsia="es-MX"/>
              </w:rPr>
            </w:pPr>
            <w:r w:rsidRPr="0068530C">
              <w:rPr>
                <w:rFonts w:ascii="Century Gothic" w:eastAsia="Times New Roman" w:hAnsi="Century Gothic" w:cs="Arial"/>
                <w:b/>
                <w:bCs/>
                <w:sz w:val="18"/>
                <w:szCs w:val="18"/>
                <w:lang w:eastAsia="es-MX"/>
              </w:rPr>
              <w:t xml:space="preserve">Indicadores </w:t>
            </w:r>
          </w:p>
        </w:tc>
        <w:tc>
          <w:tcPr>
            <w:tcW w:w="2533" w:type="dxa"/>
            <w:gridSpan w:val="3"/>
            <w:tcBorders>
              <w:top w:val="single" w:sz="8" w:space="0" w:color="auto"/>
              <w:left w:val="nil"/>
              <w:bottom w:val="single" w:sz="4" w:space="0" w:color="auto"/>
              <w:right w:val="nil"/>
            </w:tcBorders>
            <w:shd w:val="clear" w:color="auto" w:fill="BFBFBF" w:themeFill="background1" w:themeFillShade="BF"/>
            <w:vAlign w:val="center"/>
            <w:hideMark/>
          </w:tcPr>
          <w:p w14:paraId="0A975D02" w14:textId="77777777" w:rsidR="0068530C" w:rsidRPr="0068530C" w:rsidRDefault="0068530C" w:rsidP="00194A44">
            <w:pPr>
              <w:jc w:val="center"/>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Porcentaje</w:t>
            </w:r>
          </w:p>
        </w:tc>
        <w:tc>
          <w:tcPr>
            <w:tcW w:w="2533" w:type="dxa"/>
            <w:gridSpan w:val="3"/>
            <w:tcBorders>
              <w:top w:val="single" w:sz="8" w:space="0" w:color="auto"/>
              <w:left w:val="nil"/>
              <w:bottom w:val="single" w:sz="4" w:space="0" w:color="auto"/>
              <w:right w:val="nil"/>
            </w:tcBorders>
            <w:shd w:val="clear" w:color="auto" w:fill="BFBFBF" w:themeFill="background1" w:themeFillShade="BF"/>
            <w:vAlign w:val="center"/>
            <w:hideMark/>
          </w:tcPr>
          <w:p w14:paraId="6BD7DABC" w14:textId="77777777" w:rsidR="0068530C" w:rsidRPr="0068530C" w:rsidRDefault="0068530C" w:rsidP="00194A44">
            <w:pPr>
              <w:jc w:val="center"/>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Millones de personas</w:t>
            </w:r>
          </w:p>
        </w:tc>
      </w:tr>
      <w:tr w:rsidR="0068530C" w:rsidRPr="0068530C" w14:paraId="5D1768B2" w14:textId="77777777" w:rsidTr="00C359DF">
        <w:trPr>
          <w:trHeight w:val="250"/>
          <w:tblHeader/>
        </w:trPr>
        <w:tc>
          <w:tcPr>
            <w:tcW w:w="5093" w:type="dxa"/>
            <w:vMerge/>
            <w:tcBorders>
              <w:top w:val="single" w:sz="8" w:space="0" w:color="auto"/>
              <w:left w:val="nil"/>
              <w:bottom w:val="single" w:sz="8" w:space="0" w:color="000000"/>
              <w:right w:val="nil"/>
            </w:tcBorders>
            <w:vAlign w:val="center"/>
            <w:hideMark/>
          </w:tcPr>
          <w:p w14:paraId="3FF5B51E" w14:textId="77777777" w:rsidR="0068530C" w:rsidRPr="0068530C" w:rsidRDefault="0068530C" w:rsidP="00194A44">
            <w:pPr>
              <w:ind w:right="162"/>
              <w:rPr>
                <w:rFonts w:ascii="Century Gothic" w:eastAsia="Times New Roman" w:hAnsi="Century Gothic" w:cs="Arial"/>
                <w:b/>
                <w:bCs/>
                <w:sz w:val="18"/>
                <w:szCs w:val="18"/>
                <w:lang w:eastAsia="es-MX"/>
              </w:rPr>
            </w:pPr>
          </w:p>
        </w:tc>
        <w:tc>
          <w:tcPr>
            <w:tcW w:w="844" w:type="dxa"/>
            <w:tcBorders>
              <w:top w:val="nil"/>
              <w:left w:val="nil"/>
              <w:bottom w:val="single" w:sz="8" w:space="0" w:color="auto"/>
              <w:right w:val="nil"/>
            </w:tcBorders>
            <w:shd w:val="clear" w:color="auto" w:fill="A6A6A6" w:themeFill="background1" w:themeFillShade="A6"/>
            <w:vAlign w:val="center"/>
            <w:hideMark/>
          </w:tcPr>
          <w:p w14:paraId="50321910" w14:textId="77777777" w:rsidR="0068530C" w:rsidRPr="0068530C" w:rsidRDefault="0068530C" w:rsidP="00194A44">
            <w:pPr>
              <w:jc w:val="right"/>
              <w:rPr>
                <w:rFonts w:ascii="Century Gothic" w:eastAsia="Times New Roman" w:hAnsi="Century Gothic" w:cs="Arial"/>
                <w:b/>
                <w:bCs/>
                <w:sz w:val="18"/>
                <w:szCs w:val="18"/>
                <w:lang w:eastAsia="es-MX"/>
              </w:rPr>
            </w:pPr>
            <w:r w:rsidRPr="0068530C">
              <w:rPr>
                <w:rFonts w:ascii="Century Gothic" w:eastAsia="Times New Roman" w:hAnsi="Century Gothic" w:cs="Arial"/>
                <w:b/>
                <w:bCs/>
                <w:sz w:val="18"/>
                <w:szCs w:val="18"/>
                <w:lang w:eastAsia="es-MX"/>
              </w:rPr>
              <w:t>2016</w:t>
            </w:r>
          </w:p>
        </w:tc>
        <w:tc>
          <w:tcPr>
            <w:tcW w:w="844" w:type="dxa"/>
            <w:tcBorders>
              <w:top w:val="nil"/>
              <w:left w:val="nil"/>
              <w:bottom w:val="single" w:sz="8" w:space="0" w:color="auto"/>
              <w:right w:val="nil"/>
            </w:tcBorders>
            <w:shd w:val="clear" w:color="auto" w:fill="A6A6A6" w:themeFill="background1" w:themeFillShade="A6"/>
            <w:vAlign w:val="center"/>
            <w:hideMark/>
          </w:tcPr>
          <w:p w14:paraId="2CF85A7F" w14:textId="77777777" w:rsidR="0068530C" w:rsidRPr="0068530C" w:rsidRDefault="0068530C" w:rsidP="00194A44">
            <w:pPr>
              <w:jc w:val="right"/>
              <w:rPr>
                <w:rFonts w:ascii="Century Gothic" w:eastAsia="Times New Roman" w:hAnsi="Century Gothic" w:cs="Arial"/>
                <w:b/>
                <w:bCs/>
                <w:sz w:val="18"/>
                <w:szCs w:val="18"/>
                <w:lang w:eastAsia="es-MX"/>
              </w:rPr>
            </w:pPr>
            <w:r w:rsidRPr="0068530C">
              <w:rPr>
                <w:rFonts w:ascii="Century Gothic" w:eastAsia="Times New Roman" w:hAnsi="Century Gothic" w:cs="Arial"/>
                <w:b/>
                <w:bCs/>
                <w:sz w:val="18"/>
                <w:szCs w:val="18"/>
                <w:lang w:eastAsia="es-MX"/>
              </w:rPr>
              <w:t>2018</w:t>
            </w:r>
          </w:p>
        </w:tc>
        <w:tc>
          <w:tcPr>
            <w:tcW w:w="845" w:type="dxa"/>
            <w:tcBorders>
              <w:top w:val="nil"/>
              <w:left w:val="nil"/>
              <w:bottom w:val="single" w:sz="8" w:space="0" w:color="auto"/>
              <w:right w:val="nil"/>
            </w:tcBorders>
            <w:shd w:val="clear" w:color="auto" w:fill="A6A6A6" w:themeFill="background1" w:themeFillShade="A6"/>
            <w:vAlign w:val="center"/>
            <w:hideMark/>
          </w:tcPr>
          <w:p w14:paraId="4EB49240" w14:textId="77777777" w:rsidR="0068530C" w:rsidRPr="0068530C" w:rsidRDefault="0068530C" w:rsidP="00194A44">
            <w:pPr>
              <w:jc w:val="right"/>
              <w:rPr>
                <w:rFonts w:ascii="Century Gothic" w:eastAsia="Times New Roman" w:hAnsi="Century Gothic" w:cs="Arial"/>
                <w:b/>
                <w:bCs/>
                <w:sz w:val="18"/>
                <w:szCs w:val="18"/>
                <w:lang w:eastAsia="es-MX"/>
              </w:rPr>
            </w:pPr>
            <w:r w:rsidRPr="0068530C">
              <w:rPr>
                <w:rFonts w:ascii="Century Gothic" w:eastAsia="Times New Roman" w:hAnsi="Century Gothic" w:cs="Arial"/>
                <w:b/>
                <w:bCs/>
                <w:sz w:val="18"/>
                <w:szCs w:val="18"/>
                <w:lang w:eastAsia="es-MX"/>
              </w:rPr>
              <w:t>2020</w:t>
            </w:r>
          </w:p>
        </w:tc>
        <w:tc>
          <w:tcPr>
            <w:tcW w:w="844" w:type="dxa"/>
            <w:tcBorders>
              <w:top w:val="nil"/>
              <w:left w:val="nil"/>
              <w:bottom w:val="single" w:sz="8" w:space="0" w:color="auto"/>
              <w:right w:val="nil"/>
            </w:tcBorders>
            <w:shd w:val="clear" w:color="auto" w:fill="A6A6A6" w:themeFill="background1" w:themeFillShade="A6"/>
            <w:vAlign w:val="center"/>
            <w:hideMark/>
          </w:tcPr>
          <w:p w14:paraId="005B9279" w14:textId="77777777" w:rsidR="0068530C" w:rsidRPr="0068530C" w:rsidRDefault="0068530C" w:rsidP="00194A44">
            <w:pPr>
              <w:jc w:val="right"/>
              <w:rPr>
                <w:rFonts w:ascii="Century Gothic" w:eastAsia="Times New Roman" w:hAnsi="Century Gothic" w:cs="Arial"/>
                <w:b/>
                <w:bCs/>
                <w:sz w:val="18"/>
                <w:szCs w:val="18"/>
                <w:lang w:eastAsia="es-MX"/>
              </w:rPr>
            </w:pPr>
            <w:r w:rsidRPr="0068530C">
              <w:rPr>
                <w:rFonts w:ascii="Century Gothic" w:eastAsia="Times New Roman" w:hAnsi="Century Gothic" w:cs="Arial"/>
                <w:b/>
                <w:bCs/>
                <w:sz w:val="18"/>
                <w:szCs w:val="18"/>
                <w:lang w:eastAsia="es-MX"/>
              </w:rPr>
              <w:t>2016</w:t>
            </w:r>
          </w:p>
        </w:tc>
        <w:tc>
          <w:tcPr>
            <w:tcW w:w="844" w:type="dxa"/>
            <w:tcBorders>
              <w:top w:val="nil"/>
              <w:left w:val="nil"/>
              <w:bottom w:val="single" w:sz="8" w:space="0" w:color="auto"/>
              <w:right w:val="nil"/>
            </w:tcBorders>
            <w:shd w:val="clear" w:color="auto" w:fill="A6A6A6" w:themeFill="background1" w:themeFillShade="A6"/>
            <w:vAlign w:val="center"/>
            <w:hideMark/>
          </w:tcPr>
          <w:p w14:paraId="540ECAAD" w14:textId="77777777" w:rsidR="0068530C" w:rsidRPr="0068530C" w:rsidRDefault="0068530C" w:rsidP="00194A44">
            <w:pPr>
              <w:jc w:val="right"/>
              <w:rPr>
                <w:rFonts w:ascii="Century Gothic" w:eastAsia="Times New Roman" w:hAnsi="Century Gothic" w:cs="Arial"/>
                <w:b/>
                <w:bCs/>
                <w:sz w:val="18"/>
                <w:szCs w:val="18"/>
                <w:lang w:eastAsia="es-MX"/>
              </w:rPr>
            </w:pPr>
            <w:r w:rsidRPr="0068530C">
              <w:rPr>
                <w:rFonts w:ascii="Century Gothic" w:eastAsia="Times New Roman" w:hAnsi="Century Gothic" w:cs="Arial"/>
                <w:b/>
                <w:bCs/>
                <w:sz w:val="18"/>
                <w:szCs w:val="18"/>
                <w:lang w:eastAsia="es-MX"/>
              </w:rPr>
              <w:t>2018</w:t>
            </w:r>
          </w:p>
        </w:tc>
        <w:tc>
          <w:tcPr>
            <w:tcW w:w="845" w:type="dxa"/>
            <w:tcBorders>
              <w:top w:val="nil"/>
              <w:left w:val="nil"/>
              <w:bottom w:val="single" w:sz="8" w:space="0" w:color="auto"/>
              <w:right w:val="nil"/>
            </w:tcBorders>
            <w:shd w:val="clear" w:color="auto" w:fill="A6A6A6" w:themeFill="background1" w:themeFillShade="A6"/>
            <w:vAlign w:val="center"/>
            <w:hideMark/>
          </w:tcPr>
          <w:p w14:paraId="56823AD2" w14:textId="77777777" w:rsidR="0068530C" w:rsidRPr="0068530C" w:rsidRDefault="0068530C" w:rsidP="00194A44">
            <w:pPr>
              <w:jc w:val="right"/>
              <w:rPr>
                <w:rFonts w:ascii="Century Gothic" w:eastAsia="Times New Roman" w:hAnsi="Century Gothic" w:cs="Arial"/>
                <w:b/>
                <w:bCs/>
                <w:sz w:val="18"/>
                <w:szCs w:val="18"/>
                <w:lang w:eastAsia="es-MX"/>
              </w:rPr>
            </w:pPr>
            <w:r w:rsidRPr="0068530C">
              <w:rPr>
                <w:rFonts w:ascii="Century Gothic" w:eastAsia="Times New Roman" w:hAnsi="Century Gothic" w:cs="Arial"/>
                <w:b/>
                <w:bCs/>
                <w:sz w:val="18"/>
                <w:szCs w:val="18"/>
                <w:lang w:eastAsia="es-MX"/>
              </w:rPr>
              <w:t>2020</w:t>
            </w:r>
          </w:p>
        </w:tc>
      </w:tr>
      <w:tr w:rsidR="0068530C" w:rsidRPr="0068530C" w14:paraId="52D856D8" w14:textId="77777777" w:rsidTr="00C359DF">
        <w:trPr>
          <w:trHeight w:val="236"/>
        </w:trPr>
        <w:tc>
          <w:tcPr>
            <w:tcW w:w="5093" w:type="dxa"/>
            <w:tcBorders>
              <w:top w:val="nil"/>
              <w:left w:val="nil"/>
              <w:bottom w:val="nil"/>
              <w:right w:val="nil"/>
            </w:tcBorders>
            <w:shd w:val="clear" w:color="000000" w:fill="FFFFFF"/>
            <w:noWrap/>
            <w:vAlign w:val="bottom"/>
            <w:hideMark/>
          </w:tcPr>
          <w:p w14:paraId="66186FC5" w14:textId="77777777" w:rsidR="0068530C" w:rsidRPr="0068530C" w:rsidRDefault="0068530C" w:rsidP="00194A44">
            <w:pPr>
              <w:ind w:right="162"/>
              <w:rPr>
                <w:rFonts w:ascii="Century Gothic" w:eastAsia="Times New Roman" w:hAnsi="Century Gothic" w:cs="Arial"/>
                <w:b/>
                <w:bCs/>
                <w:sz w:val="18"/>
                <w:szCs w:val="18"/>
                <w:lang w:eastAsia="es-MX"/>
              </w:rPr>
            </w:pPr>
            <w:r w:rsidRPr="0068530C">
              <w:rPr>
                <w:rFonts w:ascii="Century Gothic" w:eastAsia="Times New Roman" w:hAnsi="Century Gothic" w:cs="Arial"/>
                <w:b/>
                <w:bCs/>
                <w:sz w:val="18"/>
                <w:szCs w:val="18"/>
                <w:lang w:eastAsia="es-MX"/>
              </w:rPr>
              <w:t>Pobreza</w:t>
            </w:r>
          </w:p>
        </w:tc>
        <w:tc>
          <w:tcPr>
            <w:tcW w:w="844" w:type="dxa"/>
            <w:tcBorders>
              <w:top w:val="nil"/>
              <w:left w:val="nil"/>
              <w:bottom w:val="nil"/>
              <w:right w:val="nil"/>
            </w:tcBorders>
            <w:shd w:val="clear" w:color="000000" w:fill="FFFFFF"/>
            <w:noWrap/>
            <w:vAlign w:val="center"/>
            <w:hideMark/>
          </w:tcPr>
          <w:p w14:paraId="5284C31D" w14:textId="77777777" w:rsidR="0068530C" w:rsidRPr="0068530C" w:rsidRDefault="0068530C" w:rsidP="00194A44">
            <w:pPr>
              <w:jc w:val="right"/>
              <w:rPr>
                <w:rFonts w:ascii="Century Gothic" w:eastAsia="Times New Roman" w:hAnsi="Century Gothic" w:cs="Arial"/>
                <w:color w:val="FFCC00"/>
                <w:sz w:val="18"/>
                <w:szCs w:val="18"/>
                <w:lang w:eastAsia="es-MX"/>
              </w:rPr>
            </w:pPr>
            <w:r w:rsidRPr="0068530C">
              <w:rPr>
                <w:rFonts w:ascii="Century Gothic" w:eastAsia="Times New Roman" w:hAnsi="Century Gothic" w:cs="Arial"/>
                <w:color w:val="FFCC00"/>
                <w:sz w:val="18"/>
                <w:szCs w:val="18"/>
                <w:lang w:eastAsia="es-MX"/>
              </w:rPr>
              <w:t> </w:t>
            </w:r>
          </w:p>
        </w:tc>
        <w:tc>
          <w:tcPr>
            <w:tcW w:w="844" w:type="dxa"/>
            <w:tcBorders>
              <w:top w:val="nil"/>
              <w:left w:val="nil"/>
              <w:bottom w:val="nil"/>
              <w:right w:val="nil"/>
            </w:tcBorders>
            <w:shd w:val="clear" w:color="000000" w:fill="FFFFFF"/>
            <w:noWrap/>
            <w:vAlign w:val="center"/>
            <w:hideMark/>
          </w:tcPr>
          <w:p w14:paraId="4A3E149D" w14:textId="77777777" w:rsidR="0068530C" w:rsidRPr="0068530C" w:rsidRDefault="0068530C" w:rsidP="00194A44">
            <w:pPr>
              <w:jc w:val="right"/>
              <w:rPr>
                <w:rFonts w:ascii="Century Gothic" w:eastAsia="Times New Roman" w:hAnsi="Century Gothic" w:cs="Arial"/>
                <w:color w:val="FFCC00"/>
                <w:sz w:val="18"/>
                <w:szCs w:val="18"/>
                <w:lang w:eastAsia="es-MX"/>
              </w:rPr>
            </w:pPr>
            <w:r w:rsidRPr="0068530C">
              <w:rPr>
                <w:rFonts w:ascii="Century Gothic" w:eastAsia="Times New Roman" w:hAnsi="Century Gothic" w:cs="Arial"/>
                <w:color w:val="FFCC00"/>
                <w:sz w:val="18"/>
                <w:szCs w:val="18"/>
                <w:lang w:eastAsia="es-MX"/>
              </w:rPr>
              <w:t> </w:t>
            </w:r>
          </w:p>
        </w:tc>
        <w:tc>
          <w:tcPr>
            <w:tcW w:w="845" w:type="dxa"/>
            <w:tcBorders>
              <w:top w:val="nil"/>
              <w:left w:val="nil"/>
              <w:bottom w:val="nil"/>
              <w:right w:val="nil"/>
            </w:tcBorders>
            <w:shd w:val="clear" w:color="000000" w:fill="FFFFFF"/>
            <w:noWrap/>
            <w:vAlign w:val="center"/>
            <w:hideMark/>
          </w:tcPr>
          <w:p w14:paraId="4AA9A626" w14:textId="77777777" w:rsidR="0068530C" w:rsidRPr="0068530C" w:rsidRDefault="0068530C" w:rsidP="00194A44">
            <w:pPr>
              <w:jc w:val="right"/>
              <w:rPr>
                <w:rFonts w:ascii="Century Gothic" w:eastAsia="Times New Roman" w:hAnsi="Century Gothic" w:cs="Arial"/>
                <w:color w:val="FFCC00"/>
                <w:sz w:val="18"/>
                <w:szCs w:val="18"/>
                <w:lang w:eastAsia="es-MX"/>
              </w:rPr>
            </w:pPr>
            <w:r w:rsidRPr="0068530C">
              <w:rPr>
                <w:rFonts w:ascii="Century Gothic" w:eastAsia="Times New Roman" w:hAnsi="Century Gothic" w:cs="Arial"/>
                <w:color w:val="FFCC00"/>
                <w:sz w:val="18"/>
                <w:szCs w:val="18"/>
                <w:lang w:eastAsia="es-MX"/>
              </w:rPr>
              <w:t> </w:t>
            </w:r>
          </w:p>
        </w:tc>
        <w:tc>
          <w:tcPr>
            <w:tcW w:w="844" w:type="dxa"/>
            <w:tcBorders>
              <w:top w:val="nil"/>
              <w:left w:val="nil"/>
              <w:bottom w:val="nil"/>
              <w:right w:val="nil"/>
            </w:tcBorders>
            <w:shd w:val="clear" w:color="000000" w:fill="FFFFFF"/>
            <w:noWrap/>
            <w:vAlign w:val="center"/>
            <w:hideMark/>
          </w:tcPr>
          <w:p w14:paraId="6957D4D9" w14:textId="77777777" w:rsidR="0068530C" w:rsidRPr="0068530C" w:rsidRDefault="0068530C" w:rsidP="00194A44">
            <w:pPr>
              <w:jc w:val="right"/>
              <w:rPr>
                <w:rFonts w:ascii="Century Gothic" w:eastAsia="Times New Roman" w:hAnsi="Century Gothic" w:cs="Arial"/>
                <w:color w:val="FFCC00"/>
                <w:sz w:val="18"/>
                <w:szCs w:val="18"/>
                <w:lang w:eastAsia="es-MX"/>
              </w:rPr>
            </w:pPr>
            <w:r w:rsidRPr="0068530C">
              <w:rPr>
                <w:rFonts w:ascii="Century Gothic" w:eastAsia="Times New Roman" w:hAnsi="Century Gothic" w:cs="Arial"/>
                <w:color w:val="FFCC00"/>
                <w:sz w:val="18"/>
                <w:szCs w:val="18"/>
                <w:lang w:eastAsia="es-MX"/>
              </w:rPr>
              <w:t> </w:t>
            </w:r>
          </w:p>
        </w:tc>
        <w:tc>
          <w:tcPr>
            <w:tcW w:w="844" w:type="dxa"/>
            <w:tcBorders>
              <w:top w:val="nil"/>
              <w:left w:val="nil"/>
              <w:bottom w:val="nil"/>
              <w:right w:val="nil"/>
            </w:tcBorders>
            <w:shd w:val="clear" w:color="000000" w:fill="FFFFFF"/>
            <w:noWrap/>
            <w:vAlign w:val="center"/>
            <w:hideMark/>
          </w:tcPr>
          <w:p w14:paraId="698D68E3" w14:textId="77777777" w:rsidR="0068530C" w:rsidRPr="0068530C" w:rsidRDefault="0068530C" w:rsidP="00194A44">
            <w:pPr>
              <w:jc w:val="right"/>
              <w:rPr>
                <w:rFonts w:ascii="Century Gothic" w:eastAsia="Times New Roman" w:hAnsi="Century Gothic" w:cs="Arial"/>
                <w:color w:val="FFCC00"/>
                <w:sz w:val="18"/>
                <w:szCs w:val="18"/>
                <w:lang w:eastAsia="es-MX"/>
              </w:rPr>
            </w:pPr>
            <w:r w:rsidRPr="0068530C">
              <w:rPr>
                <w:rFonts w:ascii="Century Gothic" w:eastAsia="Times New Roman" w:hAnsi="Century Gothic" w:cs="Arial"/>
                <w:color w:val="FFCC00"/>
                <w:sz w:val="18"/>
                <w:szCs w:val="18"/>
                <w:lang w:eastAsia="es-MX"/>
              </w:rPr>
              <w:t> </w:t>
            </w:r>
          </w:p>
        </w:tc>
        <w:tc>
          <w:tcPr>
            <w:tcW w:w="845" w:type="dxa"/>
            <w:tcBorders>
              <w:top w:val="nil"/>
              <w:left w:val="nil"/>
              <w:bottom w:val="nil"/>
              <w:right w:val="nil"/>
            </w:tcBorders>
            <w:shd w:val="clear" w:color="000000" w:fill="FFFFFF"/>
            <w:noWrap/>
            <w:vAlign w:val="center"/>
            <w:hideMark/>
          </w:tcPr>
          <w:p w14:paraId="70FDC76B" w14:textId="77777777" w:rsidR="0068530C" w:rsidRPr="0068530C" w:rsidRDefault="0068530C" w:rsidP="00194A44">
            <w:pPr>
              <w:jc w:val="right"/>
              <w:rPr>
                <w:rFonts w:ascii="Century Gothic" w:eastAsia="Times New Roman" w:hAnsi="Century Gothic" w:cs="Arial"/>
                <w:color w:val="FFCC00"/>
                <w:sz w:val="18"/>
                <w:szCs w:val="18"/>
                <w:lang w:eastAsia="es-MX"/>
              </w:rPr>
            </w:pPr>
            <w:r w:rsidRPr="0068530C">
              <w:rPr>
                <w:rFonts w:ascii="Century Gothic" w:eastAsia="Times New Roman" w:hAnsi="Century Gothic" w:cs="Arial"/>
                <w:color w:val="FFCC00"/>
                <w:sz w:val="18"/>
                <w:szCs w:val="18"/>
                <w:lang w:eastAsia="es-MX"/>
              </w:rPr>
              <w:t> </w:t>
            </w:r>
          </w:p>
        </w:tc>
      </w:tr>
      <w:tr w:rsidR="0068530C" w:rsidRPr="0068530C" w14:paraId="1C0FE2E5" w14:textId="77777777" w:rsidTr="00C359DF">
        <w:trPr>
          <w:trHeight w:val="236"/>
        </w:trPr>
        <w:tc>
          <w:tcPr>
            <w:tcW w:w="5093" w:type="dxa"/>
            <w:tcBorders>
              <w:top w:val="nil"/>
              <w:left w:val="nil"/>
              <w:bottom w:val="nil"/>
              <w:right w:val="nil"/>
            </w:tcBorders>
            <w:shd w:val="clear" w:color="000000" w:fill="FFFFFF"/>
            <w:vAlign w:val="bottom"/>
            <w:hideMark/>
          </w:tcPr>
          <w:p w14:paraId="508889CA" w14:textId="77777777" w:rsidR="0068530C" w:rsidRPr="0068530C" w:rsidRDefault="0068530C" w:rsidP="00194A44">
            <w:pPr>
              <w:ind w:right="162" w:firstLineChars="200" w:firstLine="360"/>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Población en situación de pobreza</w:t>
            </w:r>
          </w:p>
        </w:tc>
        <w:tc>
          <w:tcPr>
            <w:tcW w:w="844" w:type="dxa"/>
            <w:tcBorders>
              <w:top w:val="nil"/>
              <w:left w:val="nil"/>
              <w:bottom w:val="nil"/>
              <w:right w:val="nil"/>
            </w:tcBorders>
            <w:shd w:val="clear" w:color="000000" w:fill="FFFFFF"/>
            <w:noWrap/>
            <w:vAlign w:val="center"/>
            <w:hideMark/>
          </w:tcPr>
          <w:p w14:paraId="211AE4C0"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43.2</w:t>
            </w:r>
          </w:p>
        </w:tc>
        <w:tc>
          <w:tcPr>
            <w:tcW w:w="844" w:type="dxa"/>
            <w:tcBorders>
              <w:top w:val="nil"/>
              <w:left w:val="nil"/>
              <w:bottom w:val="nil"/>
              <w:right w:val="nil"/>
            </w:tcBorders>
            <w:shd w:val="clear" w:color="000000" w:fill="FFFFFF"/>
            <w:noWrap/>
            <w:vAlign w:val="center"/>
            <w:hideMark/>
          </w:tcPr>
          <w:p w14:paraId="1FC64F7A"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41.9</w:t>
            </w:r>
          </w:p>
        </w:tc>
        <w:tc>
          <w:tcPr>
            <w:tcW w:w="845" w:type="dxa"/>
            <w:tcBorders>
              <w:top w:val="nil"/>
              <w:left w:val="nil"/>
              <w:bottom w:val="nil"/>
              <w:right w:val="nil"/>
            </w:tcBorders>
            <w:shd w:val="clear" w:color="000000" w:fill="FFFFFF"/>
            <w:noWrap/>
            <w:vAlign w:val="center"/>
            <w:hideMark/>
          </w:tcPr>
          <w:p w14:paraId="15E3B7DE"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43.9</w:t>
            </w:r>
          </w:p>
        </w:tc>
        <w:tc>
          <w:tcPr>
            <w:tcW w:w="844" w:type="dxa"/>
            <w:tcBorders>
              <w:top w:val="nil"/>
              <w:left w:val="nil"/>
              <w:bottom w:val="nil"/>
              <w:right w:val="nil"/>
            </w:tcBorders>
            <w:shd w:val="clear" w:color="000000" w:fill="FFFFFF"/>
            <w:noWrap/>
            <w:vAlign w:val="center"/>
            <w:hideMark/>
          </w:tcPr>
          <w:p w14:paraId="5C116A22"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52.2</w:t>
            </w:r>
          </w:p>
        </w:tc>
        <w:tc>
          <w:tcPr>
            <w:tcW w:w="844" w:type="dxa"/>
            <w:tcBorders>
              <w:top w:val="nil"/>
              <w:left w:val="nil"/>
              <w:bottom w:val="nil"/>
              <w:right w:val="nil"/>
            </w:tcBorders>
            <w:shd w:val="clear" w:color="000000" w:fill="FFFFFF"/>
            <w:noWrap/>
            <w:vAlign w:val="center"/>
            <w:hideMark/>
          </w:tcPr>
          <w:p w14:paraId="232173D1"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51.9</w:t>
            </w:r>
          </w:p>
        </w:tc>
        <w:tc>
          <w:tcPr>
            <w:tcW w:w="845" w:type="dxa"/>
            <w:tcBorders>
              <w:top w:val="nil"/>
              <w:left w:val="nil"/>
              <w:bottom w:val="nil"/>
              <w:right w:val="nil"/>
            </w:tcBorders>
            <w:shd w:val="clear" w:color="000000" w:fill="FFFFFF"/>
            <w:noWrap/>
            <w:vAlign w:val="center"/>
            <w:hideMark/>
          </w:tcPr>
          <w:p w14:paraId="5564EE1E"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55.7</w:t>
            </w:r>
          </w:p>
        </w:tc>
      </w:tr>
      <w:tr w:rsidR="0068530C" w:rsidRPr="0068530C" w14:paraId="46BDB8E7" w14:textId="77777777" w:rsidTr="00C359DF">
        <w:trPr>
          <w:trHeight w:val="236"/>
        </w:trPr>
        <w:tc>
          <w:tcPr>
            <w:tcW w:w="5093" w:type="dxa"/>
            <w:tcBorders>
              <w:top w:val="nil"/>
              <w:left w:val="nil"/>
              <w:bottom w:val="nil"/>
              <w:right w:val="nil"/>
            </w:tcBorders>
            <w:shd w:val="clear" w:color="000000" w:fill="FFFFFF"/>
            <w:vAlign w:val="bottom"/>
            <w:hideMark/>
          </w:tcPr>
          <w:p w14:paraId="2880378C" w14:textId="77777777" w:rsidR="0068530C" w:rsidRPr="0068530C" w:rsidRDefault="0068530C" w:rsidP="00194A44">
            <w:pPr>
              <w:ind w:right="162" w:firstLineChars="200" w:firstLine="360"/>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 xml:space="preserve">    Población en situación de pobreza moderada</w:t>
            </w:r>
          </w:p>
        </w:tc>
        <w:tc>
          <w:tcPr>
            <w:tcW w:w="844" w:type="dxa"/>
            <w:tcBorders>
              <w:top w:val="nil"/>
              <w:left w:val="nil"/>
              <w:bottom w:val="nil"/>
              <w:right w:val="nil"/>
            </w:tcBorders>
            <w:shd w:val="clear" w:color="000000" w:fill="FFFFFF"/>
            <w:noWrap/>
            <w:vAlign w:val="center"/>
            <w:hideMark/>
          </w:tcPr>
          <w:p w14:paraId="59DFACDB"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36.0</w:t>
            </w:r>
          </w:p>
        </w:tc>
        <w:tc>
          <w:tcPr>
            <w:tcW w:w="844" w:type="dxa"/>
            <w:tcBorders>
              <w:top w:val="nil"/>
              <w:left w:val="nil"/>
              <w:bottom w:val="nil"/>
              <w:right w:val="nil"/>
            </w:tcBorders>
            <w:shd w:val="clear" w:color="000000" w:fill="FFFFFF"/>
            <w:noWrap/>
            <w:vAlign w:val="center"/>
            <w:hideMark/>
          </w:tcPr>
          <w:p w14:paraId="74F733D5"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34.9</w:t>
            </w:r>
          </w:p>
        </w:tc>
        <w:tc>
          <w:tcPr>
            <w:tcW w:w="845" w:type="dxa"/>
            <w:tcBorders>
              <w:top w:val="nil"/>
              <w:left w:val="nil"/>
              <w:bottom w:val="nil"/>
              <w:right w:val="nil"/>
            </w:tcBorders>
            <w:shd w:val="clear" w:color="000000" w:fill="FFFFFF"/>
            <w:noWrap/>
            <w:vAlign w:val="center"/>
            <w:hideMark/>
          </w:tcPr>
          <w:p w14:paraId="4A8C7042"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35.4</w:t>
            </w:r>
          </w:p>
        </w:tc>
        <w:tc>
          <w:tcPr>
            <w:tcW w:w="844" w:type="dxa"/>
            <w:tcBorders>
              <w:top w:val="nil"/>
              <w:left w:val="nil"/>
              <w:bottom w:val="nil"/>
              <w:right w:val="nil"/>
            </w:tcBorders>
            <w:shd w:val="clear" w:color="000000" w:fill="FFFFFF"/>
            <w:noWrap/>
            <w:vAlign w:val="center"/>
            <w:hideMark/>
          </w:tcPr>
          <w:p w14:paraId="08BB73D0"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43.5</w:t>
            </w:r>
          </w:p>
        </w:tc>
        <w:tc>
          <w:tcPr>
            <w:tcW w:w="844" w:type="dxa"/>
            <w:tcBorders>
              <w:top w:val="nil"/>
              <w:left w:val="nil"/>
              <w:bottom w:val="nil"/>
              <w:right w:val="nil"/>
            </w:tcBorders>
            <w:shd w:val="clear" w:color="000000" w:fill="FFFFFF"/>
            <w:noWrap/>
            <w:vAlign w:val="center"/>
            <w:hideMark/>
          </w:tcPr>
          <w:p w14:paraId="1A56B241"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43.2</w:t>
            </w:r>
          </w:p>
        </w:tc>
        <w:tc>
          <w:tcPr>
            <w:tcW w:w="845" w:type="dxa"/>
            <w:tcBorders>
              <w:top w:val="nil"/>
              <w:left w:val="nil"/>
              <w:bottom w:val="nil"/>
              <w:right w:val="nil"/>
            </w:tcBorders>
            <w:shd w:val="clear" w:color="000000" w:fill="FFFFFF"/>
            <w:noWrap/>
            <w:vAlign w:val="center"/>
            <w:hideMark/>
          </w:tcPr>
          <w:p w14:paraId="0B012A3A"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44.9</w:t>
            </w:r>
          </w:p>
        </w:tc>
      </w:tr>
      <w:tr w:rsidR="0068530C" w:rsidRPr="0068530C" w14:paraId="32D7EC20" w14:textId="77777777" w:rsidTr="00C359DF">
        <w:trPr>
          <w:trHeight w:val="236"/>
        </w:trPr>
        <w:tc>
          <w:tcPr>
            <w:tcW w:w="5093" w:type="dxa"/>
            <w:tcBorders>
              <w:top w:val="nil"/>
              <w:left w:val="nil"/>
              <w:bottom w:val="nil"/>
              <w:right w:val="nil"/>
            </w:tcBorders>
            <w:shd w:val="clear" w:color="000000" w:fill="FFFFFF"/>
            <w:vAlign w:val="bottom"/>
            <w:hideMark/>
          </w:tcPr>
          <w:p w14:paraId="776B5AD8" w14:textId="77777777" w:rsidR="0068530C" w:rsidRPr="0068530C" w:rsidRDefault="0068530C" w:rsidP="00194A44">
            <w:pPr>
              <w:ind w:right="162" w:firstLineChars="200" w:firstLine="360"/>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 xml:space="preserve">    Población en situación de pobreza extrema</w:t>
            </w:r>
          </w:p>
        </w:tc>
        <w:tc>
          <w:tcPr>
            <w:tcW w:w="844" w:type="dxa"/>
            <w:tcBorders>
              <w:top w:val="nil"/>
              <w:left w:val="nil"/>
              <w:bottom w:val="nil"/>
              <w:right w:val="nil"/>
            </w:tcBorders>
            <w:shd w:val="clear" w:color="000000" w:fill="FFFFFF"/>
            <w:noWrap/>
            <w:vAlign w:val="center"/>
            <w:hideMark/>
          </w:tcPr>
          <w:p w14:paraId="6C890401"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7.2</w:t>
            </w:r>
          </w:p>
        </w:tc>
        <w:tc>
          <w:tcPr>
            <w:tcW w:w="844" w:type="dxa"/>
            <w:tcBorders>
              <w:top w:val="nil"/>
              <w:left w:val="nil"/>
              <w:bottom w:val="nil"/>
              <w:right w:val="nil"/>
            </w:tcBorders>
            <w:shd w:val="clear" w:color="000000" w:fill="FFFFFF"/>
            <w:noWrap/>
            <w:vAlign w:val="center"/>
            <w:hideMark/>
          </w:tcPr>
          <w:p w14:paraId="5F6B9E29"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7.0</w:t>
            </w:r>
          </w:p>
        </w:tc>
        <w:tc>
          <w:tcPr>
            <w:tcW w:w="845" w:type="dxa"/>
            <w:tcBorders>
              <w:top w:val="nil"/>
              <w:left w:val="nil"/>
              <w:bottom w:val="nil"/>
              <w:right w:val="nil"/>
            </w:tcBorders>
            <w:shd w:val="clear" w:color="000000" w:fill="FFFFFF"/>
            <w:noWrap/>
            <w:vAlign w:val="center"/>
            <w:hideMark/>
          </w:tcPr>
          <w:p w14:paraId="3E9F7837"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8.5</w:t>
            </w:r>
          </w:p>
        </w:tc>
        <w:tc>
          <w:tcPr>
            <w:tcW w:w="844" w:type="dxa"/>
            <w:tcBorders>
              <w:top w:val="nil"/>
              <w:left w:val="nil"/>
              <w:bottom w:val="nil"/>
              <w:right w:val="nil"/>
            </w:tcBorders>
            <w:shd w:val="clear" w:color="000000" w:fill="FFFFFF"/>
            <w:noWrap/>
            <w:vAlign w:val="center"/>
            <w:hideMark/>
          </w:tcPr>
          <w:p w14:paraId="06D3B059"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8.7</w:t>
            </w:r>
          </w:p>
        </w:tc>
        <w:tc>
          <w:tcPr>
            <w:tcW w:w="844" w:type="dxa"/>
            <w:tcBorders>
              <w:top w:val="nil"/>
              <w:left w:val="nil"/>
              <w:bottom w:val="nil"/>
              <w:right w:val="nil"/>
            </w:tcBorders>
            <w:shd w:val="clear" w:color="000000" w:fill="FFFFFF"/>
            <w:noWrap/>
            <w:vAlign w:val="center"/>
            <w:hideMark/>
          </w:tcPr>
          <w:p w14:paraId="0220FC0F"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8.7</w:t>
            </w:r>
          </w:p>
        </w:tc>
        <w:tc>
          <w:tcPr>
            <w:tcW w:w="845" w:type="dxa"/>
            <w:tcBorders>
              <w:top w:val="nil"/>
              <w:left w:val="nil"/>
              <w:bottom w:val="nil"/>
              <w:right w:val="nil"/>
            </w:tcBorders>
            <w:shd w:val="clear" w:color="000000" w:fill="FFFFFF"/>
            <w:noWrap/>
            <w:vAlign w:val="center"/>
            <w:hideMark/>
          </w:tcPr>
          <w:p w14:paraId="467287FE"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10.8</w:t>
            </w:r>
          </w:p>
        </w:tc>
      </w:tr>
      <w:tr w:rsidR="0068530C" w:rsidRPr="0068530C" w14:paraId="77A2EE2F" w14:textId="77777777" w:rsidTr="00C359DF">
        <w:trPr>
          <w:trHeight w:val="236"/>
        </w:trPr>
        <w:tc>
          <w:tcPr>
            <w:tcW w:w="5093" w:type="dxa"/>
            <w:tcBorders>
              <w:top w:val="nil"/>
              <w:left w:val="nil"/>
              <w:bottom w:val="nil"/>
              <w:right w:val="nil"/>
            </w:tcBorders>
            <w:shd w:val="clear" w:color="000000" w:fill="FFFFFF"/>
            <w:vAlign w:val="bottom"/>
            <w:hideMark/>
          </w:tcPr>
          <w:p w14:paraId="208A51BB" w14:textId="77777777" w:rsidR="0068530C" w:rsidRPr="0068530C" w:rsidRDefault="0068530C" w:rsidP="00194A44">
            <w:pPr>
              <w:ind w:right="162" w:firstLineChars="200" w:firstLine="360"/>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Población vulnerable por carencias sociales</w:t>
            </w:r>
          </w:p>
        </w:tc>
        <w:tc>
          <w:tcPr>
            <w:tcW w:w="844" w:type="dxa"/>
            <w:tcBorders>
              <w:top w:val="nil"/>
              <w:left w:val="nil"/>
              <w:bottom w:val="nil"/>
              <w:right w:val="nil"/>
            </w:tcBorders>
            <w:shd w:val="clear" w:color="000000" w:fill="FFFFFF"/>
            <w:noWrap/>
            <w:vAlign w:val="center"/>
            <w:hideMark/>
          </w:tcPr>
          <w:p w14:paraId="756E3F0F"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25.3</w:t>
            </w:r>
          </w:p>
        </w:tc>
        <w:tc>
          <w:tcPr>
            <w:tcW w:w="844" w:type="dxa"/>
            <w:tcBorders>
              <w:top w:val="nil"/>
              <w:left w:val="nil"/>
              <w:bottom w:val="nil"/>
              <w:right w:val="nil"/>
            </w:tcBorders>
            <w:shd w:val="clear" w:color="000000" w:fill="FFFFFF"/>
            <w:noWrap/>
            <w:vAlign w:val="center"/>
            <w:hideMark/>
          </w:tcPr>
          <w:p w14:paraId="21761145"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26.4</w:t>
            </w:r>
          </w:p>
        </w:tc>
        <w:tc>
          <w:tcPr>
            <w:tcW w:w="845" w:type="dxa"/>
            <w:tcBorders>
              <w:top w:val="nil"/>
              <w:left w:val="nil"/>
              <w:bottom w:val="nil"/>
              <w:right w:val="nil"/>
            </w:tcBorders>
            <w:shd w:val="clear" w:color="000000" w:fill="FFFFFF"/>
            <w:noWrap/>
            <w:vAlign w:val="center"/>
            <w:hideMark/>
          </w:tcPr>
          <w:p w14:paraId="4981506B"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23.7</w:t>
            </w:r>
          </w:p>
        </w:tc>
        <w:tc>
          <w:tcPr>
            <w:tcW w:w="844" w:type="dxa"/>
            <w:tcBorders>
              <w:top w:val="nil"/>
              <w:left w:val="nil"/>
              <w:bottom w:val="nil"/>
              <w:right w:val="nil"/>
            </w:tcBorders>
            <w:shd w:val="clear" w:color="000000" w:fill="FFFFFF"/>
            <w:noWrap/>
            <w:vAlign w:val="center"/>
            <w:hideMark/>
          </w:tcPr>
          <w:p w14:paraId="00F6F63C"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30.5</w:t>
            </w:r>
          </w:p>
        </w:tc>
        <w:tc>
          <w:tcPr>
            <w:tcW w:w="844" w:type="dxa"/>
            <w:tcBorders>
              <w:top w:val="nil"/>
              <w:left w:val="nil"/>
              <w:bottom w:val="nil"/>
              <w:right w:val="nil"/>
            </w:tcBorders>
            <w:shd w:val="clear" w:color="000000" w:fill="FFFFFF"/>
            <w:noWrap/>
            <w:vAlign w:val="center"/>
            <w:hideMark/>
          </w:tcPr>
          <w:p w14:paraId="1D511BB7"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32.7</w:t>
            </w:r>
          </w:p>
        </w:tc>
        <w:tc>
          <w:tcPr>
            <w:tcW w:w="845" w:type="dxa"/>
            <w:tcBorders>
              <w:top w:val="nil"/>
              <w:left w:val="nil"/>
              <w:bottom w:val="nil"/>
              <w:right w:val="nil"/>
            </w:tcBorders>
            <w:shd w:val="clear" w:color="000000" w:fill="FFFFFF"/>
            <w:noWrap/>
            <w:vAlign w:val="center"/>
            <w:hideMark/>
          </w:tcPr>
          <w:p w14:paraId="4BA0ECA2"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30.0</w:t>
            </w:r>
          </w:p>
        </w:tc>
      </w:tr>
      <w:tr w:rsidR="0068530C" w:rsidRPr="0068530C" w14:paraId="52A2D84E" w14:textId="77777777" w:rsidTr="00C359DF">
        <w:trPr>
          <w:trHeight w:val="236"/>
        </w:trPr>
        <w:tc>
          <w:tcPr>
            <w:tcW w:w="5093" w:type="dxa"/>
            <w:tcBorders>
              <w:top w:val="nil"/>
              <w:left w:val="nil"/>
              <w:bottom w:val="nil"/>
              <w:right w:val="nil"/>
            </w:tcBorders>
            <w:shd w:val="clear" w:color="000000" w:fill="FFFFFF"/>
            <w:vAlign w:val="bottom"/>
            <w:hideMark/>
          </w:tcPr>
          <w:p w14:paraId="409875D0" w14:textId="77777777" w:rsidR="0068530C" w:rsidRPr="0068530C" w:rsidRDefault="0068530C" w:rsidP="00194A44">
            <w:pPr>
              <w:ind w:right="162" w:firstLineChars="200" w:firstLine="360"/>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Población vulnerable por ingresos</w:t>
            </w:r>
          </w:p>
        </w:tc>
        <w:tc>
          <w:tcPr>
            <w:tcW w:w="844" w:type="dxa"/>
            <w:tcBorders>
              <w:top w:val="nil"/>
              <w:left w:val="nil"/>
              <w:bottom w:val="nil"/>
              <w:right w:val="nil"/>
            </w:tcBorders>
            <w:shd w:val="clear" w:color="000000" w:fill="FFFFFF"/>
            <w:noWrap/>
            <w:vAlign w:val="center"/>
            <w:hideMark/>
          </w:tcPr>
          <w:p w14:paraId="33EC8667"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7.6</w:t>
            </w:r>
          </w:p>
        </w:tc>
        <w:tc>
          <w:tcPr>
            <w:tcW w:w="844" w:type="dxa"/>
            <w:tcBorders>
              <w:top w:val="nil"/>
              <w:left w:val="nil"/>
              <w:bottom w:val="nil"/>
              <w:right w:val="nil"/>
            </w:tcBorders>
            <w:shd w:val="clear" w:color="000000" w:fill="FFFFFF"/>
            <w:noWrap/>
            <w:vAlign w:val="center"/>
            <w:hideMark/>
          </w:tcPr>
          <w:p w14:paraId="13ECEF18"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8.0</w:t>
            </w:r>
          </w:p>
        </w:tc>
        <w:tc>
          <w:tcPr>
            <w:tcW w:w="845" w:type="dxa"/>
            <w:tcBorders>
              <w:top w:val="nil"/>
              <w:left w:val="nil"/>
              <w:bottom w:val="nil"/>
              <w:right w:val="nil"/>
            </w:tcBorders>
            <w:shd w:val="clear" w:color="000000" w:fill="FFFFFF"/>
            <w:noWrap/>
            <w:vAlign w:val="center"/>
            <w:hideMark/>
          </w:tcPr>
          <w:p w14:paraId="039D1EC0"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8.9</w:t>
            </w:r>
          </w:p>
        </w:tc>
        <w:tc>
          <w:tcPr>
            <w:tcW w:w="844" w:type="dxa"/>
            <w:tcBorders>
              <w:top w:val="nil"/>
              <w:left w:val="nil"/>
              <w:bottom w:val="nil"/>
              <w:right w:val="nil"/>
            </w:tcBorders>
            <w:shd w:val="clear" w:color="000000" w:fill="FFFFFF"/>
            <w:noWrap/>
            <w:vAlign w:val="center"/>
            <w:hideMark/>
          </w:tcPr>
          <w:p w14:paraId="3DB1539D"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9.1</w:t>
            </w:r>
          </w:p>
        </w:tc>
        <w:tc>
          <w:tcPr>
            <w:tcW w:w="844" w:type="dxa"/>
            <w:tcBorders>
              <w:top w:val="nil"/>
              <w:left w:val="nil"/>
              <w:bottom w:val="nil"/>
              <w:right w:val="nil"/>
            </w:tcBorders>
            <w:shd w:val="clear" w:color="000000" w:fill="FFFFFF"/>
            <w:noWrap/>
            <w:vAlign w:val="center"/>
            <w:hideMark/>
          </w:tcPr>
          <w:p w14:paraId="56E179C9"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9.9</w:t>
            </w:r>
          </w:p>
        </w:tc>
        <w:tc>
          <w:tcPr>
            <w:tcW w:w="845" w:type="dxa"/>
            <w:tcBorders>
              <w:top w:val="nil"/>
              <w:left w:val="nil"/>
              <w:bottom w:val="nil"/>
              <w:right w:val="nil"/>
            </w:tcBorders>
            <w:shd w:val="clear" w:color="000000" w:fill="FFFFFF"/>
            <w:noWrap/>
            <w:vAlign w:val="center"/>
            <w:hideMark/>
          </w:tcPr>
          <w:p w14:paraId="230A065D"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11.2</w:t>
            </w:r>
          </w:p>
        </w:tc>
      </w:tr>
      <w:tr w:rsidR="0068530C" w:rsidRPr="0068530C" w14:paraId="19B498C3" w14:textId="77777777" w:rsidTr="00C359DF">
        <w:trPr>
          <w:trHeight w:val="236"/>
        </w:trPr>
        <w:tc>
          <w:tcPr>
            <w:tcW w:w="5093" w:type="dxa"/>
            <w:tcBorders>
              <w:top w:val="nil"/>
              <w:left w:val="nil"/>
              <w:bottom w:val="nil"/>
              <w:right w:val="nil"/>
            </w:tcBorders>
            <w:shd w:val="clear" w:color="000000" w:fill="FFFFFF"/>
            <w:vAlign w:val="bottom"/>
            <w:hideMark/>
          </w:tcPr>
          <w:p w14:paraId="4C50FCDB" w14:textId="77777777" w:rsidR="0068530C" w:rsidRPr="0068530C" w:rsidRDefault="0068530C" w:rsidP="00194A44">
            <w:pPr>
              <w:ind w:right="162" w:firstLineChars="200" w:firstLine="360"/>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Población no pobre y no vulnerable</w:t>
            </w:r>
          </w:p>
        </w:tc>
        <w:tc>
          <w:tcPr>
            <w:tcW w:w="844" w:type="dxa"/>
            <w:tcBorders>
              <w:top w:val="nil"/>
              <w:left w:val="nil"/>
              <w:bottom w:val="nil"/>
              <w:right w:val="nil"/>
            </w:tcBorders>
            <w:shd w:val="clear" w:color="000000" w:fill="FFFFFF"/>
            <w:noWrap/>
            <w:vAlign w:val="center"/>
            <w:hideMark/>
          </w:tcPr>
          <w:p w14:paraId="5A013333"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24.0</w:t>
            </w:r>
          </w:p>
        </w:tc>
        <w:tc>
          <w:tcPr>
            <w:tcW w:w="844" w:type="dxa"/>
            <w:tcBorders>
              <w:top w:val="nil"/>
              <w:left w:val="nil"/>
              <w:bottom w:val="nil"/>
              <w:right w:val="nil"/>
            </w:tcBorders>
            <w:shd w:val="clear" w:color="000000" w:fill="FFFFFF"/>
            <w:noWrap/>
            <w:vAlign w:val="center"/>
            <w:hideMark/>
          </w:tcPr>
          <w:p w14:paraId="7B161CF7"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23.7</w:t>
            </w:r>
          </w:p>
        </w:tc>
        <w:tc>
          <w:tcPr>
            <w:tcW w:w="845" w:type="dxa"/>
            <w:tcBorders>
              <w:top w:val="nil"/>
              <w:left w:val="nil"/>
              <w:bottom w:val="nil"/>
              <w:right w:val="nil"/>
            </w:tcBorders>
            <w:shd w:val="clear" w:color="000000" w:fill="FFFFFF"/>
            <w:noWrap/>
            <w:vAlign w:val="center"/>
            <w:hideMark/>
          </w:tcPr>
          <w:p w14:paraId="1A623016"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23.5</w:t>
            </w:r>
          </w:p>
        </w:tc>
        <w:tc>
          <w:tcPr>
            <w:tcW w:w="844" w:type="dxa"/>
            <w:tcBorders>
              <w:top w:val="nil"/>
              <w:left w:val="nil"/>
              <w:bottom w:val="nil"/>
              <w:right w:val="nil"/>
            </w:tcBorders>
            <w:shd w:val="clear" w:color="000000" w:fill="FFFFFF"/>
            <w:noWrap/>
            <w:vAlign w:val="center"/>
            <w:hideMark/>
          </w:tcPr>
          <w:p w14:paraId="43DB7550"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28.9</w:t>
            </w:r>
          </w:p>
        </w:tc>
        <w:tc>
          <w:tcPr>
            <w:tcW w:w="844" w:type="dxa"/>
            <w:tcBorders>
              <w:top w:val="nil"/>
              <w:left w:val="nil"/>
              <w:bottom w:val="nil"/>
              <w:right w:val="nil"/>
            </w:tcBorders>
            <w:shd w:val="clear" w:color="000000" w:fill="FFFFFF"/>
            <w:noWrap/>
            <w:vAlign w:val="center"/>
            <w:hideMark/>
          </w:tcPr>
          <w:p w14:paraId="5530562D"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29.3</w:t>
            </w:r>
          </w:p>
        </w:tc>
        <w:tc>
          <w:tcPr>
            <w:tcW w:w="845" w:type="dxa"/>
            <w:tcBorders>
              <w:top w:val="nil"/>
              <w:left w:val="nil"/>
              <w:bottom w:val="nil"/>
              <w:right w:val="nil"/>
            </w:tcBorders>
            <w:shd w:val="clear" w:color="000000" w:fill="FFFFFF"/>
            <w:noWrap/>
            <w:vAlign w:val="center"/>
            <w:hideMark/>
          </w:tcPr>
          <w:p w14:paraId="3A66ED91"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29.8</w:t>
            </w:r>
          </w:p>
        </w:tc>
      </w:tr>
      <w:tr w:rsidR="0068530C" w:rsidRPr="0068530C" w14:paraId="6BBBE833" w14:textId="77777777" w:rsidTr="00C359DF">
        <w:trPr>
          <w:trHeight w:val="236"/>
        </w:trPr>
        <w:tc>
          <w:tcPr>
            <w:tcW w:w="5093" w:type="dxa"/>
            <w:tcBorders>
              <w:top w:val="nil"/>
              <w:left w:val="nil"/>
              <w:bottom w:val="nil"/>
              <w:right w:val="nil"/>
            </w:tcBorders>
            <w:shd w:val="clear" w:color="000000" w:fill="FFFFFF"/>
            <w:noWrap/>
            <w:vAlign w:val="bottom"/>
            <w:hideMark/>
          </w:tcPr>
          <w:p w14:paraId="40553673" w14:textId="77777777" w:rsidR="0068530C" w:rsidRPr="0068530C" w:rsidRDefault="0068530C" w:rsidP="00194A44">
            <w:pPr>
              <w:ind w:right="162"/>
              <w:jc w:val="both"/>
              <w:rPr>
                <w:rFonts w:ascii="Century Gothic" w:eastAsia="Times New Roman" w:hAnsi="Century Gothic" w:cs="Arial"/>
                <w:b/>
                <w:bCs/>
                <w:sz w:val="18"/>
                <w:szCs w:val="18"/>
                <w:lang w:eastAsia="es-MX"/>
              </w:rPr>
            </w:pPr>
            <w:r w:rsidRPr="0068530C">
              <w:rPr>
                <w:rFonts w:ascii="Century Gothic" w:eastAsia="Times New Roman" w:hAnsi="Century Gothic" w:cs="Arial"/>
                <w:b/>
                <w:bCs/>
                <w:sz w:val="18"/>
                <w:szCs w:val="18"/>
                <w:lang w:eastAsia="es-MX"/>
              </w:rPr>
              <w:t>Privación social</w:t>
            </w:r>
          </w:p>
        </w:tc>
        <w:tc>
          <w:tcPr>
            <w:tcW w:w="844" w:type="dxa"/>
            <w:tcBorders>
              <w:top w:val="nil"/>
              <w:left w:val="nil"/>
              <w:bottom w:val="nil"/>
              <w:right w:val="nil"/>
            </w:tcBorders>
            <w:shd w:val="clear" w:color="000000" w:fill="FFFFFF"/>
            <w:noWrap/>
            <w:vAlign w:val="center"/>
            <w:hideMark/>
          </w:tcPr>
          <w:p w14:paraId="2016A9CE"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 </w:t>
            </w:r>
          </w:p>
        </w:tc>
        <w:tc>
          <w:tcPr>
            <w:tcW w:w="844" w:type="dxa"/>
            <w:tcBorders>
              <w:top w:val="nil"/>
              <w:left w:val="nil"/>
              <w:bottom w:val="nil"/>
              <w:right w:val="nil"/>
            </w:tcBorders>
            <w:shd w:val="clear" w:color="000000" w:fill="FFFFFF"/>
            <w:noWrap/>
            <w:vAlign w:val="center"/>
            <w:hideMark/>
          </w:tcPr>
          <w:p w14:paraId="207CF704"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 </w:t>
            </w:r>
          </w:p>
        </w:tc>
        <w:tc>
          <w:tcPr>
            <w:tcW w:w="845" w:type="dxa"/>
            <w:tcBorders>
              <w:top w:val="nil"/>
              <w:left w:val="nil"/>
              <w:bottom w:val="nil"/>
              <w:right w:val="nil"/>
            </w:tcBorders>
            <w:shd w:val="clear" w:color="000000" w:fill="FFFFFF"/>
            <w:noWrap/>
            <w:vAlign w:val="center"/>
            <w:hideMark/>
          </w:tcPr>
          <w:p w14:paraId="751D0A40"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 </w:t>
            </w:r>
          </w:p>
        </w:tc>
        <w:tc>
          <w:tcPr>
            <w:tcW w:w="844" w:type="dxa"/>
            <w:tcBorders>
              <w:top w:val="nil"/>
              <w:left w:val="nil"/>
              <w:bottom w:val="nil"/>
              <w:right w:val="nil"/>
            </w:tcBorders>
            <w:shd w:val="clear" w:color="000000" w:fill="FFFFFF"/>
            <w:noWrap/>
            <w:vAlign w:val="center"/>
            <w:hideMark/>
          </w:tcPr>
          <w:p w14:paraId="761F231F"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 </w:t>
            </w:r>
          </w:p>
        </w:tc>
        <w:tc>
          <w:tcPr>
            <w:tcW w:w="844" w:type="dxa"/>
            <w:tcBorders>
              <w:top w:val="nil"/>
              <w:left w:val="nil"/>
              <w:bottom w:val="nil"/>
              <w:right w:val="nil"/>
            </w:tcBorders>
            <w:shd w:val="clear" w:color="000000" w:fill="FFFFFF"/>
            <w:noWrap/>
            <w:vAlign w:val="center"/>
            <w:hideMark/>
          </w:tcPr>
          <w:p w14:paraId="23934F6E"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 </w:t>
            </w:r>
          </w:p>
        </w:tc>
        <w:tc>
          <w:tcPr>
            <w:tcW w:w="845" w:type="dxa"/>
            <w:tcBorders>
              <w:top w:val="nil"/>
              <w:left w:val="nil"/>
              <w:bottom w:val="nil"/>
              <w:right w:val="nil"/>
            </w:tcBorders>
            <w:shd w:val="clear" w:color="000000" w:fill="FFFFFF"/>
            <w:noWrap/>
            <w:vAlign w:val="center"/>
            <w:hideMark/>
          </w:tcPr>
          <w:p w14:paraId="655AE97A"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 </w:t>
            </w:r>
          </w:p>
        </w:tc>
      </w:tr>
      <w:tr w:rsidR="0068530C" w:rsidRPr="0068530C" w14:paraId="468B5149" w14:textId="77777777" w:rsidTr="00C359DF">
        <w:trPr>
          <w:trHeight w:val="236"/>
        </w:trPr>
        <w:tc>
          <w:tcPr>
            <w:tcW w:w="5093" w:type="dxa"/>
            <w:tcBorders>
              <w:top w:val="nil"/>
              <w:left w:val="nil"/>
              <w:bottom w:val="nil"/>
              <w:right w:val="nil"/>
            </w:tcBorders>
            <w:shd w:val="clear" w:color="000000" w:fill="FFFFFF"/>
            <w:noWrap/>
            <w:vAlign w:val="bottom"/>
            <w:hideMark/>
          </w:tcPr>
          <w:p w14:paraId="22C7E889" w14:textId="77777777" w:rsidR="0068530C" w:rsidRPr="0068530C" w:rsidRDefault="0068530C" w:rsidP="00194A44">
            <w:pPr>
              <w:ind w:right="162" w:firstLineChars="200" w:firstLine="360"/>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Población con al menos una carencia social</w:t>
            </w:r>
          </w:p>
        </w:tc>
        <w:tc>
          <w:tcPr>
            <w:tcW w:w="844" w:type="dxa"/>
            <w:tcBorders>
              <w:top w:val="nil"/>
              <w:left w:val="nil"/>
              <w:bottom w:val="nil"/>
              <w:right w:val="nil"/>
            </w:tcBorders>
            <w:shd w:val="clear" w:color="000000" w:fill="FFFFFF"/>
            <w:noWrap/>
            <w:vAlign w:val="center"/>
            <w:hideMark/>
          </w:tcPr>
          <w:p w14:paraId="6A309AEC"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68.5</w:t>
            </w:r>
          </w:p>
        </w:tc>
        <w:tc>
          <w:tcPr>
            <w:tcW w:w="844" w:type="dxa"/>
            <w:tcBorders>
              <w:top w:val="nil"/>
              <w:left w:val="nil"/>
              <w:bottom w:val="nil"/>
              <w:right w:val="nil"/>
            </w:tcBorders>
            <w:shd w:val="clear" w:color="000000" w:fill="FFFFFF"/>
            <w:noWrap/>
            <w:vAlign w:val="center"/>
            <w:hideMark/>
          </w:tcPr>
          <w:p w14:paraId="65B430B1"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68.3</w:t>
            </w:r>
          </w:p>
        </w:tc>
        <w:tc>
          <w:tcPr>
            <w:tcW w:w="845" w:type="dxa"/>
            <w:tcBorders>
              <w:top w:val="nil"/>
              <w:left w:val="nil"/>
              <w:bottom w:val="nil"/>
              <w:right w:val="nil"/>
            </w:tcBorders>
            <w:shd w:val="clear" w:color="000000" w:fill="FFFFFF"/>
            <w:noWrap/>
            <w:vAlign w:val="center"/>
            <w:hideMark/>
          </w:tcPr>
          <w:p w14:paraId="4CBCD1CA"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67.6</w:t>
            </w:r>
          </w:p>
        </w:tc>
        <w:tc>
          <w:tcPr>
            <w:tcW w:w="844" w:type="dxa"/>
            <w:tcBorders>
              <w:top w:val="nil"/>
              <w:left w:val="nil"/>
              <w:bottom w:val="nil"/>
              <w:right w:val="nil"/>
            </w:tcBorders>
            <w:shd w:val="clear" w:color="000000" w:fill="FFFFFF"/>
            <w:noWrap/>
            <w:vAlign w:val="center"/>
            <w:hideMark/>
          </w:tcPr>
          <w:p w14:paraId="02C903E9"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82.7</w:t>
            </w:r>
          </w:p>
        </w:tc>
        <w:tc>
          <w:tcPr>
            <w:tcW w:w="844" w:type="dxa"/>
            <w:tcBorders>
              <w:top w:val="nil"/>
              <w:left w:val="nil"/>
              <w:bottom w:val="nil"/>
              <w:right w:val="nil"/>
            </w:tcBorders>
            <w:shd w:val="clear" w:color="000000" w:fill="FFFFFF"/>
            <w:noWrap/>
            <w:vAlign w:val="center"/>
            <w:hideMark/>
          </w:tcPr>
          <w:p w14:paraId="74A7A6BB"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84.6</w:t>
            </w:r>
          </w:p>
        </w:tc>
        <w:tc>
          <w:tcPr>
            <w:tcW w:w="845" w:type="dxa"/>
            <w:tcBorders>
              <w:top w:val="nil"/>
              <w:left w:val="nil"/>
              <w:bottom w:val="nil"/>
              <w:right w:val="nil"/>
            </w:tcBorders>
            <w:shd w:val="clear" w:color="000000" w:fill="FFFFFF"/>
            <w:noWrap/>
            <w:vAlign w:val="center"/>
            <w:hideMark/>
          </w:tcPr>
          <w:p w14:paraId="5EB450C4"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85.7</w:t>
            </w:r>
          </w:p>
        </w:tc>
      </w:tr>
      <w:tr w:rsidR="0068530C" w:rsidRPr="0068530C" w14:paraId="0302D11C" w14:textId="77777777" w:rsidTr="00C359DF">
        <w:trPr>
          <w:trHeight w:val="236"/>
        </w:trPr>
        <w:tc>
          <w:tcPr>
            <w:tcW w:w="5093" w:type="dxa"/>
            <w:tcBorders>
              <w:top w:val="nil"/>
              <w:left w:val="nil"/>
              <w:bottom w:val="nil"/>
              <w:right w:val="nil"/>
            </w:tcBorders>
            <w:shd w:val="clear" w:color="000000" w:fill="FFFFFF"/>
            <w:noWrap/>
            <w:vAlign w:val="bottom"/>
            <w:hideMark/>
          </w:tcPr>
          <w:p w14:paraId="69BA2E71" w14:textId="77777777" w:rsidR="0068530C" w:rsidRPr="0068530C" w:rsidRDefault="0068530C" w:rsidP="00194A44">
            <w:pPr>
              <w:ind w:right="162" w:firstLineChars="200" w:firstLine="360"/>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Población con al menos tres carencias sociales</w:t>
            </w:r>
          </w:p>
        </w:tc>
        <w:tc>
          <w:tcPr>
            <w:tcW w:w="844" w:type="dxa"/>
            <w:tcBorders>
              <w:top w:val="nil"/>
              <w:left w:val="nil"/>
              <w:bottom w:val="nil"/>
              <w:right w:val="nil"/>
            </w:tcBorders>
            <w:shd w:val="clear" w:color="000000" w:fill="FFFFFF"/>
            <w:noWrap/>
            <w:vAlign w:val="center"/>
            <w:hideMark/>
          </w:tcPr>
          <w:p w14:paraId="2694857C"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20.0</w:t>
            </w:r>
          </w:p>
        </w:tc>
        <w:tc>
          <w:tcPr>
            <w:tcW w:w="844" w:type="dxa"/>
            <w:tcBorders>
              <w:top w:val="nil"/>
              <w:left w:val="nil"/>
              <w:bottom w:val="nil"/>
              <w:right w:val="nil"/>
            </w:tcBorders>
            <w:shd w:val="clear" w:color="000000" w:fill="FFFFFF"/>
            <w:noWrap/>
            <w:vAlign w:val="center"/>
            <w:hideMark/>
          </w:tcPr>
          <w:p w14:paraId="2AD1B71F"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20.2</w:t>
            </w:r>
          </w:p>
        </w:tc>
        <w:tc>
          <w:tcPr>
            <w:tcW w:w="845" w:type="dxa"/>
            <w:tcBorders>
              <w:top w:val="nil"/>
              <w:left w:val="nil"/>
              <w:bottom w:val="nil"/>
              <w:right w:val="nil"/>
            </w:tcBorders>
            <w:shd w:val="clear" w:color="000000" w:fill="FFFFFF"/>
            <w:noWrap/>
            <w:vAlign w:val="center"/>
            <w:hideMark/>
          </w:tcPr>
          <w:p w14:paraId="4A6AE844"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23.0</w:t>
            </w:r>
          </w:p>
        </w:tc>
        <w:tc>
          <w:tcPr>
            <w:tcW w:w="844" w:type="dxa"/>
            <w:tcBorders>
              <w:top w:val="nil"/>
              <w:left w:val="nil"/>
              <w:bottom w:val="nil"/>
              <w:right w:val="nil"/>
            </w:tcBorders>
            <w:shd w:val="clear" w:color="000000" w:fill="FFFFFF"/>
            <w:noWrap/>
            <w:vAlign w:val="center"/>
            <w:hideMark/>
          </w:tcPr>
          <w:p w14:paraId="025D67E7"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24.2</w:t>
            </w:r>
          </w:p>
        </w:tc>
        <w:tc>
          <w:tcPr>
            <w:tcW w:w="844" w:type="dxa"/>
            <w:tcBorders>
              <w:top w:val="nil"/>
              <w:left w:val="nil"/>
              <w:bottom w:val="nil"/>
              <w:right w:val="nil"/>
            </w:tcBorders>
            <w:shd w:val="clear" w:color="000000" w:fill="FFFFFF"/>
            <w:noWrap/>
            <w:vAlign w:val="center"/>
            <w:hideMark/>
          </w:tcPr>
          <w:p w14:paraId="5467AB4F"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25.0</w:t>
            </w:r>
          </w:p>
        </w:tc>
        <w:tc>
          <w:tcPr>
            <w:tcW w:w="845" w:type="dxa"/>
            <w:tcBorders>
              <w:top w:val="nil"/>
              <w:left w:val="nil"/>
              <w:bottom w:val="nil"/>
              <w:right w:val="nil"/>
            </w:tcBorders>
            <w:shd w:val="clear" w:color="000000" w:fill="FFFFFF"/>
            <w:noWrap/>
            <w:vAlign w:val="center"/>
            <w:hideMark/>
          </w:tcPr>
          <w:p w14:paraId="2823DDDB"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29.2</w:t>
            </w:r>
          </w:p>
        </w:tc>
      </w:tr>
      <w:tr w:rsidR="0068530C" w:rsidRPr="0068530C" w14:paraId="2249FA13" w14:textId="77777777" w:rsidTr="00C359DF">
        <w:trPr>
          <w:trHeight w:val="236"/>
        </w:trPr>
        <w:tc>
          <w:tcPr>
            <w:tcW w:w="5093" w:type="dxa"/>
            <w:tcBorders>
              <w:top w:val="nil"/>
              <w:left w:val="nil"/>
              <w:bottom w:val="nil"/>
              <w:right w:val="nil"/>
            </w:tcBorders>
            <w:shd w:val="clear" w:color="000000" w:fill="FFFFFF"/>
            <w:noWrap/>
            <w:vAlign w:val="bottom"/>
            <w:hideMark/>
          </w:tcPr>
          <w:p w14:paraId="1E1CDBA4" w14:textId="77777777" w:rsidR="0068530C" w:rsidRPr="0068530C" w:rsidRDefault="0068530C" w:rsidP="00194A44">
            <w:pPr>
              <w:ind w:right="162"/>
              <w:rPr>
                <w:rFonts w:ascii="Century Gothic" w:eastAsia="Times New Roman" w:hAnsi="Century Gothic" w:cs="Arial"/>
                <w:b/>
                <w:bCs/>
                <w:sz w:val="18"/>
                <w:szCs w:val="18"/>
                <w:lang w:eastAsia="es-MX"/>
              </w:rPr>
            </w:pPr>
            <w:r w:rsidRPr="0068530C">
              <w:rPr>
                <w:rFonts w:ascii="Century Gothic" w:eastAsia="Times New Roman" w:hAnsi="Century Gothic" w:cs="Arial"/>
                <w:b/>
                <w:bCs/>
                <w:sz w:val="18"/>
                <w:szCs w:val="18"/>
                <w:lang w:eastAsia="es-MX"/>
              </w:rPr>
              <w:t>Indicadores de carencia social</w:t>
            </w:r>
          </w:p>
        </w:tc>
        <w:tc>
          <w:tcPr>
            <w:tcW w:w="844" w:type="dxa"/>
            <w:tcBorders>
              <w:top w:val="nil"/>
              <w:left w:val="nil"/>
              <w:bottom w:val="nil"/>
              <w:right w:val="nil"/>
            </w:tcBorders>
            <w:shd w:val="clear" w:color="000000" w:fill="FFFFFF"/>
            <w:noWrap/>
            <w:vAlign w:val="center"/>
            <w:hideMark/>
          </w:tcPr>
          <w:p w14:paraId="5422EC75"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 </w:t>
            </w:r>
          </w:p>
        </w:tc>
        <w:tc>
          <w:tcPr>
            <w:tcW w:w="844" w:type="dxa"/>
            <w:tcBorders>
              <w:top w:val="nil"/>
              <w:left w:val="nil"/>
              <w:bottom w:val="nil"/>
              <w:right w:val="nil"/>
            </w:tcBorders>
            <w:shd w:val="clear" w:color="000000" w:fill="FFFFFF"/>
            <w:noWrap/>
            <w:vAlign w:val="center"/>
            <w:hideMark/>
          </w:tcPr>
          <w:p w14:paraId="5AD63917"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 </w:t>
            </w:r>
          </w:p>
        </w:tc>
        <w:tc>
          <w:tcPr>
            <w:tcW w:w="845" w:type="dxa"/>
            <w:tcBorders>
              <w:top w:val="nil"/>
              <w:left w:val="nil"/>
              <w:bottom w:val="nil"/>
              <w:right w:val="nil"/>
            </w:tcBorders>
            <w:shd w:val="clear" w:color="000000" w:fill="FFFFFF"/>
            <w:noWrap/>
            <w:vAlign w:val="center"/>
            <w:hideMark/>
          </w:tcPr>
          <w:p w14:paraId="67591978"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 </w:t>
            </w:r>
          </w:p>
        </w:tc>
        <w:tc>
          <w:tcPr>
            <w:tcW w:w="844" w:type="dxa"/>
            <w:tcBorders>
              <w:top w:val="nil"/>
              <w:left w:val="nil"/>
              <w:bottom w:val="nil"/>
              <w:right w:val="nil"/>
            </w:tcBorders>
            <w:shd w:val="clear" w:color="000000" w:fill="FFFFFF"/>
            <w:noWrap/>
            <w:vAlign w:val="center"/>
            <w:hideMark/>
          </w:tcPr>
          <w:p w14:paraId="603302EF"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 </w:t>
            </w:r>
          </w:p>
        </w:tc>
        <w:tc>
          <w:tcPr>
            <w:tcW w:w="844" w:type="dxa"/>
            <w:tcBorders>
              <w:top w:val="nil"/>
              <w:left w:val="nil"/>
              <w:bottom w:val="nil"/>
              <w:right w:val="nil"/>
            </w:tcBorders>
            <w:shd w:val="clear" w:color="000000" w:fill="FFFFFF"/>
            <w:noWrap/>
            <w:vAlign w:val="center"/>
            <w:hideMark/>
          </w:tcPr>
          <w:p w14:paraId="20046BB5"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 </w:t>
            </w:r>
          </w:p>
        </w:tc>
        <w:tc>
          <w:tcPr>
            <w:tcW w:w="845" w:type="dxa"/>
            <w:tcBorders>
              <w:top w:val="nil"/>
              <w:left w:val="nil"/>
              <w:bottom w:val="nil"/>
              <w:right w:val="nil"/>
            </w:tcBorders>
            <w:shd w:val="clear" w:color="000000" w:fill="FFFFFF"/>
            <w:noWrap/>
            <w:vAlign w:val="center"/>
            <w:hideMark/>
          </w:tcPr>
          <w:p w14:paraId="64A4D345"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 </w:t>
            </w:r>
          </w:p>
        </w:tc>
      </w:tr>
      <w:tr w:rsidR="0068530C" w:rsidRPr="0068530C" w14:paraId="59CB8103" w14:textId="77777777" w:rsidTr="00C359DF">
        <w:trPr>
          <w:trHeight w:val="236"/>
        </w:trPr>
        <w:tc>
          <w:tcPr>
            <w:tcW w:w="5093" w:type="dxa"/>
            <w:tcBorders>
              <w:top w:val="nil"/>
              <w:left w:val="nil"/>
              <w:bottom w:val="nil"/>
              <w:right w:val="nil"/>
            </w:tcBorders>
            <w:shd w:val="clear" w:color="000000" w:fill="FFFFFF"/>
            <w:vAlign w:val="center"/>
            <w:hideMark/>
          </w:tcPr>
          <w:p w14:paraId="0B0B75FC" w14:textId="77777777" w:rsidR="0068530C" w:rsidRPr="0068530C" w:rsidRDefault="0068530C" w:rsidP="00194A44">
            <w:pPr>
              <w:ind w:right="162" w:firstLineChars="200" w:firstLine="360"/>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Rezago educativo</w:t>
            </w:r>
          </w:p>
        </w:tc>
        <w:tc>
          <w:tcPr>
            <w:tcW w:w="844" w:type="dxa"/>
            <w:tcBorders>
              <w:top w:val="nil"/>
              <w:left w:val="nil"/>
              <w:bottom w:val="nil"/>
              <w:right w:val="nil"/>
            </w:tcBorders>
            <w:shd w:val="clear" w:color="000000" w:fill="FFFFFF"/>
            <w:noWrap/>
            <w:vAlign w:val="center"/>
            <w:hideMark/>
          </w:tcPr>
          <w:p w14:paraId="51B9F82C"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18.5</w:t>
            </w:r>
          </w:p>
        </w:tc>
        <w:tc>
          <w:tcPr>
            <w:tcW w:w="844" w:type="dxa"/>
            <w:tcBorders>
              <w:top w:val="nil"/>
              <w:left w:val="nil"/>
              <w:bottom w:val="nil"/>
              <w:right w:val="nil"/>
            </w:tcBorders>
            <w:shd w:val="clear" w:color="000000" w:fill="FFFFFF"/>
            <w:noWrap/>
            <w:vAlign w:val="center"/>
            <w:hideMark/>
          </w:tcPr>
          <w:p w14:paraId="66728F97"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19.0</w:t>
            </w:r>
          </w:p>
        </w:tc>
        <w:tc>
          <w:tcPr>
            <w:tcW w:w="845" w:type="dxa"/>
            <w:tcBorders>
              <w:top w:val="nil"/>
              <w:left w:val="nil"/>
              <w:bottom w:val="nil"/>
              <w:right w:val="nil"/>
            </w:tcBorders>
            <w:shd w:val="clear" w:color="000000" w:fill="FFFFFF"/>
            <w:noWrap/>
            <w:vAlign w:val="center"/>
            <w:hideMark/>
          </w:tcPr>
          <w:p w14:paraId="53FB8B5D"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19.2</w:t>
            </w:r>
          </w:p>
        </w:tc>
        <w:tc>
          <w:tcPr>
            <w:tcW w:w="844" w:type="dxa"/>
            <w:tcBorders>
              <w:top w:val="nil"/>
              <w:left w:val="nil"/>
              <w:bottom w:val="nil"/>
              <w:right w:val="nil"/>
            </w:tcBorders>
            <w:shd w:val="clear" w:color="000000" w:fill="FFFFFF"/>
            <w:noWrap/>
            <w:vAlign w:val="center"/>
            <w:hideMark/>
          </w:tcPr>
          <w:p w14:paraId="741E641F"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22.3</w:t>
            </w:r>
          </w:p>
        </w:tc>
        <w:tc>
          <w:tcPr>
            <w:tcW w:w="844" w:type="dxa"/>
            <w:tcBorders>
              <w:top w:val="nil"/>
              <w:left w:val="nil"/>
              <w:bottom w:val="nil"/>
              <w:right w:val="nil"/>
            </w:tcBorders>
            <w:shd w:val="clear" w:color="000000" w:fill="FFFFFF"/>
            <w:noWrap/>
            <w:vAlign w:val="center"/>
            <w:hideMark/>
          </w:tcPr>
          <w:p w14:paraId="4CF3E455"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23.5</w:t>
            </w:r>
          </w:p>
        </w:tc>
        <w:tc>
          <w:tcPr>
            <w:tcW w:w="845" w:type="dxa"/>
            <w:tcBorders>
              <w:top w:val="nil"/>
              <w:left w:val="nil"/>
              <w:bottom w:val="nil"/>
              <w:right w:val="nil"/>
            </w:tcBorders>
            <w:shd w:val="clear" w:color="000000" w:fill="FFFFFF"/>
            <w:noWrap/>
            <w:vAlign w:val="center"/>
            <w:hideMark/>
          </w:tcPr>
          <w:p w14:paraId="438B8072"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24.4</w:t>
            </w:r>
          </w:p>
        </w:tc>
      </w:tr>
      <w:tr w:rsidR="0068530C" w:rsidRPr="0068530C" w14:paraId="3840D834" w14:textId="77777777" w:rsidTr="00C359DF">
        <w:trPr>
          <w:trHeight w:val="236"/>
        </w:trPr>
        <w:tc>
          <w:tcPr>
            <w:tcW w:w="5093" w:type="dxa"/>
            <w:tcBorders>
              <w:top w:val="nil"/>
              <w:left w:val="nil"/>
              <w:bottom w:val="nil"/>
              <w:right w:val="nil"/>
            </w:tcBorders>
            <w:shd w:val="clear" w:color="000000" w:fill="FFFFFF"/>
            <w:noWrap/>
            <w:vAlign w:val="bottom"/>
            <w:hideMark/>
          </w:tcPr>
          <w:p w14:paraId="6F2123A2" w14:textId="77777777" w:rsidR="0068530C" w:rsidRPr="0068530C" w:rsidRDefault="0068530C" w:rsidP="00194A44">
            <w:pPr>
              <w:ind w:right="162" w:firstLineChars="200" w:firstLine="360"/>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Carencia por acceso a los servicios de salud</w:t>
            </w:r>
          </w:p>
        </w:tc>
        <w:tc>
          <w:tcPr>
            <w:tcW w:w="844" w:type="dxa"/>
            <w:tcBorders>
              <w:top w:val="nil"/>
              <w:left w:val="nil"/>
              <w:bottom w:val="nil"/>
              <w:right w:val="nil"/>
            </w:tcBorders>
            <w:shd w:val="clear" w:color="000000" w:fill="FFFFFF"/>
            <w:noWrap/>
            <w:vAlign w:val="center"/>
            <w:hideMark/>
          </w:tcPr>
          <w:p w14:paraId="6560EBFF"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15.6</w:t>
            </w:r>
          </w:p>
        </w:tc>
        <w:tc>
          <w:tcPr>
            <w:tcW w:w="844" w:type="dxa"/>
            <w:tcBorders>
              <w:top w:val="nil"/>
              <w:left w:val="nil"/>
              <w:bottom w:val="nil"/>
              <w:right w:val="nil"/>
            </w:tcBorders>
            <w:shd w:val="clear" w:color="000000" w:fill="FFFFFF"/>
            <w:noWrap/>
            <w:vAlign w:val="center"/>
            <w:hideMark/>
          </w:tcPr>
          <w:p w14:paraId="524A7013"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16.2</w:t>
            </w:r>
          </w:p>
        </w:tc>
        <w:tc>
          <w:tcPr>
            <w:tcW w:w="845" w:type="dxa"/>
            <w:tcBorders>
              <w:top w:val="nil"/>
              <w:left w:val="nil"/>
              <w:bottom w:val="nil"/>
              <w:right w:val="nil"/>
            </w:tcBorders>
            <w:shd w:val="clear" w:color="000000" w:fill="FFFFFF"/>
            <w:noWrap/>
            <w:vAlign w:val="center"/>
            <w:hideMark/>
          </w:tcPr>
          <w:p w14:paraId="0CBA6BF6"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28.2</w:t>
            </w:r>
          </w:p>
        </w:tc>
        <w:tc>
          <w:tcPr>
            <w:tcW w:w="844" w:type="dxa"/>
            <w:tcBorders>
              <w:top w:val="nil"/>
              <w:left w:val="nil"/>
              <w:bottom w:val="nil"/>
              <w:right w:val="nil"/>
            </w:tcBorders>
            <w:shd w:val="clear" w:color="000000" w:fill="FFFFFF"/>
            <w:noWrap/>
            <w:vAlign w:val="center"/>
            <w:hideMark/>
          </w:tcPr>
          <w:p w14:paraId="66CC74C9"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18.8</w:t>
            </w:r>
          </w:p>
        </w:tc>
        <w:tc>
          <w:tcPr>
            <w:tcW w:w="844" w:type="dxa"/>
            <w:tcBorders>
              <w:top w:val="nil"/>
              <w:left w:val="nil"/>
              <w:bottom w:val="nil"/>
              <w:right w:val="nil"/>
            </w:tcBorders>
            <w:shd w:val="clear" w:color="000000" w:fill="FFFFFF"/>
            <w:noWrap/>
            <w:vAlign w:val="center"/>
            <w:hideMark/>
          </w:tcPr>
          <w:p w14:paraId="4CA93A9B"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20.1</w:t>
            </w:r>
          </w:p>
        </w:tc>
        <w:tc>
          <w:tcPr>
            <w:tcW w:w="845" w:type="dxa"/>
            <w:tcBorders>
              <w:top w:val="nil"/>
              <w:left w:val="nil"/>
              <w:bottom w:val="nil"/>
              <w:right w:val="nil"/>
            </w:tcBorders>
            <w:shd w:val="clear" w:color="000000" w:fill="FFFFFF"/>
            <w:noWrap/>
            <w:vAlign w:val="center"/>
            <w:hideMark/>
          </w:tcPr>
          <w:p w14:paraId="133A2241"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35.7</w:t>
            </w:r>
          </w:p>
        </w:tc>
      </w:tr>
      <w:tr w:rsidR="0068530C" w:rsidRPr="0068530C" w14:paraId="05A5FC83" w14:textId="77777777" w:rsidTr="00C359DF">
        <w:trPr>
          <w:trHeight w:val="236"/>
        </w:trPr>
        <w:tc>
          <w:tcPr>
            <w:tcW w:w="5093" w:type="dxa"/>
            <w:tcBorders>
              <w:top w:val="nil"/>
              <w:left w:val="nil"/>
              <w:bottom w:val="nil"/>
              <w:right w:val="nil"/>
            </w:tcBorders>
            <w:shd w:val="clear" w:color="000000" w:fill="FFFFFF"/>
            <w:noWrap/>
            <w:vAlign w:val="bottom"/>
            <w:hideMark/>
          </w:tcPr>
          <w:p w14:paraId="2AB30C66" w14:textId="77777777" w:rsidR="0068530C" w:rsidRPr="0068530C" w:rsidRDefault="0068530C" w:rsidP="00194A44">
            <w:pPr>
              <w:ind w:right="162" w:firstLineChars="200" w:firstLine="360"/>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Carencia por acceso a la seguridad social</w:t>
            </w:r>
          </w:p>
        </w:tc>
        <w:tc>
          <w:tcPr>
            <w:tcW w:w="844" w:type="dxa"/>
            <w:tcBorders>
              <w:top w:val="nil"/>
              <w:left w:val="nil"/>
              <w:bottom w:val="nil"/>
              <w:right w:val="nil"/>
            </w:tcBorders>
            <w:shd w:val="clear" w:color="000000" w:fill="FFFFFF"/>
            <w:noWrap/>
            <w:vAlign w:val="center"/>
            <w:hideMark/>
          </w:tcPr>
          <w:p w14:paraId="31EF5FCD"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54.1</w:t>
            </w:r>
          </w:p>
        </w:tc>
        <w:tc>
          <w:tcPr>
            <w:tcW w:w="844" w:type="dxa"/>
            <w:tcBorders>
              <w:top w:val="nil"/>
              <w:left w:val="nil"/>
              <w:bottom w:val="nil"/>
              <w:right w:val="nil"/>
            </w:tcBorders>
            <w:shd w:val="clear" w:color="000000" w:fill="FFFFFF"/>
            <w:noWrap/>
            <w:vAlign w:val="center"/>
            <w:hideMark/>
          </w:tcPr>
          <w:p w14:paraId="473AFE89"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53.5</w:t>
            </w:r>
          </w:p>
        </w:tc>
        <w:tc>
          <w:tcPr>
            <w:tcW w:w="845" w:type="dxa"/>
            <w:tcBorders>
              <w:top w:val="nil"/>
              <w:left w:val="nil"/>
              <w:bottom w:val="nil"/>
              <w:right w:val="nil"/>
            </w:tcBorders>
            <w:shd w:val="clear" w:color="000000" w:fill="FFFFFF"/>
            <w:noWrap/>
            <w:vAlign w:val="center"/>
            <w:hideMark/>
          </w:tcPr>
          <w:p w14:paraId="3D43970D"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52.0</w:t>
            </w:r>
          </w:p>
        </w:tc>
        <w:tc>
          <w:tcPr>
            <w:tcW w:w="844" w:type="dxa"/>
            <w:tcBorders>
              <w:top w:val="nil"/>
              <w:left w:val="nil"/>
              <w:bottom w:val="nil"/>
              <w:right w:val="nil"/>
            </w:tcBorders>
            <w:shd w:val="clear" w:color="000000" w:fill="FFFFFF"/>
            <w:noWrap/>
            <w:vAlign w:val="center"/>
            <w:hideMark/>
          </w:tcPr>
          <w:p w14:paraId="650699EC"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65.4</w:t>
            </w:r>
          </w:p>
        </w:tc>
        <w:tc>
          <w:tcPr>
            <w:tcW w:w="844" w:type="dxa"/>
            <w:tcBorders>
              <w:top w:val="nil"/>
              <w:left w:val="nil"/>
              <w:bottom w:val="nil"/>
              <w:right w:val="nil"/>
            </w:tcBorders>
            <w:shd w:val="clear" w:color="000000" w:fill="FFFFFF"/>
            <w:noWrap/>
            <w:vAlign w:val="center"/>
            <w:hideMark/>
          </w:tcPr>
          <w:p w14:paraId="494BE885"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66.2</w:t>
            </w:r>
          </w:p>
        </w:tc>
        <w:tc>
          <w:tcPr>
            <w:tcW w:w="845" w:type="dxa"/>
            <w:tcBorders>
              <w:top w:val="nil"/>
              <w:left w:val="nil"/>
              <w:bottom w:val="nil"/>
              <w:right w:val="nil"/>
            </w:tcBorders>
            <w:shd w:val="clear" w:color="000000" w:fill="FFFFFF"/>
            <w:noWrap/>
            <w:vAlign w:val="center"/>
            <w:hideMark/>
          </w:tcPr>
          <w:p w14:paraId="002424D7"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66.0</w:t>
            </w:r>
          </w:p>
        </w:tc>
      </w:tr>
      <w:tr w:rsidR="0068530C" w:rsidRPr="0068530C" w14:paraId="322B6252" w14:textId="77777777" w:rsidTr="00C359DF">
        <w:trPr>
          <w:trHeight w:val="236"/>
        </w:trPr>
        <w:tc>
          <w:tcPr>
            <w:tcW w:w="5093" w:type="dxa"/>
            <w:tcBorders>
              <w:top w:val="nil"/>
              <w:left w:val="nil"/>
              <w:bottom w:val="nil"/>
              <w:right w:val="nil"/>
            </w:tcBorders>
            <w:shd w:val="clear" w:color="000000" w:fill="FFFFFF"/>
            <w:noWrap/>
            <w:vAlign w:val="bottom"/>
            <w:hideMark/>
          </w:tcPr>
          <w:p w14:paraId="4BD4EE1B" w14:textId="77777777" w:rsidR="0068530C" w:rsidRPr="0068530C" w:rsidRDefault="0068530C" w:rsidP="00194A44">
            <w:pPr>
              <w:ind w:right="162" w:firstLineChars="200" w:firstLine="360"/>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Carencia por calidad y espacios de la vivienda</w:t>
            </w:r>
          </w:p>
        </w:tc>
        <w:tc>
          <w:tcPr>
            <w:tcW w:w="844" w:type="dxa"/>
            <w:tcBorders>
              <w:top w:val="nil"/>
              <w:left w:val="nil"/>
              <w:bottom w:val="nil"/>
              <w:right w:val="nil"/>
            </w:tcBorders>
            <w:shd w:val="clear" w:color="000000" w:fill="FFFFFF"/>
            <w:noWrap/>
            <w:vAlign w:val="center"/>
            <w:hideMark/>
          </w:tcPr>
          <w:p w14:paraId="42BF52B8"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12.0</w:t>
            </w:r>
          </w:p>
        </w:tc>
        <w:tc>
          <w:tcPr>
            <w:tcW w:w="844" w:type="dxa"/>
            <w:tcBorders>
              <w:top w:val="nil"/>
              <w:left w:val="nil"/>
              <w:bottom w:val="nil"/>
              <w:right w:val="nil"/>
            </w:tcBorders>
            <w:shd w:val="clear" w:color="000000" w:fill="FFFFFF"/>
            <w:noWrap/>
            <w:vAlign w:val="center"/>
            <w:hideMark/>
          </w:tcPr>
          <w:p w14:paraId="40D5266C"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11.0</w:t>
            </w:r>
          </w:p>
        </w:tc>
        <w:tc>
          <w:tcPr>
            <w:tcW w:w="845" w:type="dxa"/>
            <w:tcBorders>
              <w:top w:val="nil"/>
              <w:left w:val="nil"/>
              <w:bottom w:val="nil"/>
              <w:right w:val="nil"/>
            </w:tcBorders>
            <w:shd w:val="clear" w:color="000000" w:fill="FFFFFF"/>
            <w:noWrap/>
            <w:vAlign w:val="center"/>
            <w:hideMark/>
          </w:tcPr>
          <w:p w14:paraId="4C2FE54F"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9.3</w:t>
            </w:r>
          </w:p>
        </w:tc>
        <w:tc>
          <w:tcPr>
            <w:tcW w:w="844" w:type="dxa"/>
            <w:tcBorders>
              <w:top w:val="nil"/>
              <w:left w:val="nil"/>
              <w:bottom w:val="nil"/>
              <w:right w:val="nil"/>
            </w:tcBorders>
            <w:shd w:val="clear" w:color="000000" w:fill="FFFFFF"/>
            <w:noWrap/>
            <w:vAlign w:val="center"/>
            <w:hideMark/>
          </w:tcPr>
          <w:p w14:paraId="647CED00"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14.5</w:t>
            </w:r>
          </w:p>
        </w:tc>
        <w:tc>
          <w:tcPr>
            <w:tcW w:w="844" w:type="dxa"/>
            <w:tcBorders>
              <w:top w:val="nil"/>
              <w:left w:val="nil"/>
              <w:bottom w:val="nil"/>
              <w:right w:val="nil"/>
            </w:tcBorders>
            <w:shd w:val="clear" w:color="000000" w:fill="FFFFFF"/>
            <w:noWrap/>
            <w:vAlign w:val="center"/>
            <w:hideMark/>
          </w:tcPr>
          <w:p w14:paraId="279D0905"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13.6</w:t>
            </w:r>
          </w:p>
        </w:tc>
        <w:tc>
          <w:tcPr>
            <w:tcW w:w="845" w:type="dxa"/>
            <w:tcBorders>
              <w:top w:val="nil"/>
              <w:left w:val="nil"/>
              <w:bottom w:val="nil"/>
              <w:right w:val="nil"/>
            </w:tcBorders>
            <w:shd w:val="clear" w:color="000000" w:fill="FFFFFF"/>
            <w:noWrap/>
            <w:vAlign w:val="center"/>
            <w:hideMark/>
          </w:tcPr>
          <w:p w14:paraId="4E6FCD7F"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11.8</w:t>
            </w:r>
          </w:p>
        </w:tc>
      </w:tr>
      <w:tr w:rsidR="0068530C" w:rsidRPr="0068530C" w14:paraId="4A8BE3D6" w14:textId="77777777" w:rsidTr="00C359DF">
        <w:trPr>
          <w:trHeight w:val="236"/>
        </w:trPr>
        <w:tc>
          <w:tcPr>
            <w:tcW w:w="5093" w:type="dxa"/>
            <w:tcBorders>
              <w:top w:val="nil"/>
              <w:left w:val="nil"/>
              <w:bottom w:val="nil"/>
              <w:right w:val="nil"/>
            </w:tcBorders>
            <w:shd w:val="clear" w:color="000000" w:fill="FFFFFF"/>
            <w:noWrap/>
            <w:vAlign w:val="bottom"/>
            <w:hideMark/>
          </w:tcPr>
          <w:p w14:paraId="4567ADD1" w14:textId="77777777" w:rsidR="0068530C" w:rsidRPr="0068530C" w:rsidRDefault="0068530C" w:rsidP="00194A44">
            <w:pPr>
              <w:ind w:right="162" w:firstLineChars="200" w:firstLine="360"/>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Carencia por acceso a los servicios básicos en la vivienda</w:t>
            </w:r>
          </w:p>
        </w:tc>
        <w:tc>
          <w:tcPr>
            <w:tcW w:w="844" w:type="dxa"/>
            <w:tcBorders>
              <w:top w:val="nil"/>
              <w:left w:val="nil"/>
              <w:bottom w:val="nil"/>
              <w:right w:val="nil"/>
            </w:tcBorders>
            <w:shd w:val="clear" w:color="000000" w:fill="FFFFFF"/>
            <w:noWrap/>
            <w:vAlign w:val="center"/>
            <w:hideMark/>
          </w:tcPr>
          <w:p w14:paraId="35841673"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19.2</w:t>
            </w:r>
          </w:p>
        </w:tc>
        <w:tc>
          <w:tcPr>
            <w:tcW w:w="844" w:type="dxa"/>
            <w:tcBorders>
              <w:top w:val="nil"/>
              <w:left w:val="nil"/>
              <w:bottom w:val="nil"/>
              <w:right w:val="nil"/>
            </w:tcBorders>
            <w:shd w:val="clear" w:color="000000" w:fill="FFFFFF"/>
            <w:noWrap/>
            <w:vAlign w:val="center"/>
            <w:hideMark/>
          </w:tcPr>
          <w:p w14:paraId="275E065B"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19.6</w:t>
            </w:r>
          </w:p>
        </w:tc>
        <w:tc>
          <w:tcPr>
            <w:tcW w:w="845" w:type="dxa"/>
            <w:tcBorders>
              <w:top w:val="nil"/>
              <w:left w:val="nil"/>
              <w:bottom w:val="nil"/>
              <w:right w:val="nil"/>
            </w:tcBorders>
            <w:shd w:val="clear" w:color="000000" w:fill="FFFFFF"/>
            <w:noWrap/>
            <w:vAlign w:val="center"/>
            <w:hideMark/>
          </w:tcPr>
          <w:p w14:paraId="5D269CF6"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17.9</w:t>
            </w:r>
          </w:p>
        </w:tc>
        <w:tc>
          <w:tcPr>
            <w:tcW w:w="844" w:type="dxa"/>
            <w:tcBorders>
              <w:top w:val="nil"/>
              <w:left w:val="nil"/>
              <w:bottom w:val="nil"/>
              <w:right w:val="nil"/>
            </w:tcBorders>
            <w:shd w:val="clear" w:color="000000" w:fill="FFFFFF"/>
            <w:noWrap/>
            <w:vAlign w:val="center"/>
            <w:hideMark/>
          </w:tcPr>
          <w:p w14:paraId="2D606348"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23.1</w:t>
            </w:r>
          </w:p>
        </w:tc>
        <w:tc>
          <w:tcPr>
            <w:tcW w:w="844" w:type="dxa"/>
            <w:tcBorders>
              <w:top w:val="nil"/>
              <w:left w:val="nil"/>
              <w:bottom w:val="nil"/>
              <w:right w:val="nil"/>
            </w:tcBorders>
            <w:shd w:val="clear" w:color="000000" w:fill="FFFFFF"/>
            <w:noWrap/>
            <w:vAlign w:val="center"/>
            <w:hideMark/>
          </w:tcPr>
          <w:p w14:paraId="65CD99CB"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24.3</w:t>
            </w:r>
          </w:p>
        </w:tc>
        <w:tc>
          <w:tcPr>
            <w:tcW w:w="845" w:type="dxa"/>
            <w:tcBorders>
              <w:top w:val="nil"/>
              <w:left w:val="nil"/>
              <w:bottom w:val="nil"/>
              <w:right w:val="nil"/>
            </w:tcBorders>
            <w:shd w:val="clear" w:color="000000" w:fill="FFFFFF"/>
            <w:noWrap/>
            <w:vAlign w:val="center"/>
            <w:hideMark/>
          </w:tcPr>
          <w:p w14:paraId="1B91FC61"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22.7</w:t>
            </w:r>
          </w:p>
        </w:tc>
      </w:tr>
      <w:tr w:rsidR="0068530C" w:rsidRPr="0068530C" w14:paraId="6DB09D3B" w14:textId="77777777" w:rsidTr="00C359DF">
        <w:trPr>
          <w:trHeight w:val="236"/>
        </w:trPr>
        <w:tc>
          <w:tcPr>
            <w:tcW w:w="5093" w:type="dxa"/>
            <w:tcBorders>
              <w:top w:val="nil"/>
              <w:left w:val="nil"/>
              <w:bottom w:val="nil"/>
              <w:right w:val="nil"/>
            </w:tcBorders>
            <w:shd w:val="clear" w:color="000000" w:fill="FFFFFF"/>
            <w:noWrap/>
            <w:vAlign w:val="bottom"/>
            <w:hideMark/>
          </w:tcPr>
          <w:p w14:paraId="73B07755" w14:textId="77777777" w:rsidR="0068530C" w:rsidRPr="0068530C" w:rsidRDefault="0068530C" w:rsidP="00194A44">
            <w:pPr>
              <w:ind w:right="162" w:firstLineChars="200" w:firstLine="360"/>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Carencia por acceso a la alimentación nutritiva y de calidad</w:t>
            </w:r>
          </w:p>
        </w:tc>
        <w:tc>
          <w:tcPr>
            <w:tcW w:w="844" w:type="dxa"/>
            <w:tcBorders>
              <w:top w:val="nil"/>
              <w:left w:val="nil"/>
              <w:bottom w:val="nil"/>
              <w:right w:val="nil"/>
            </w:tcBorders>
            <w:shd w:val="clear" w:color="000000" w:fill="FFFFFF"/>
            <w:noWrap/>
            <w:vAlign w:val="center"/>
            <w:hideMark/>
          </w:tcPr>
          <w:p w14:paraId="53DEFBFA"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21.9</w:t>
            </w:r>
          </w:p>
        </w:tc>
        <w:tc>
          <w:tcPr>
            <w:tcW w:w="844" w:type="dxa"/>
            <w:tcBorders>
              <w:top w:val="nil"/>
              <w:left w:val="nil"/>
              <w:bottom w:val="nil"/>
              <w:right w:val="nil"/>
            </w:tcBorders>
            <w:shd w:val="clear" w:color="000000" w:fill="FFFFFF"/>
            <w:noWrap/>
            <w:vAlign w:val="center"/>
            <w:hideMark/>
          </w:tcPr>
          <w:p w14:paraId="2C7588A7"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22.2</w:t>
            </w:r>
          </w:p>
        </w:tc>
        <w:tc>
          <w:tcPr>
            <w:tcW w:w="845" w:type="dxa"/>
            <w:tcBorders>
              <w:top w:val="nil"/>
              <w:left w:val="nil"/>
              <w:bottom w:val="nil"/>
              <w:right w:val="nil"/>
            </w:tcBorders>
            <w:shd w:val="clear" w:color="000000" w:fill="FFFFFF"/>
            <w:noWrap/>
            <w:vAlign w:val="center"/>
            <w:hideMark/>
          </w:tcPr>
          <w:p w14:paraId="3408388C"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22.5</w:t>
            </w:r>
          </w:p>
        </w:tc>
        <w:tc>
          <w:tcPr>
            <w:tcW w:w="844" w:type="dxa"/>
            <w:tcBorders>
              <w:top w:val="nil"/>
              <w:left w:val="nil"/>
              <w:bottom w:val="nil"/>
              <w:right w:val="nil"/>
            </w:tcBorders>
            <w:shd w:val="clear" w:color="000000" w:fill="FFFFFF"/>
            <w:noWrap/>
            <w:vAlign w:val="center"/>
            <w:hideMark/>
          </w:tcPr>
          <w:p w14:paraId="3A6E3072"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26.5</w:t>
            </w:r>
          </w:p>
        </w:tc>
        <w:tc>
          <w:tcPr>
            <w:tcW w:w="844" w:type="dxa"/>
            <w:tcBorders>
              <w:top w:val="nil"/>
              <w:left w:val="nil"/>
              <w:bottom w:val="nil"/>
              <w:right w:val="nil"/>
            </w:tcBorders>
            <w:shd w:val="clear" w:color="000000" w:fill="FFFFFF"/>
            <w:noWrap/>
            <w:vAlign w:val="center"/>
            <w:hideMark/>
          </w:tcPr>
          <w:p w14:paraId="30455A3C"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27.5</w:t>
            </w:r>
          </w:p>
        </w:tc>
        <w:tc>
          <w:tcPr>
            <w:tcW w:w="845" w:type="dxa"/>
            <w:tcBorders>
              <w:top w:val="nil"/>
              <w:left w:val="nil"/>
              <w:bottom w:val="nil"/>
              <w:right w:val="nil"/>
            </w:tcBorders>
            <w:shd w:val="clear" w:color="000000" w:fill="FFFFFF"/>
            <w:noWrap/>
            <w:vAlign w:val="center"/>
            <w:hideMark/>
          </w:tcPr>
          <w:p w14:paraId="6FA37AF3"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28.6</w:t>
            </w:r>
          </w:p>
        </w:tc>
      </w:tr>
      <w:tr w:rsidR="0068530C" w:rsidRPr="0068530C" w14:paraId="56DDDE16" w14:textId="77777777" w:rsidTr="00C359DF">
        <w:trPr>
          <w:trHeight w:val="236"/>
        </w:trPr>
        <w:tc>
          <w:tcPr>
            <w:tcW w:w="5093" w:type="dxa"/>
            <w:tcBorders>
              <w:top w:val="nil"/>
              <w:left w:val="nil"/>
              <w:bottom w:val="nil"/>
              <w:right w:val="nil"/>
            </w:tcBorders>
            <w:shd w:val="clear" w:color="000000" w:fill="FFFFFF"/>
            <w:noWrap/>
            <w:vAlign w:val="bottom"/>
            <w:hideMark/>
          </w:tcPr>
          <w:p w14:paraId="2B8CE270" w14:textId="77777777" w:rsidR="0068530C" w:rsidRPr="0068530C" w:rsidRDefault="0068530C" w:rsidP="00194A44">
            <w:pPr>
              <w:ind w:right="162"/>
              <w:rPr>
                <w:rFonts w:ascii="Century Gothic" w:eastAsia="Times New Roman" w:hAnsi="Century Gothic" w:cs="Arial"/>
                <w:b/>
                <w:bCs/>
                <w:sz w:val="18"/>
                <w:szCs w:val="18"/>
                <w:lang w:eastAsia="es-MX"/>
              </w:rPr>
            </w:pPr>
            <w:r w:rsidRPr="0068530C">
              <w:rPr>
                <w:rFonts w:ascii="Century Gothic" w:eastAsia="Times New Roman" w:hAnsi="Century Gothic" w:cs="Arial"/>
                <w:b/>
                <w:bCs/>
                <w:sz w:val="18"/>
                <w:szCs w:val="18"/>
                <w:lang w:eastAsia="es-MX"/>
              </w:rPr>
              <w:t>Bienestar económico</w:t>
            </w:r>
          </w:p>
        </w:tc>
        <w:tc>
          <w:tcPr>
            <w:tcW w:w="844" w:type="dxa"/>
            <w:tcBorders>
              <w:top w:val="nil"/>
              <w:left w:val="nil"/>
              <w:bottom w:val="nil"/>
              <w:right w:val="nil"/>
            </w:tcBorders>
            <w:shd w:val="clear" w:color="000000" w:fill="FFFFFF"/>
            <w:noWrap/>
            <w:vAlign w:val="center"/>
            <w:hideMark/>
          </w:tcPr>
          <w:p w14:paraId="56D79BDB"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 </w:t>
            </w:r>
          </w:p>
        </w:tc>
        <w:tc>
          <w:tcPr>
            <w:tcW w:w="844" w:type="dxa"/>
            <w:tcBorders>
              <w:top w:val="nil"/>
              <w:left w:val="nil"/>
              <w:bottom w:val="nil"/>
              <w:right w:val="nil"/>
            </w:tcBorders>
            <w:shd w:val="clear" w:color="000000" w:fill="FFFFFF"/>
            <w:noWrap/>
            <w:vAlign w:val="center"/>
            <w:hideMark/>
          </w:tcPr>
          <w:p w14:paraId="2883111A"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 </w:t>
            </w:r>
          </w:p>
        </w:tc>
        <w:tc>
          <w:tcPr>
            <w:tcW w:w="845" w:type="dxa"/>
            <w:tcBorders>
              <w:top w:val="nil"/>
              <w:left w:val="nil"/>
              <w:bottom w:val="nil"/>
              <w:right w:val="nil"/>
            </w:tcBorders>
            <w:shd w:val="clear" w:color="000000" w:fill="FFFFFF"/>
            <w:noWrap/>
            <w:vAlign w:val="center"/>
            <w:hideMark/>
          </w:tcPr>
          <w:p w14:paraId="4733E58A"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 </w:t>
            </w:r>
          </w:p>
        </w:tc>
        <w:tc>
          <w:tcPr>
            <w:tcW w:w="844" w:type="dxa"/>
            <w:tcBorders>
              <w:top w:val="nil"/>
              <w:left w:val="nil"/>
              <w:bottom w:val="nil"/>
              <w:right w:val="nil"/>
            </w:tcBorders>
            <w:shd w:val="clear" w:color="000000" w:fill="FFFFFF"/>
            <w:noWrap/>
            <w:vAlign w:val="center"/>
            <w:hideMark/>
          </w:tcPr>
          <w:p w14:paraId="2CF9C9D5"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 </w:t>
            </w:r>
          </w:p>
        </w:tc>
        <w:tc>
          <w:tcPr>
            <w:tcW w:w="844" w:type="dxa"/>
            <w:tcBorders>
              <w:top w:val="nil"/>
              <w:left w:val="nil"/>
              <w:bottom w:val="nil"/>
              <w:right w:val="nil"/>
            </w:tcBorders>
            <w:shd w:val="clear" w:color="000000" w:fill="FFFFFF"/>
            <w:noWrap/>
            <w:vAlign w:val="center"/>
            <w:hideMark/>
          </w:tcPr>
          <w:p w14:paraId="05C0BD09"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 </w:t>
            </w:r>
          </w:p>
        </w:tc>
        <w:tc>
          <w:tcPr>
            <w:tcW w:w="845" w:type="dxa"/>
            <w:tcBorders>
              <w:top w:val="nil"/>
              <w:left w:val="nil"/>
              <w:bottom w:val="nil"/>
              <w:right w:val="nil"/>
            </w:tcBorders>
            <w:shd w:val="clear" w:color="000000" w:fill="FFFFFF"/>
            <w:noWrap/>
            <w:vAlign w:val="center"/>
            <w:hideMark/>
          </w:tcPr>
          <w:p w14:paraId="4E20AEC7"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 </w:t>
            </w:r>
          </w:p>
        </w:tc>
      </w:tr>
      <w:tr w:rsidR="0068530C" w:rsidRPr="0068530C" w14:paraId="486AB53E" w14:textId="77777777" w:rsidTr="00C359DF">
        <w:trPr>
          <w:trHeight w:val="278"/>
        </w:trPr>
        <w:tc>
          <w:tcPr>
            <w:tcW w:w="5093" w:type="dxa"/>
            <w:tcBorders>
              <w:top w:val="nil"/>
              <w:left w:val="nil"/>
              <w:bottom w:val="nil"/>
              <w:right w:val="nil"/>
            </w:tcBorders>
            <w:shd w:val="clear" w:color="000000" w:fill="FFFFFF"/>
            <w:vAlign w:val="center"/>
            <w:hideMark/>
          </w:tcPr>
          <w:p w14:paraId="189DCB02" w14:textId="77777777" w:rsidR="0068530C" w:rsidRPr="0068530C" w:rsidRDefault="0068530C" w:rsidP="00013F6E">
            <w:pPr>
              <w:ind w:right="162" w:firstLineChars="200" w:firstLine="360"/>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Población con ingreso inferior a la línea de pobreza extrema por ingresos</w:t>
            </w:r>
          </w:p>
        </w:tc>
        <w:tc>
          <w:tcPr>
            <w:tcW w:w="844" w:type="dxa"/>
            <w:tcBorders>
              <w:top w:val="nil"/>
              <w:left w:val="nil"/>
              <w:bottom w:val="nil"/>
              <w:right w:val="nil"/>
            </w:tcBorders>
            <w:shd w:val="clear" w:color="000000" w:fill="FFFFFF"/>
            <w:noWrap/>
            <w:vAlign w:val="center"/>
            <w:hideMark/>
          </w:tcPr>
          <w:p w14:paraId="7881DD78"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14.9</w:t>
            </w:r>
          </w:p>
        </w:tc>
        <w:tc>
          <w:tcPr>
            <w:tcW w:w="844" w:type="dxa"/>
            <w:tcBorders>
              <w:top w:val="nil"/>
              <w:left w:val="nil"/>
              <w:bottom w:val="nil"/>
              <w:right w:val="nil"/>
            </w:tcBorders>
            <w:shd w:val="clear" w:color="000000" w:fill="FFFFFF"/>
            <w:noWrap/>
            <w:vAlign w:val="center"/>
            <w:hideMark/>
          </w:tcPr>
          <w:p w14:paraId="291A4B51"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14.0</w:t>
            </w:r>
          </w:p>
        </w:tc>
        <w:tc>
          <w:tcPr>
            <w:tcW w:w="845" w:type="dxa"/>
            <w:tcBorders>
              <w:top w:val="nil"/>
              <w:left w:val="nil"/>
              <w:bottom w:val="nil"/>
              <w:right w:val="nil"/>
            </w:tcBorders>
            <w:shd w:val="clear" w:color="000000" w:fill="FFFFFF"/>
            <w:noWrap/>
            <w:vAlign w:val="center"/>
            <w:hideMark/>
          </w:tcPr>
          <w:p w14:paraId="70C82CAD"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17.2</w:t>
            </w:r>
          </w:p>
        </w:tc>
        <w:tc>
          <w:tcPr>
            <w:tcW w:w="844" w:type="dxa"/>
            <w:tcBorders>
              <w:top w:val="nil"/>
              <w:left w:val="nil"/>
              <w:bottom w:val="nil"/>
              <w:right w:val="nil"/>
            </w:tcBorders>
            <w:shd w:val="clear" w:color="000000" w:fill="FFFFFF"/>
            <w:noWrap/>
            <w:vAlign w:val="center"/>
            <w:hideMark/>
          </w:tcPr>
          <w:p w14:paraId="4A66E946"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18.0</w:t>
            </w:r>
          </w:p>
        </w:tc>
        <w:tc>
          <w:tcPr>
            <w:tcW w:w="844" w:type="dxa"/>
            <w:tcBorders>
              <w:top w:val="nil"/>
              <w:left w:val="nil"/>
              <w:bottom w:val="nil"/>
              <w:right w:val="nil"/>
            </w:tcBorders>
            <w:shd w:val="clear" w:color="000000" w:fill="FFFFFF"/>
            <w:noWrap/>
            <w:vAlign w:val="center"/>
            <w:hideMark/>
          </w:tcPr>
          <w:p w14:paraId="69100927"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17.3</w:t>
            </w:r>
          </w:p>
        </w:tc>
        <w:tc>
          <w:tcPr>
            <w:tcW w:w="845" w:type="dxa"/>
            <w:tcBorders>
              <w:top w:val="nil"/>
              <w:left w:val="nil"/>
              <w:bottom w:val="nil"/>
              <w:right w:val="nil"/>
            </w:tcBorders>
            <w:shd w:val="clear" w:color="000000" w:fill="FFFFFF"/>
            <w:noWrap/>
            <w:vAlign w:val="center"/>
            <w:hideMark/>
          </w:tcPr>
          <w:p w14:paraId="273C1E7F"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21.9</w:t>
            </w:r>
          </w:p>
        </w:tc>
      </w:tr>
      <w:tr w:rsidR="0068530C" w:rsidRPr="0068530C" w14:paraId="23AD0E23" w14:textId="77777777" w:rsidTr="00C359DF">
        <w:trPr>
          <w:trHeight w:val="278"/>
        </w:trPr>
        <w:tc>
          <w:tcPr>
            <w:tcW w:w="5093" w:type="dxa"/>
            <w:tcBorders>
              <w:top w:val="nil"/>
              <w:left w:val="nil"/>
              <w:bottom w:val="single" w:sz="8" w:space="0" w:color="auto"/>
              <w:right w:val="nil"/>
            </w:tcBorders>
            <w:shd w:val="clear" w:color="000000" w:fill="FFFFFF"/>
            <w:vAlign w:val="center"/>
            <w:hideMark/>
          </w:tcPr>
          <w:p w14:paraId="40B7F3D3" w14:textId="77777777" w:rsidR="0068530C" w:rsidRPr="0068530C" w:rsidRDefault="0068530C" w:rsidP="00013F6E">
            <w:pPr>
              <w:ind w:right="162" w:firstLineChars="200" w:firstLine="360"/>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Población con ingreso inferior a la línea de pobreza por ingresos</w:t>
            </w:r>
          </w:p>
        </w:tc>
        <w:tc>
          <w:tcPr>
            <w:tcW w:w="844" w:type="dxa"/>
            <w:tcBorders>
              <w:top w:val="nil"/>
              <w:left w:val="nil"/>
              <w:bottom w:val="single" w:sz="8" w:space="0" w:color="auto"/>
              <w:right w:val="nil"/>
            </w:tcBorders>
            <w:shd w:val="clear" w:color="000000" w:fill="FFFFFF"/>
            <w:noWrap/>
            <w:vAlign w:val="center"/>
            <w:hideMark/>
          </w:tcPr>
          <w:p w14:paraId="6C11B97F"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50.8</w:t>
            </w:r>
          </w:p>
        </w:tc>
        <w:tc>
          <w:tcPr>
            <w:tcW w:w="844" w:type="dxa"/>
            <w:tcBorders>
              <w:top w:val="nil"/>
              <w:left w:val="nil"/>
              <w:bottom w:val="single" w:sz="8" w:space="0" w:color="auto"/>
              <w:right w:val="nil"/>
            </w:tcBorders>
            <w:shd w:val="clear" w:color="000000" w:fill="FFFFFF"/>
            <w:noWrap/>
            <w:vAlign w:val="center"/>
            <w:hideMark/>
          </w:tcPr>
          <w:p w14:paraId="7F0620CA"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49.9</w:t>
            </w:r>
          </w:p>
        </w:tc>
        <w:tc>
          <w:tcPr>
            <w:tcW w:w="845" w:type="dxa"/>
            <w:tcBorders>
              <w:top w:val="nil"/>
              <w:left w:val="nil"/>
              <w:bottom w:val="single" w:sz="8" w:space="0" w:color="auto"/>
              <w:right w:val="nil"/>
            </w:tcBorders>
            <w:shd w:val="clear" w:color="000000" w:fill="FFFFFF"/>
            <w:noWrap/>
            <w:vAlign w:val="center"/>
            <w:hideMark/>
          </w:tcPr>
          <w:p w14:paraId="2924D5B4"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52.8</w:t>
            </w:r>
          </w:p>
        </w:tc>
        <w:tc>
          <w:tcPr>
            <w:tcW w:w="844" w:type="dxa"/>
            <w:tcBorders>
              <w:top w:val="nil"/>
              <w:left w:val="nil"/>
              <w:bottom w:val="single" w:sz="8" w:space="0" w:color="auto"/>
              <w:right w:val="nil"/>
            </w:tcBorders>
            <w:shd w:val="clear" w:color="000000" w:fill="FFFFFF"/>
            <w:noWrap/>
            <w:vAlign w:val="center"/>
            <w:hideMark/>
          </w:tcPr>
          <w:p w14:paraId="052718A9"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61.3</w:t>
            </w:r>
          </w:p>
        </w:tc>
        <w:tc>
          <w:tcPr>
            <w:tcW w:w="844" w:type="dxa"/>
            <w:tcBorders>
              <w:top w:val="nil"/>
              <w:left w:val="nil"/>
              <w:bottom w:val="single" w:sz="8" w:space="0" w:color="auto"/>
              <w:right w:val="nil"/>
            </w:tcBorders>
            <w:shd w:val="clear" w:color="000000" w:fill="FFFFFF"/>
            <w:noWrap/>
            <w:vAlign w:val="center"/>
            <w:hideMark/>
          </w:tcPr>
          <w:p w14:paraId="47E9BCB2"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61.8</w:t>
            </w:r>
          </w:p>
        </w:tc>
        <w:tc>
          <w:tcPr>
            <w:tcW w:w="845" w:type="dxa"/>
            <w:tcBorders>
              <w:top w:val="nil"/>
              <w:left w:val="nil"/>
              <w:bottom w:val="single" w:sz="8" w:space="0" w:color="auto"/>
              <w:right w:val="nil"/>
            </w:tcBorders>
            <w:shd w:val="clear" w:color="000000" w:fill="FFFFFF"/>
            <w:noWrap/>
            <w:vAlign w:val="center"/>
            <w:hideMark/>
          </w:tcPr>
          <w:p w14:paraId="6CF8E66E" w14:textId="77777777" w:rsidR="0068530C" w:rsidRPr="0068530C" w:rsidRDefault="0068530C" w:rsidP="00194A44">
            <w:pPr>
              <w:jc w:val="right"/>
              <w:rPr>
                <w:rFonts w:ascii="Century Gothic" w:eastAsia="Times New Roman" w:hAnsi="Century Gothic" w:cs="Arial"/>
                <w:sz w:val="18"/>
                <w:szCs w:val="18"/>
                <w:lang w:eastAsia="es-MX"/>
              </w:rPr>
            </w:pPr>
            <w:r w:rsidRPr="0068530C">
              <w:rPr>
                <w:rFonts w:ascii="Century Gothic" w:eastAsia="Times New Roman" w:hAnsi="Century Gothic" w:cs="Arial"/>
                <w:sz w:val="18"/>
                <w:szCs w:val="18"/>
                <w:lang w:eastAsia="es-MX"/>
              </w:rPr>
              <w:t>66.9</w:t>
            </w:r>
          </w:p>
        </w:tc>
      </w:tr>
    </w:tbl>
    <w:p w14:paraId="41041813" w14:textId="77777777" w:rsidR="0068530C" w:rsidRPr="000B6C89" w:rsidRDefault="0068530C" w:rsidP="0068530C">
      <w:pPr>
        <w:ind w:left="-709"/>
        <w:jc w:val="both"/>
        <w:rPr>
          <w:rFonts w:ascii="Century Gothic" w:hAnsi="Century Gothic"/>
        </w:rPr>
      </w:pPr>
    </w:p>
    <w:p w14:paraId="537FB3F8" w14:textId="77777777" w:rsidR="00060E74" w:rsidRDefault="00060E74" w:rsidP="00C359DF">
      <w:pPr>
        <w:spacing w:line="276" w:lineRule="auto"/>
        <w:ind w:firstLine="709"/>
        <w:jc w:val="both"/>
        <w:rPr>
          <w:rFonts w:ascii="Century Gothic" w:hAnsi="Century Gothic"/>
        </w:rPr>
      </w:pPr>
    </w:p>
    <w:p w14:paraId="4D9CB476" w14:textId="77777777" w:rsidR="00060E74" w:rsidRDefault="00060E74" w:rsidP="00C359DF">
      <w:pPr>
        <w:spacing w:line="276" w:lineRule="auto"/>
        <w:ind w:firstLine="709"/>
        <w:jc w:val="both"/>
        <w:rPr>
          <w:rFonts w:ascii="Century Gothic" w:hAnsi="Century Gothic"/>
        </w:rPr>
      </w:pPr>
    </w:p>
    <w:p w14:paraId="5F893F15" w14:textId="65281439" w:rsidR="00C359DF" w:rsidRDefault="0068530C" w:rsidP="00C359DF">
      <w:pPr>
        <w:spacing w:line="276" w:lineRule="auto"/>
        <w:ind w:firstLine="709"/>
        <w:jc w:val="both"/>
        <w:rPr>
          <w:rFonts w:ascii="Century Gothic" w:hAnsi="Century Gothic"/>
        </w:rPr>
      </w:pPr>
      <w:r w:rsidRPr="00C359DF">
        <w:rPr>
          <w:rFonts w:ascii="Century Gothic" w:hAnsi="Century Gothic"/>
        </w:rPr>
        <w:t xml:space="preserve">Los registros en el orden municipal </w:t>
      </w:r>
      <w:r w:rsidR="000B5579" w:rsidRPr="00C359DF">
        <w:rPr>
          <w:rFonts w:ascii="Century Gothic" w:hAnsi="Century Gothic"/>
        </w:rPr>
        <w:t xml:space="preserve">retoman, entre otros insumos, los resultados de la Encuesta Nacional de Ingresos y Gastos de los Hogares 2020, por lo que </w:t>
      </w:r>
      <w:r w:rsidRPr="00C359DF">
        <w:rPr>
          <w:rFonts w:ascii="Century Gothic" w:hAnsi="Century Gothic"/>
        </w:rPr>
        <w:t xml:space="preserve">también reflejaron esa condición de aumento de población en condiciones de pobreza. El reporte de pobreza municipal en 2020 de CONEVAL incluye cifras de </w:t>
      </w:r>
      <w:r w:rsidR="000B5579" w:rsidRPr="00C359DF">
        <w:rPr>
          <w:rFonts w:ascii="Century Gothic" w:hAnsi="Century Gothic"/>
        </w:rPr>
        <w:t xml:space="preserve">más de </w:t>
      </w:r>
      <w:r w:rsidRPr="00C359DF">
        <w:rPr>
          <w:rFonts w:ascii="Century Gothic" w:hAnsi="Century Gothic"/>
        </w:rPr>
        <w:t>2,4</w:t>
      </w:r>
      <w:r w:rsidR="000B5579" w:rsidRPr="00C359DF">
        <w:rPr>
          <w:rFonts w:ascii="Century Gothic" w:hAnsi="Century Gothic"/>
        </w:rPr>
        <w:t>00</w:t>
      </w:r>
      <w:r w:rsidRPr="00C359DF">
        <w:rPr>
          <w:rFonts w:ascii="Century Gothic" w:hAnsi="Century Gothic"/>
        </w:rPr>
        <w:t xml:space="preserve"> municipios en el país. De este universo, en </w:t>
      </w:r>
      <w:r w:rsidR="000B5579" w:rsidRPr="00C359DF">
        <w:rPr>
          <w:rFonts w:ascii="Century Gothic" w:hAnsi="Century Gothic"/>
        </w:rPr>
        <w:t xml:space="preserve">más de </w:t>
      </w:r>
      <w:r w:rsidRPr="00C359DF">
        <w:rPr>
          <w:rFonts w:ascii="Century Gothic" w:hAnsi="Century Gothic"/>
        </w:rPr>
        <w:t>1,1</w:t>
      </w:r>
      <w:r w:rsidR="000B5579" w:rsidRPr="00C359DF">
        <w:rPr>
          <w:rFonts w:ascii="Century Gothic" w:hAnsi="Century Gothic"/>
        </w:rPr>
        <w:t>00</w:t>
      </w:r>
      <w:r w:rsidRPr="00C359DF">
        <w:rPr>
          <w:rFonts w:ascii="Century Gothic" w:hAnsi="Century Gothic"/>
        </w:rPr>
        <w:t xml:space="preserve"> municipios aumentó la población en condiciones de pobreza con porcentajes que llegaron a alcanzar un crecimiento incluso superior al 600%. </w:t>
      </w:r>
    </w:p>
    <w:p w14:paraId="2BA5925F" w14:textId="77777777" w:rsidR="00C359DF" w:rsidRDefault="00C359DF" w:rsidP="00C359DF">
      <w:pPr>
        <w:spacing w:line="276" w:lineRule="auto"/>
        <w:ind w:firstLine="709"/>
        <w:jc w:val="both"/>
        <w:rPr>
          <w:rFonts w:ascii="Century Gothic" w:hAnsi="Century Gothic"/>
        </w:rPr>
      </w:pPr>
    </w:p>
    <w:p w14:paraId="64D4B375" w14:textId="034AD214" w:rsidR="00C359DF" w:rsidRDefault="0068530C" w:rsidP="00C359DF">
      <w:pPr>
        <w:spacing w:line="276" w:lineRule="auto"/>
        <w:ind w:firstLine="709"/>
        <w:jc w:val="both"/>
        <w:rPr>
          <w:rFonts w:ascii="Century Gothic" w:hAnsi="Century Gothic"/>
        </w:rPr>
      </w:pPr>
      <w:r w:rsidRPr="00C359DF">
        <w:rPr>
          <w:rFonts w:ascii="Century Gothic" w:hAnsi="Century Gothic"/>
        </w:rPr>
        <w:t>Es decir, en más del 45</w:t>
      </w:r>
      <w:r w:rsidR="003971B1">
        <w:rPr>
          <w:rFonts w:ascii="Century Gothic" w:hAnsi="Century Gothic"/>
        </w:rPr>
        <w:t xml:space="preserve">% </w:t>
      </w:r>
      <w:r w:rsidRPr="00C359DF">
        <w:rPr>
          <w:rFonts w:ascii="Century Gothic" w:hAnsi="Century Gothic"/>
        </w:rPr>
        <w:t xml:space="preserve">de los municipios del país se registró un aumento de población en condiciones de pobreza. </w:t>
      </w:r>
    </w:p>
    <w:p w14:paraId="39163849" w14:textId="77777777" w:rsidR="00C359DF" w:rsidRDefault="00C359DF" w:rsidP="00C359DF">
      <w:pPr>
        <w:spacing w:line="276" w:lineRule="auto"/>
        <w:ind w:firstLine="709"/>
        <w:jc w:val="both"/>
        <w:rPr>
          <w:rFonts w:ascii="Century Gothic" w:hAnsi="Century Gothic"/>
        </w:rPr>
      </w:pPr>
    </w:p>
    <w:p w14:paraId="7B18EE88" w14:textId="4EF571A9" w:rsidR="0068530C" w:rsidRPr="00C359DF" w:rsidRDefault="0068530C" w:rsidP="00C359DF">
      <w:pPr>
        <w:spacing w:line="276" w:lineRule="auto"/>
        <w:ind w:firstLine="709"/>
        <w:jc w:val="both"/>
        <w:rPr>
          <w:rFonts w:ascii="Century Gothic" w:hAnsi="Century Gothic"/>
        </w:rPr>
      </w:pPr>
      <w:r w:rsidRPr="00C359DF">
        <w:rPr>
          <w:rFonts w:ascii="Century Gothic" w:hAnsi="Century Gothic"/>
        </w:rPr>
        <w:t xml:space="preserve">Estas cifras previamente señaladas exhiben una tendencia en el país que fue indicativa de la incidencia de la crisis sanitaria. Ha sido parte del análisis de la Comisión diversos trabajos académicos a fin de revisar las razones que explican el comportamiento de las cifras de pobreza en el país en el periodo de la crisis sanitaria y en el inmediato posterior a ésta. El Programa Universitario de Estudios del Desarrollo de la UNAM analizó los efectos de la pandemia COVID y la pobreza en México en 2020, utilizando los datos de las distintas rondas de la Encuesta de Ocupación y Empleo para modelar el cambio en el ingreso laboral durante el 2020. Las conclusiones son indicativas: </w:t>
      </w:r>
    </w:p>
    <w:p w14:paraId="751EF696" w14:textId="77777777" w:rsidR="000B5579" w:rsidRPr="000B6C89" w:rsidRDefault="000B5579" w:rsidP="0068530C">
      <w:pPr>
        <w:spacing w:line="276" w:lineRule="auto"/>
        <w:jc w:val="both"/>
        <w:rPr>
          <w:rFonts w:ascii="Century Gothic" w:hAnsi="Century Gothic"/>
        </w:rPr>
      </w:pPr>
    </w:p>
    <w:p w14:paraId="0683C5C8" w14:textId="77777777" w:rsidR="0068530C" w:rsidRPr="003971B1" w:rsidRDefault="0068530C" w:rsidP="003971B1">
      <w:pPr>
        <w:spacing w:line="276" w:lineRule="auto"/>
        <w:ind w:left="567" w:right="474"/>
        <w:jc w:val="both"/>
        <w:rPr>
          <w:rFonts w:ascii="Century Gothic" w:hAnsi="Century Gothic"/>
          <w:i/>
          <w:iCs/>
          <w:sz w:val="20"/>
          <w:szCs w:val="20"/>
        </w:rPr>
      </w:pPr>
      <w:r w:rsidRPr="003971B1">
        <w:rPr>
          <w:rFonts w:ascii="Century Gothic" w:hAnsi="Century Gothic"/>
          <w:i/>
          <w:iCs/>
          <w:sz w:val="20"/>
          <w:szCs w:val="20"/>
        </w:rPr>
        <w:t xml:space="preserve">“La estimación del efecto de la pandemia sobre la pobreza extrema por ingresos a nivel entidad muestra que, en prácticamente todos los estados hubo un aumento de la prevalencia de febrero al último trimestre de 2020. Resultó particularmente fuerte en la Ciudad de México, Estado de México, Tlaxcala, Morelos, Tabasco, Puebla y Guerrero… Los resultados muestran que en los meses de pandemia la prevalencia de la pobreza se ha elevado en todos los tipos de ocupación… La desagregación de los resultados por tamaño de localidad muestra que en los meses de crisis las áreas urbanas registraron los efectos negativos más importantes". </w:t>
      </w:r>
    </w:p>
    <w:p w14:paraId="1561BE6F" w14:textId="77777777" w:rsidR="000B5579" w:rsidRPr="000B6C89" w:rsidRDefault="000B5579" w:rsidP="0068530C">
      <w:pPr>
        <w:spacing w:line="276" w:lineRule="auto"/>
        <w:ind w:left="567"/>
        <w:jc w:val="both"/>
        <w:rPr>
          <w:rFonts w:ascii="Century Gothic" w:hAnsi="Century Gothic"/>
        </w:rPr>
      </w:pPr>
    </w:p>
    <w:p w14:paraId="08472C34" w14:textId="77777777" w:rsidR="0068530C" w:rsidRDefault="0068530C" w:rsidP="003971B1">
      <w:pPr>
        <w:spacing w:line="276" w:lineRule="auto"/>
        <w:ind w:firstLine="709"/>
        <w:jc w:val="both"/>
        <w:rPr>
          <w:rFonts w:ascii="Century Gothic" w:hAnsi="Century Gothic"/>
        </w:rPr>
      </w:pPr>
      <w:r w:rsidRPr="000B6C89">
        <w:rPr>
          <w:rFonts w:ascii="Century Gothic" w:hAnsi="Century Gothic"/>
        </w:rPr>
        <w:t>Revistas arbitradas como El Trimestre Económico publicaron, asimismo, artículos para analizar la Distribución del ingreso laboral y la pobreza en México durante la pandemia del COVID – 19, con concusiones que, asimismo, son indicativas:</w:t>
      </w:r>
    </w:p>
    <w:p w14:paraId="037B8466" w14:textId="77777777" w:rsidR="000B5579" w:rsidRPr="000B6C89" w:rsidRDefault="000B5579" w:rsidP="0068530C">
      <w:pPr>
        <w:spacing w:line="276" w:lineRule="auto"/>
        <w:jc w:val="both"/>
        <w:rPr>
          <w:rFonts w:ascii="Century Gothic" w:hAnsi="Century Gothic"/>
        </w:rPr>
      </w:pPr>
    </w:p>
    <w:p w14:paraId="2D777041" w14:textId="77777777" w:rsidR="0068530C" w:rsidRPr="003971B1" w:rsidRDefault="0068530C" w:rsidP="0068530C">
      <w:pPr>
        <w:spacing w:line="276" w:lineRule="auto"/>
        <w:ind w:left="567"/>
        <w:jc w:val="both"/>
        <w:rPr>
          <w:rFonts w:ascii="Century Gothic" w:hAnsi="Century Gothic"/>
          <w:i/>
          <w:iCs/>
          <w:sz w:val="20"/>
          <w:szCs w:val="20"/>
        </w:rPr>
      </w:pPr>
      <w:r w:rsidRPr="003971B1">
        <w:rPr>
          <w:rFonts w:ascii="Century Gothic" w:hAnsi="Century Gothic"/>
          <w:i/>
          <w:iCs/>
          <w:sz w:val="20"/>
          <w:szCs w:val="20"/>
        </w:rPr>
        <w:t xml:space="preserve">“La pandemia apareció en el contexto de un incipiente proceso de aumento en los salarios reales y en el empleo iniciado en 2019; nuestros resultados muestran que el freno en las actividades derivado de la emergencia sanitaria, tanto en México como en el mundo, provocó el aumento de la pobreza y la extrema pobreza, además del crecimiento de la desigualdad medida por el índice de Gini. En el análisis de tres de las ciudades con mayor peso económico en el país (Ciudad de México, Guadalajara y Monterrey) “los resultados de las simulaciones para los tres escenarios muestran cambios importantes en la distribución del ingreso; los aumentos de la desigualdad, </w:t>
      </w:r>
      <w:r w:rsidRPr="003971B1">
        <w:rPr>
          <w:rFonts w:ascii="Century Gothic" w:hAnsi="Century Gothic"/>
          <w:i/>
          <w:iCs/>
          <w:sz w:val="20"/>
          <w:szCs w:val="20"/>
        </w:rPr>
        <w:lastRenderedPageBreak/>
        <w:t>medida por índices de Gini, tienen un rango desde valores por debajo de 1% hasta valores de 9.7 puntos porcentuales”.</w:t>
      </w:r>
      <w:r w:rsidRPr="003971B1">
        <w:rPr>
          <w:sz w:val="16"/>
          <w:szCs w:val="16"/>
        </w:rPr>
        <w:footnoteReference w:id="1"/>
      </w:r>
    </w:p>
    <w:p w14:paraId="3D610F73" w14:textId="77777777" w:rsidR="000B5579" w:rsidRDefault="000B5579" w:rsidP="0068530C">
      <w:pPr>
        <w:spacing w:line="276" w:lineRule="auto"/>
        <w:jc w:val="both"/>
        <w:rPr>
          <w:rFonts w:ascii="Century Gothic" w:hAnsi="Century Gothic"/>
        </w:rPr>
      </w:pPr>
    </w:p>
    <w:p w14:paraId="38CD4B61" w14:textId="77777777" w:rsidR="003971B1" w:rsidRDefault="0068530C" w:rsidP="003971B1">
      <w:pPr>
        <w:spacing w:line="276" w:lineRule="auto"/>
        <w:ind w:firstLine="709"/>
        <w:jc w:val="both"/>
        <w:rPr>
          <w:rFonts w:ascii="Century Gothic" w:hAnsi="Century Gothic"/>
        </w:rPr>
      </w:pPr>
      <w:r w:rsidRPr="000B6C89">
        <w:rPr>
          <w:rFonts w:ascii="Century Gothic" w:hAnsi="Century Gothic"/>
        </w:rPr>
        <w:t>Esta Comisión ha estimado necesario tener referencias de análisis en publicaciones arbitradas y especializadas a fin de allegarse mayores elementos de evaluación que permitan profundizar la comprensión de las cifras</w:t>
      </w:r>
      <w:r w:rsidR="009E4046">
        <w:rPr>
          <w:rFonts w:ascii="Century Gothic" w:hAnsi="Century Gothic"/>
        </w:rPr>
        <w:t xml:space="preserve">. </w:t>
      </w:r>
      <w:r w:rsidR="000B5579">
        <w:rPr>
          <w:rFonts w:ascii="Century Gothic" w:hAnsi="Century Gothic"/>
        </w:rPr>
        <w:t xml:space="preserve"> </w:t>
      </w:r>
      <w:proofErr w:type="gramStart"/>
      <w:r w:rsidR="009E4046">
        <w:rPr>
          <w:rFonts w:ascii="Century Gothic" w:hAnsi="Century Gothic"/>
        </w:rPr>
        <w:t>E</w:t>
      </w:r>
      <w:r w:rsidR="000B5579">
        <w:rPr>
          <w:rFonts w:ascii="Century Gothic" w:hAnsi="Century Gothic"/>
        </w:rPr>
        <w:t>n razón de</w:t>
      </w:r>
      <w:proofErr w:type="gramEnd"/>
      <w:r w:rsidR="000B5579">
        <w:rPr>
          <w:rFonts w:ascii="Century Gothic" w:hAnsi="Century Gothic"/>
        </w:rPr>
        <w:t xml:space="preserve"> ello</w:t>
      </w:r>
      <w:r w:rsidR="00E026BF">
        <w:rPr>
          <w:rFonts w:ascii="Century Gothic" w:hAnsi="Century Gothic"/>
        </w:rPr>
        <w:t>,</w:t>
      </w:r>
      <w:r w:rsidR="000B5579">
        <w:rPr>
          <w:rFonts w:ascii="Century Gothic" w:hAnsi="Century Gothic"/>
        </w:rPr>
        <w:t xml:space="preserve"> </w:t>
      </w:r>
      <w:r w:rsidRPr="000B6C89">
        <w:rPr>
          <w:rFonts w:ascii="Century Gothic" w:hAnsi="Century Gothic"/>
        </w:rPr>
        <w:t>es claro que centros urbanos resintieron la incidencia de la crisis sanitaria</w:t>
      </w:r>
      <w:r w:rsidR="000B5579">
        <w:rPr>
          <w:rFonts w:ascii="Century Gothic" w:hAnsi="Century Gothic"/>
        </w:rPr>
        <w:t xml:space="preserve"> y que esta condición fue extensiva en el territorio nacional. </w:t>
      </w:r>
    </w:p>
    <w:p w14:paraId="204CCD15" w14:textId="77777777" w:rsidR="003971B1" w:rsidRDefault="003971B1" w:rsidP="003971B1">
      <w:pPr>
        <w:spacing w:line="276" w:lineRule="auto"/>
        <w:ind w:firstLine="709"/>
        <w:jc w:val="both"/>
        <w:rPr>
          <w:rFonts w:ascii="Century Gothic" w:hAnsi="Century Gothic"/>
        </w:rPr>
      </w:pPr>
    </w:p>
    <w:p w14:paraId="7063F791" w14:textId="77777777" w:rsidR="003971B1" w:rsidRDefault="0068530C" w:rsidP="003971B1">
      <w:pPr>
        <w:spacing w:line="276" w:lineRule="auto"/>
        <w:ind w:firstLine="709"/>
        <w:jc w:val="both"/>
        <w:rPr>
          <w:rFonts w:ascii="Century Gothic" w:hAnsi="Century Gothic"/>
        </w:rPr>
      </w:pPr>
      <w:r w:rsidRPr="003971B1">
        <w:rPr>
          <w:rFonts w:ascii="Century Gothic" w:hAnsi="Century Gothic"/>
        </w:rPr>
        <w:t xml:space="preserve">En términos relativos, más de 1,800 municipios en el país tienen índice de pobreza más alto que el caso del municipio de León y, en el registro 2020, más de 90 municipios del país tuvieron un aumento de población en condiciones de pobreza con índices superiores al caso de León, de acuerdo con el registro de pobreza municipal publicada por CONEVAL. </w:t>
      </w:r>
    </w:p>
    <w:p w14:paraId="70014FEF" w14:textId="77777777" w:rsidR="003971B1" w:rsidRDefault="003971B1" w:rsidP="003971B1">
      <w:pPr>
        <w:spacing w:line="276" w:lineRule="auto"/>
        <w:ind w:firstLine="709"/>
        <w:jc w:val="both"/>
        <w:rPr>
          <w:rFonts w:ascii="Century Gothic" w:hAnsi="Century Gothic"/>
        </w:rPr>
      </w:pPr>
    </w:p>
    <w:p w14:paraId="022C4F2C" w14:textId="77777777" w:rsidR="003971B1" w:rsidRDefault="00470BD2" w:rsidP="003971B1">
      <w:pPr>
        <w:spacing w:line="276" w:lineRule="auto"/>
        <w:ind w:firstLine="709"/>
        <w:jc w:val="both"/>
        <w:rPr>
          <w:rFonts w:ascii="Century Gothic" w:hAnsi="Century Gothic"/>
        </w:rPr>
      </w:pPr>
      <w:r w:rsidRPr="003971B1">
        <w:rPr>
          <w:rFonts w:ascii="Century Gothic" w:hAnsi="Century Gothic"/>
        </w:rPr>
        <w:t xml:space="preserve">Se revisaron, asimismo, las cifras de la Encuesta Nacional de Ingresos y Gastos de los Hogares 2022 y los datos derivados de la Medición de Pobreza 2022 realizada por CONEVAL. Son indicativos los resultados </w:t>
      </w:r>
      <w:r w:rsidR="00BB4D00" w:rsidRPr="003971B1">
        <w:rPr>
          <w:rFonts w:ascii="Century Gothic" w:hAnsi="Century Gothic"/>
        </w:rPr>
        <w:t>que contrastan con los de</w:t>
      </w:r>
      <w:r w:rsidRPr="003971B1">
        <w:rPr>
          <w:rFonts w:ascii="Century Gothic" w:hAnsi="Century Gothic"/>
        </w:rPr>
        <w:t xml:space="preserve"> años previos. Si el anterior levantamiento de la ENIGH 2020 reflejó la incidencia de la crisis sanitaria, la correspondiente al año 2022 muestra resultados que son indicativos de los efectos de la recuperación económica, particularmente influidos por el comportamiento de los ingresos por actividades laborales. </w:t>
      </w:r>
    </w:p>
    <w:p w14:paraId="2BC43682" w14:textId="77777777" w:rsidR="003971B1" w:rsidRDefault="003971B1" w:rsidP="003971B1">
      <w:pPr>
        <w:spacing w:line="276" w:lineRule="auto"/>
        <w:ind w:firstLine="709"/>
        <w:jc w:val="both"/>
        <w:rPr>
          <w:rFonts w:ascii="Century Gothic" w:hAnsi="Century Gothic"/>
        </w:rPr>
      </w:pPr>
    </w:p>
    <w:p w14:paraId="3555BED6" w14:textId="77777777" w:rsidR="003971B1" w:rsidRDefault="00470BD2" w:rsidP="003971B1">
      <w:pPr>
        <w:spacing w:line="276" w:lineRule="auto"/>
        <w:ind w:firstLine="709"/>
        <w:jc w:val="both"/>
        <w:rPr>
          <w:rFonts w:ascii="Century Gothic" w:hAnsi="Century Gothic"/>
        </w:rPr>
      </w:pPr>
      <w:r w:rsidRPr="003971B1">
        <w:rPr>
          <w:rFonts w:ascii="Century Gothic" w:hAnsi="Century Gothic"/>
        </w:rPr>
        <w:t xml:space="preserve">El Estado de Guanajuato mostró resultados favorables con la disminución de la pobreza y de la pobreza extrema. Más de 575 mil guanajuatenses abandonaron las condiciones de pobreza y la cifra de pobreza extrema se trata de la más baja en la historia reciente. </w:t>
      </w:r>
    </w:p>
    <w:p w14:paraId="15CEE8B7" w14:textId="77777777" w:rsidR="003971B1" w:rsidRDefault="003971B1" w:rsidP="003971B1">
      <w:pPr>
        <w:spacing w:line="276" w:lineRule="auto"/>
        <w:ind w:firstLine="709"/>
        <w:jc w:val="both"/>
        <w:rPr>
          <w:rFonts w:ascii="Century Gothic" w:hAnsi="Century Gothic"/>
        </w:rPr>
      </w:pPr>
    </w:p>
    <w:p w14:paraId="4D69EE6E" w14:textId="77777777" w:rsidR="003971B1" w:rsidRDefault="00470BD2" w:rsidP="003971B1">
      <w:pPr>
        <w:spacing w:line="276" w:lineRule="auto"/>
        <w:ind w:firstLine="709"/>
        <w:jc w:val="both"/>
        <w:rPr>
          <w:rFonts w:ascii="Century Gothic" w:hAnsi="Century Gothic"/>
        </w:rPr>
      </w:pPr>
      <w:r w:rsidRPr="003971B1">
        <w:rPr>
          <w:rFonts w:ascii="Century Gothic" w:hAnsi="Century Gothic"/>
        </w:rPr>
        <w:lastRenderedPageBreak/>
        <w:t>En ese sentido, para los integrantes de esta Comisión, el análisis de las diversas fuentes de información publicadas por INEGI y CONEVAL posteriores a la presentación del punto de acuerdo, permiten comprender el comportamiento de la pobreza</w:t>
      </w:r>
      <w:r w:rsidR="004D5A7C" w:rsidRPr="003971B1">
        <w:rPr>
          <w:rFonts w:ascii="Century Gothic" w:hAnsi="Century Gothic"/>
        </w:rPr>
        <w:t xml:space="preserve"> con cifras más actualizadas</w:t>
      </w:r>
      <w:r w:rsidRPr="003971B1">
        <w:rPr>
          <w:rFonts w:ascii="Century Gothic" w:hAnsi="Century Gothic"/>
        </w:rPr>
        <w:t xml:space="preserve"> y las razones que explican las trayectorias </w:t>
      </w:r>
      <w:r w:rsidR="004D5A7C" w:rsidRPr="003971B1">
        <w:rPr>
          <w:rFonts w:ascii="Century Gothic" w:hAnsi="Century Gothic"/>
        </w:rPr>
        <w:t>de estos registros y que muestran un comportamiento favorable en término de los indicadores sociales</w:t>
      </w:r>
      <w:r w:rsidRPr="003971B1">
        <w:rPr>
          <w:rFonts w:ascii="Century Gothic" w:hAnsi="Century Gothic"/>
        </w:rPr>
        <w:t>.</w:t>
      </w:r>
    </w:p>
    <w:p w14:paraId="5D19F73D" w14:textId="77777777" w:rsidR="003971B1" w:rsidRDefault="003971B1" w:rsidP="003971B1">
      <w:pPr>
        <w:spacing w:line="276" w:lineRule="auto"/>
        <w:ind w:firstLine="709"/>
        <w:jc w:val="both"/>
        <w:rPr>
          <w:rFonts w:ascii="Century Gothic" w:hAnsi="Century Gothic"/>
        </w:rPr>
      </w:pPr>
    </w:p>
    <w:p w14:paraId="227158EB" w14:textId="77777777" w:rsidR="003971B1" w:rsidRDefault="001823D2" w:rsidP="003971B1">
      <w:pPr>
        <w:spacing w:line="276" w:lineRule="auto"/>
        <w:ind w:firstLine="709"/>
        <w:jc w:val="both"/>
        <w:rPr>
          <w:rFonts w:ascii="Century Gothic" w:hAnsi="Century Gothic"/>
        </w:rPr>
      </w:pPr>
      <w:r w:rsidRPr="003971B1">
        <w:rPr>
          <w:rFonts w:ascii="Century Gothic" w:hAnsi="Century Gothic"/>
        </w:rPr>
        <w:t>Esta Comisión ha analizado</w:t>
      </w:r>
      <w:r w:rsidR="004D5A7C" w:rsidRPr="003971B1">
        <w:rPr>
          <w:rFonts w:ascii="Century Gothic" w:hAnsi="Century Gothic"/>
        </w:rPr>
        <w:t>, asimismo,</w:t>
      </w:r>
      <w:r w:rsidRPr="003971B1">
        <w:rPr>
          <w:rFonts w:ascii="Century Gothic" w:hAnsi="Century Gothic"/>
        </w:rPr>
        <w:t xml:space="preserve"> los datos derivados de la Encuesta Nacional de Ocupación y Empleo a fin de revisar las tendencias prevalecientes en la materia como parte del estudio del Punto de Acuerdo. Para la consistencia de cifras se revisó la última publicación de la ENOE correspondiente al tercer trimestre de 2020 y se analizaron datos del mismo periodo de los años 2019, 2020, 2021 y 2022. Se revisaron las tasas de participación, desocupación, trabajo asalariado, subocupación, condiciones críticas de ocupación, informalidad laboral y ocupación en el sector informal. </w:t>
      </w:r>
    </w:p>
    <w:p w14:paraId="7E82F43C" w14:textId="77777777" w:rsidR="003971B1" w:rsidRDefault="003971B1" w:rsidP="003971B1">
      <w:pPr>
        <w:spacing w:line="276" w:lineRule="auto"/>
        <w:ind w:firstLine="709"/>
        <w:jc w:val="both"/>
        <w:rPr>
          <w:rFonts w:ascii="Century Gothic" w:hAnsi="Century Gothic"/>
        </w:rPr>
      </w:pPr>
    </w:p>
    <w:p w14:paraId="791E0AC6" w14:textId="77777777" w:rsidR="003971B1" w:rsidRDefault="001823D2" w:rsidP="003971B1">
      <w:pPr>
        <w:spacing w:line="276" w:lineRule="auto"/>
        <w:ind w:firstLine="709"/>
        <w:jc w:val="both"/>
        <w:rPr>
          <w:rFonts w:ascii="Century Gothic" w:hAnsi="Century Gothic"/>
        </w:rPr>
      </w:pPr>
      <w:r w:rsidRPr="003971B1">
        <w:rPr>
          <w:rFonts w:ascii="Century Gothic" w:hAnsi="Century Gothic"/>
        </w:rPr>
        <w:t>Es indicativo del comportamiento del mercado laboral y de los efectos de la pandemia en los indicadores de empleo</w:t>
      </w:r>
      <w:r w:rsidR="004A2BCD" w:rsidRPr="003971B1">
        <w:rPr>
          <w:rFonts w:ascii="Century Gothic" w:hAnsi="Century Gothic"/>
        </w:rPr>
        <w:t xml:space="preserve"> el comportamiento de</w:t>
      </w:r>
      <w:r w:rsidRPr="003971B1">
        <w:rPr>
          <w:rFonts w:ascii="Century Gothic" w:hAnsi="Century Gothic"/>
        </w:rPr>
        <w:t xml:space="preserve"> la tasa </w:t>
      </w:r>
      <w:r w:rsidR="004A2BCD" w:rsidRPr="003971B1">
        <w:rPr>
          <w:rFonts w:ascii="Century Gothic" w:hAnsi="Century Gothic"/>
        </w:rPr>
        <w:t>de</w:t>
      </w:r>
      <w:r w:rsidRPr="003971B1">
        <w:rPr>
          <w:rFonts w:ascii="Century Gothic" w:hAnsi="Century Gothic"/>
        </w:rPr>
        <w:t xml:space="preserve"> Subocupación. </w:t>
      </w:r>
      <w:r w:rsidR="00D06103" w:rsidRPr="003971B1">
        <w:rPr>
          <w:rFonts w:ascii="Century Gothic" w:hAnsi="Century Gothic"/>
        </w:rPr>
        <w:t xml:space="preserve">En las cifras correspondientes a las 36 ciudades </w:t>
      </w:r>
      <w:r w:rsidR="0017285C" w:rsidRPr="003971B1">
        <w:rPr>
          <w:rFonts w:ascii="Century Gothic" w:hAnsi="Century Gothic"/>
        </w:rPr>
        <w:t xml:space="preserve">con la actividad económica más importante del país </w:t>
      </w:r>
      <w:r w:rsidR="00D06103" w:rsidRPr="003971B1">
        <w:rPr>
          <w:rFonts w:ascii="Century Gothic" w:hAnsi="Century Gothic"/>
        </w:rPr>
        <w:t xml:space="preserve">entre 2019 y 2020 la tasa prácticamente se triplicó. </w:t>
      </w:r>
    </w:p>
    <w:p w14:paraId="07A2A7AD" w14:textId="77777777" w:rsidR="003971B1" w:rsidRDefault="003971B1" w:rsidP="003971B1">
      <w:pPr>
        <w:spacing w:line="276" w:lineRule="auto"/>
        <w:ind w:firstLine="709"/>
        <w:jc w:val="both"/>
        <w:rPr>
          <w:rFonts w:ascii="Century Gothic" w:hAnsi="Century Gothic"/>
        </w:rPr>
      </w:pPr>
    </w:p>
    <w:p w14:paraId="1CA91C62" w14:textId="77777777" w:rsidR="003971B1" w:rsidRDefault="0017285C" w:rsidP="003971B1">
      <w:pPr>
        <w:spacing w:line="276" w:lineRule="auto"/>
        <w:ind w:firstLine="709"/>
        <w:jc w:val="both"/>
        <w:rPr>
          <w:rFonts w:ascii="Century Gothic" w:hAnsi="Century Gothic"/>
        </w:rPr>
      </w:pPr>
      <w:r w:rsidRPr="003971B1">
        <w:rPr>
          <w:rFonts w:ascii="Century Gothic" w:hAnsi="Century Gothic"/>
        </w:rPr>
        <w:t>En consistencia con la recuperación del periodo posterior a la crisis sanitaria, las tasas más recientes muestran trayectorias con resultados que se acercan a las cifras históricas.</w:t>
      </w:r>
    </w:p>
    <w:p w14:paraId="46104271" w14:textId="77777777" w:rsidR="003971B1" w:rsidRDefault="003971B1" w:rsidP="003971B1">
      <w:pPr>
        <w:spacing w:line="276" w:lineRule="auto"/>
        <w:ind w:firstLine="709"/>
        <w:jc w:val="both"/>
        <w:rPr>
          <w:rFonts w:ascii="Century Gothic" w:hAnsi="Century Gothic"/>
        </w:rPr>
      </w:pPr>
    </w:p>
    <w:p w14:paraId="2D5E7692" w14:textId="1EB2A27C" w:rsidR="0017285C" w:rsidRPr="003971B1" w:rsidRDefault="0017285C" w:rsidP="003971B1">
      <w:pPr>
        <w:spacing w:line="276" w:lineRule="auto"/>
        <w:ind w:firstLine="709"/>
        <w:jc w:val="both"/>
        <w:rPr>
          <w:rFonts w:ascii="Century Gothic" w:hAnsi="Century Gothic"/>
        </w:rPr>
      </w:pPr>
      <w:r w:rsidRPr="003971B1">
        <w:rPr>
          <w:rFonts w:ascii="Century Gothic" w:hAnsi="Century Gothic"/>
        </w:rPr>
        <w:t xml:space="preserve">En la Ciudad de León se presenta un fenómeno similar al que se experimentó en el país. Un comportamiento que reflejó el efecto de la crisis sanitaria y los registros más actualizados </w:t>
      </w:r>
      <w:r w:rsidR="00130392" w:rsidRPr="003971B1">
        <w:rPr>
          <w:rFonts w:ascii="Century Gothic" w:hAnsi="Century Gothic"/>
        </w:rPr>
        <w:t>revelan</w:t>
      </w:r>
      <w:r w:rsidRPr="003971B1">
        <w:rPr>
          <w:rFonts w:ascii="Century Gothic" w:hAnsi="Century Gothic"/>
        </w:rPr>
        <w:t xml:space="preserve"> una mejoría </w:t>
      </w:r>
      <w:r w:rsidR="00AA52B2" w:rsidRPr="003971B1">
        <w:rPr>
          <w:rFonts w:ascii="Century Gothic" w:hAnsi="Century Gothic"/>
        </w:rPr>
        <w:t>en los diversos indicadores del mercado laboral.</w:t>
      </w:r>
      <w:r w:rsidR="004272A2" w:rsidRPr="003971B1">
        <w:rPr>
          <w:rFonts w:ascii="Century Gothic" w:hAnsi="Century Gothic"/>
        </w:rPr>
        <w:t xml:space="preserve"> </w:t>
      </w:r>
    </w:p>
    <w:p w14:paraId="172D7D3E" w14:textId="77777777" w:rsidR="003971B1" w:rsidRDefault="003971B1" w:rsidP="003971B1">
      <w:pPr>
        <w:spacing w:line="276" w:lineRule="auto"/>
        <w:jc w:val="both"/>
        <w:rPr>
          <w:rFonts w:ascii="Century Gothic" w:hAnsi="Century Gothic"/>
        </w:rPr>
      </w:pPr>
    </w:p>
    <w:p w14:paraId="69957D29" w14:textId="77777777" w:rsidR="003971B1" w:rsidRDefault="00B048D9" w:rsidP="003971B1">
      <w:pPr>
        <w:spacing w:line="276" w:lineRule="auto"/>
        <w:ind w:firstLine="709"/>
        <w:jc w:val="both"/>
        <w:rPr>
          <w:rFonts w:ascii="Century Gothic" w:hAnsi="Century Gothic"/>
        </w:rPr>
      </w:pPr>
      <w:r w:rsidRPr="003971B1">
        <w:rPr>
          <w:rFonts w:ascii="Century Gothic" w:hAnsi="Century Gothic"/>
        </w:rPr>
        <w:lastRenderedPageBreak/>
        <w:t>Form</w:t>
      </w:r>
      <w:r w:rsidR="00D6020F" w:rsidRPr="003971B1">
        <w:rPr>
          <w:rFonts w:ascii="Century Gothic" w:hAnsi="Century Gothic"/>
        </w:rPr>
        <w:t>ó</w:t>
      </w:r>
      <w:r w:rsidRPr="003971B1">
        <w:rPr>
          <w:rFonts w:ascii="Century Gothic" w:hAnsi="Century Gothic"/>
        </w:rPr>
        <w:t xml:space="preserve"> parte del análisis de esta Comisión, las acciones que e</w:t>
      </w:r>
      <w:r w:rsidR="006776CF" w:rsidRPr="003971B1">
        <w:rPr>
          <w:rFonts w:ascii="Century Gothic" w:hAnsi="Century Gothic"/>
        </w:rPr>
        <w:t xml:space="preserve">l municipio de León </w:t>
      </w:r>
      <w:r w:rsidRPr="003971B1">
        <w:rPr>
          <w:rFonts w:ascii="Century Gothic" w:hAnsi="Century Gothic"/>
        </w:rPr>
        <w:t xml:space="preserve">hace de conocimiento como parte de la atención </w:t>
      </w:r>
      <w:r w:rsidR="00CB169D" w:rsidRPr="003971B1">
        <w:rPr>
          <w:rFonts w:ascii="Century Gothic" w:hAnsi="Century Gothic"/>
        </w:rPr>
        <w:t>de la población en condiciones de pobreza</w:t>
      </w:r>
      <w:r w:rsidRPr="003971B1">
        <w:rPr>
          <w:rFonts w:ascii="Century Gothic" w:hAnsi="Century Gothic"/>
        </w:rPr>
        <w:t>. En ese alcance, se conocieron las políticas de índole social y económico que se impulsan desde el sector público y que han influido en disminuir los registros de población en condiciones de pobreza.</w:t>
      </w:r>
      <w:r w:rsidR="00D6020F" w:rsidRPr="003971B1">
        <w:rPr>
          <w:rFonts w:ascii="Century Gothic" w:hAnsi="Century Gothic"/>
        </w:rPr>
        <w:t xml:space="preserve"> </w:t>
      </w:r>
    </w:p>
    <w:p w14:paraId="4A5FBDFA" w14:textId="77777777" w:rsidR="003971B1" w:rsidRDefault="003971B1" w:rsidP="003971B1">
      <w:pPr>
        <w:spacing w:line="276" w:lineRule="auto"/>
        <w:ind w:firstLine="709"/>
        <w:jc w:val="both"/>
        <w:rPr>
          <w:rFonts w:ascii="Century Gothic" w:hAnsi="Century Gothic"/>
        </w:rPr>
      </w:pPr>
    </w:p>
    <w:p w14:paraId="332FE6C0" w14:textId="77777777" w:rsidR="003971B1" w:rsidRDefault="0068530C" w:rsidP="003971B1">
      <w:pPr>
        <w:spacing w:line="276" w:lineRule="auto"/>
        <w:ind w:firstLine="709"/>
        <w:jc w:val="both"/>
        <w:rPr>
          <w:rFonts w:ascii="Century Gothic" w:hAnsi="Century Gothic"/>
        </w:rPr>
      </w:pPr>
      <w:r w:rsidRPr="003971B1">
        <w:rPr>
          <w:rFonts w:ascii="Century Gothic" w:hAnsi="Century Gothic"/>
        </w:rPr>
        <w:t xml:space="preserve">Las referencias </w:t>
      </w:r>
      <w:r w:rsidR="00D06103" w:rsidRPr="003971B1">
        <w:rPr>
          <w:rFonts w:ascii="Century Gothic" w:hAnsi="Century Gothic"/>
        </w:rPr>
        <w:t>relacionadas con las comparaciones entre ciudades referidas en el Punto de Acuerdo</w:t>
      </w:r>
      <w:r w:rsidR="00130392" w:rsidRPr="003971B1">
        <w:rPr>
          <w:rFonts w:ascii="Century Gothic" w:hAnsi="Century Gothic"/>
        </w:rPr>
        <w:t xml:space="preserve"> </w:t>
      </w:r>
      <w:r w:rsidR="00D6020F" w:rsidRPr="003971B1">
        <w:rPr>
          <w:rFonts w:ascii="Century Gothic" w:hAnsi="Century Gothic"/>
        </w:rPr>
        <w:t xml:space="preserve">y </w:t>
      </w:r>
      <w:r w:rsidR="00130392" w:rsidRPr="003971B1">
        <w:rPr>
          <w:rFonts w:ascii="Century Gothic" w:hAnsi="Century Gothic"/>
        </w:rPr>
        <w:t>que retoman un artículo periodístico</w:t>
      </w:r>
      <w:r w:rsidR="00D06103" w:rsidRPr="003971B1">
        <w:rPr>
          <w:rFonts w:ascii="Century Gothic" w:hAnsi="Century Gothic"/>
        </w:rPr>
        <w:t xml:space="preserve"> </w:t>
      </w:r>
      <w:r w:rsidRPr="003971B1">
        <w:rPr>
          <w:rFonts w:ascii="Century Gothic" w:hAnsi="Century Gothic"/>
        </w:rPr>
        <w:t>debe</w:t>
      </w:r>
      <w:r w:rsidR="00D06103" w:rsidRPr="003971B1">
        <w:rPr>
          <w:rFonts w:ascii="Century Gothic" w:hAnsi="Century Gothic"/>
        </w:rPr>
        <w:t>n</w:t>
      </w:r>
      <w:r w:rsidRPr="003971B1">
        <w:rPr>
          <w:rFonts w:ascii="Century Gothic" w:hAnsi="Century Gothic"/>
        </w:rPr>
        <w:t xml:space="preserve"> atender la naturaleza y estructura económicas diferenciadas</w:t>
      </w:r>
      <w:r w:rsidR="00D6020F" w:rsidRPr="003971B1">
        <w:rPr>
          <w:rFonts w:ascii="Century Gothic" w:hAnsi="Century Gothic"/>
        </w:rPr>
        <w:t xml:space="preserve"> entre cada centro urbano</w:t>
      </w:r>
      <w:r w:rsidRPr="003971B1">
        <w:rPr>
          <w:rFonts w:ascii="Century Gothic" w:hAnsi="Century Gothic"/>
        </w:rPr>
        <w:t>. El perfil, vocación, condiciones geográficas, proximidad de mercados, sólo por señalar algunos de los rubros de mayor relevancia, debe considerarse para entender las diferencias entre las condiciones económicas y laborales de ciudades</w:t>
      </w:r>
      <w:r w:rsidR="00E026BF" w:rsidRPr="003971B1">
        <w:rPr>
          <w:rFonts w:ascii="Century Gothic" w:hAnsi="Century Gothic"/>
        </w:rPr>
        <w:t>.</w:t>
      </w:r>
    </w:p>
    <w:p w14:paraId="4D62B5BE" w14:textId="77777777" w:rsidR="003971B1" w:rsidRDefault="003971B1" w:rsidP="003971B1">
      <w:pPr>
        <w:spacing w:line="276" w:lineRule="auto"/>
        <w:ind w:firstLine="709"/>
        <w:jc w:val="both"/>
        <w:rPr>
          <w:rFonts w:ascii="Century Gothic" w:hAnsi="Century Gothic"/>
        </w:rPr>
      </w:pPr>
    </w:p>
    <w:p w14:paraId="05387BB2" w14:textId="77777777" w:rsidR="003971B1" w:rsidRDefault="00D6020F" w:rsidP="003971B1">
      <w:pPr>
        <w:spacing w:line="276" w:lineRule="auto"/>
        <w:ind w:firstLine="709"/>
        <w:jc w:val="both"/>
        <w:rPr>
          <w:rFonts w:ascii="Century Gothic" w:hAnsi="Century Gothic"/>
        </w:rPr>
      </w:pPr>
      <w:r w:rsidRPr="003971B1">
        <w:rPr>
          <w:rFonts w:ascii="Century Gothic" w:hAnsi="Century Gothic"/>
        </w:rPr>
        <w:t>Esta Comisión revisó los Indicadores Estratégicos de Ocupación y Empleo con Precisiones Estadísticas publicados por INEGI</w:t>
      </w:r>
      <w:r w:rsidR="00437D8A" w:rsidRPr="003971B1">
        <w:rPr>
          <w:rFonts w:ascii="Century Gothic" w:hAnsi="Century Gothic"/>
        </w:rPr>
        <w:t>,</w:t>
      </w:r>
      <w:r w:rsidRPr="003971B1">
        <w:rPr>
          <w:rFonts w:ascii="Century Gothic" w:hAnsi="Century Gothic"/>
        </w:rPr>
        <w:t xml:space="preserve"> específicamente </w:t>
      </w:r>
      <w:r w:rsidR="00437D8A" w:rsidRPr="003971B1">
        <w:rPr>
          <w:rFonts w:ascii="Century Gothic" w:hAnsi="Century Gothic"/>
        </w:rPr>
        <w:t>relacionados con León y Ciudad Juárez</w:t>
      </w:r>
      <w:r w:rsidR="00B67A6A" w:rsidRPr="003971B1">
        <w:rPr>
          <w:rFonts w:ascii="Century Gothic" w:hAnsi="Century Gothic"/>
        </w:rPr>
        <w:t>,</w:t>
      </w:r>
      <w:r w:rsidR="00437D8A" w:rsidRPr="003971B1">
        <w:rPr>
          <w:rFonts w:ascii="Century Gothic" w:hAnsi="Century Gothic"/>
        </w:rPr>
        <w:t xml:space="preserve"> para analizar la condición económica correspondiente a cada una de ellas. La integración de sectores por actividad económica, el ámbito y tamaño de la unidad económica, la distribución por tipo de unidad económica, sólo por señalar algunos de los indicadores de mayor relevancia, son elementos que requieren </w:t>
      </w:r>
      <w:r w:rsidR="00986762" w:rsidRPr="003971B1">
        <w:rPr>
          <w:rFonts w:ascii="Century Gothic" w:hAnsi="Century Gothic"/>
        </w:rPr>
        <w:t>considerarse para evaluar la condición económica en cada ciudad y el efecto específico que, en cada de una ellas, tuvo una crisis de índole sanitario como la que se vivió en el país. Basta revisar la integración de los trabajadores por sector de actividad económica y la importancia que en cada una de ellas tiene el sector secundario y terciario, para entender la naturaleza económica diferenciada</w:t>
      </w:r>
      <w:r w:rsidR="00611D53" w:rsidRPr="003971B1">
        <w:rPr>
          <w:rFonts w:ascii="Century Gothic" w:hAnsi="Century Gothic"/>
        </w:rPr>
        <w:t xml:space="preserve"> entre ambas ciudades. </w:t>
      </w:r>
    </w:p>
    <w:p w14:paraId="606339C9" w14:textId="77777777" w:rsidR="003971B1" w:rsidRDefault="003971B1" w:rsidP="003971B1">
      <w:pPr>
        <w:spacing w:line="276" w:lineRule="auto"/>
        <w:ind w:firstLine="709"/>
        <w:jc w:val="both"/>
        <w:rPr>
          <w:rFonts w:ascii="Century Gothic" w:hAnsi="Century Gothic"/>
        </w:rPr>
      </w:pPr>
    </w:p>
    <w:p w14:paraId="25278FD8" w14:textId="7A6E42D3" w:rsidR="003971B1" w:rsidRDefault="00611D53" w:rsidP="003971B1">
      <w:pPr>
        <w:spacing w:line="276" w:lineRule="auto"/>
        <w:ind w:firstLine="709"/>
        <w:jc w:val="both"/>
        <w:rPr>
          <w:rFonts w:ascii="Century Gothic" w:hAnsi="Century Gothic"/>
        </w:rPr>
      </w:pPr>
      <w:r w:rsidRPr="003971B1">
        <w:rPr>
          <w:rFonts w:ascii="Century Gothic" w:hAnsi="Century Gothic"/>
        </w:rPr>
        <w:t xml:space="preserve">Finalmente, al revisar la estructura de ingresos de la población ocupada en cada ciudad permite tener una perspectiva más precisa sobre </w:t>
      </w:r>
      <w:r w:rsidR="004032C5" w:rsidRPr="003971B1">
        <w:rPr>
          <w:rFonts w:ascii="Century Gothic" w:hAnsi="Century Gothic"/>
        </w:rPr>
        <w:t xml:space="preserve">la trayectoria de las remuneraciones. Más del 11.5% de la población ocupada en la Ciudad de León recibe más de 2 y hasta 5 salarios mínimos, </w:t>
      </w:r>
      <w:r w:rsidR="004032C5" w:rsidRPr="003971B1">
        <w:rPr>
          <w:rFonts w:ascii="Century Gothic" w:hAnsi="Century Gothic"/>
        </w:rPr>
        <w:lastRenderedPageBreak/>
        <w:t xml:space="preserve">frente al 8% en el caso de Ciudad Juárez. Menos del 25% de la población remunerada en León recibe hasta un salario mínimo, frente a </w:t>
      </w:r>
      <w:r w:rsidR="00060E74" w:rsidRPr="003971B1">
        <w:rPr>
          <w:rFonts w:ascii="Century Gothic" w:hAnsi="Century Gothic"/>
        </w:rPr>
        <w:t>más</w:t>
      </w:r>
      <w:r w:rsidR="004032C5" w:rsidRPr="003971B1">
        <w:rPr>
          <w:rFonts w:ascii="Century Gothic" w:hAnsi="Century Gothic"/>
        </w:rPr>
        <w:t xml:space="preserve"> del 37% en el caso de Ciudad Juárez.</w:t>
      </w:r>
    </w:p>
    <w:p w14:paraId="3DD23CEA" w14:textId="77777777" w:rsidR="003971B1" w:rsidRDefault="003971B1" w:rsidP="003971B1">
      <w:pPr>
        <w:spacing w:line="276" w:lineRule="auto"/>
        <w:ind w:firstLine="709"/>
        <w:jc w:val="both"/>
        <w:rPr>
          <w:rFonts w:ascii="Century Gothic" w:hAnsi="Century Gothic"/>
        </w:rPr>
      </w:pPr>
    </w:p>
    <w:p w14:paraId="1171EEA1" w14:textId="77777777" w:rsidR="003971B1" w:rsidRDefault="004032C5" w:rsidP="003971B1">
      <w:pPr>
        <w:spacing w:line="276" w:lineRule="auto"/>
        <w:ind w:firstLine="709"/>
        <w:jc w:val="both"/>
        <w:rPr>
          <w:rFonts w:ascii="Century Gothic" w:hAnsi="Century Gothic"/>
        </w:rPr>
      </w:pPr>
      <w:r w:rsidRPr="003971B1">
        <w:rPr>
          <w:rFonts w:ascii="Century Gothic" w:hAnsi="Century Gothic"/>
        </w:rPr>
        <w:t>La revisión de estas cifras permite</w:t>
      </w:r>
      <w:r w:rsidR="0077650C" w:rsidRPr="003971B1">
        <w:rPr>
          <w:rFonts w:ascii="Century Gothic" w:hAnsi="Century Gothic"/>
        </w:rPr>
        <w:t>, por tanto,</w:t>
      </w:r>
      <w:r w:rsidRPr="003971B1">
        <w:rPr>
          <w:rFonts w:ascii="Century Gothic" w:hAnsi="Century Gothic"/>
        </w:rPr>
        <w:t xml:space="preserve"> distanciarse de las conclusiones que se derivan del punto de acuerdo</w:t>
      </w:r>
      <w:r w:rsidR="0077650C" w:rsidRPr="003971B1">
        <w:rPr>
          <w:rFonts w:ascii="Century Gothic" w:hAnsi="Century Gothic"/>
        </w:rPr>
        <w:t>.</w:t>
      </w:r>
    </w:p>
    <w:p w14:paraId="5397D1AA" w14:textId="77777777" w:rsidR="003971B1" w:rsidRDefault="003971B1" w:rsidP="003971B1">
      <w:pPr>
        <w:spacing w:line="276" w:lineRule="auto"/>
        <w:ind w:firstLine="709"/>
        <w:jc w:val="both"/>
        <w:rPr>
          <w:rFonts w:ascii="Century Gothic" w:hAnsi="Century Gothic"/>
        </w:rPr>
      </w:pPr>
    </w:p>
    <w:p w14:paraId="22ABC82C" w14:textId="5ADC6191" w:rsidR="004032C5" w:rsidRPr="003971B1" w:rsidRDefault="00AD3B11" w:rsidP="003971B1">
      <w:pPr>
        <w:spacing w:line="276" w:lineRule="auto"/>
        <w:ind w:firstLine="709"/>
        <w:jc w:val="both"/>
        <w:rPr>
          <w:rFonts w:ascii="Century Gothic" w:hAnsi="Century Gothic"/>
        </w:rPr>
      </w:pPr>
      <w:r w:rsidRPr="003971B1">
        <w:rPr>
          <w:rFonts w:ascii="Century Gothic" w:hAnsi="Century Gothic"/>
        </w:rPr>
        <w:t>Por lo anteriormente expuesto y con fundamento en el artículo 171 de la Ley Orgánica del Poder Legislativo del Estado de Guanajuato, quienes integramos la Comisión de Desarrollo Económico y Social</w:t>
      </w:r>
      <w:r w:rsidR="0077650C" w:rsidRPr="003971B1">
        <w:rPr>
          <w:rFonts w:ascii="Century Gothic" w:hAnsi="Century Gothic"/>
        </w:rPr>
        <w:t xml:space="preserve"> </w:t>
      </w:r>
      <w:r w:rsidRPr="003971B1">
        <w:rPr>
          <w:rFonts w:ascii="Century Gothic" w:hAnsi="Century Gothic"/>
        </w:rPr>
        <w:t xml:space="preserve">estimamos que, con la información más actualizada de la que hoy disponemos tanto por </w:t>
      </w:r>
      <w:r w:rsidR="006E139F" w:rsidRPr="003971B1">
        <w:rPr>
          <w:rFonts w:ascii="Century Gothic" w:hAnsi="Century Gothic"/>
        </w:rPr>
        <w:t xml:space="preserve">las Encuestas más recientes levantadas, así como por los </w:t>
      </w:r>
      <w:r w:rsidRPr="003971B1">
        <w:rPr>
          <w:rFonts w:ascii="Century Gothic" w:hAnsi="Century Gothic"/>
        </w:rPr>
        <w:t xml:space="preserve">indicadores sociales </w:t>
      </w:r>
      <w:r w:rsidR="006E139F" w:rsidRPr="003971B1">
        <w:rPr>
          <w:rFonts w:ascii="Century Gothic" w:hAnsi="Century Gothic"/>
        </w:rPr>
        <w:t>y</w:t>
      </w:r>
      <w:r w:rsidRPr="003971B1">
        <w:rPr>
          <w:rFonts w:ascii="Century Gothic" w:hAnsi="Century Gothic"/>
        </w:rPr>
        <w:t xml:space="preserve"> económicos </w:t>
      </w:r>
      <w:r w:rsidR="006E139F" w:rsidRPr="003971B1">
        <w:rPr>
          <w:rFonts w:ascii="Century Gothic" w:hAnsi="Century Gothic"/>
        </w:rPr>
        <w:t xml:space="preserve">difundidos por INEGI y CONEVAL, </w:t>
      </w:r>
      <w:r w:rsidRPr="003971B1">
        <w:rPr>
          <w:rFonts w:ascii="Century Gothic" w:hAnsi="Century Gothic"/>
        </w:rPr>
        <w:t xml:space="preserve">y en razón de los últimos resultados que son indicativos de la trayectoria favorable de abatimiento de la pobreza, los integrantes de esta Comisión estimamos que resulta improcedente el exhorto contenido en la </w:t>
      </w:r>
      <w:r w:rsidR="00F04F25" w:rsidRPr="003971B1">
        <w:rPr>
          <w:rFonts w:ascii="Century Gothic" w:hAnsi="Century Gothic"/>
        </w:rPr>
        <w:t>propuesta</w:t>
      </w:r>
      <w:r w:rsidRPr="003971B1">
        <w:rPr>
          <w:rFonts w:ascii="Century Gothic" w:hAnsi="Century Gothic"/>
        </w:rPr>
        <w:t xml:space="preserve"> que se analiza, por lo que se propone a la Asamblea la aprobación del siguiente: </w:t>
      </w:r>
    </w:p>
    <w:p w14:paraId="3D70F13E" w14:textId="77777777" w:rsidR="00611D53" w:rsidRPr="001823D2" w:rsidRDefault="00611D53" w:rsidP="00D6020F">
      <w:pPr>
        <w:pStyle w:val="Prrafodelista"/>
        <w:spacing w:line="276" w:lineRule="auto"/>
        <w:ind w:left="426"/>
        <w:jc w:val="both"/>
        <w:rPr>
          <w:rFonts w:ascii="Century Gothic" w:hAnsi="Century Gothic"/>
          <w:sz w:val="24"/>
          <w:szCs w:val="24"/>
        </w:rPr>
      </w:pPr>
    </w:p>
    <w:p w14:paraId="671AA0A4" w14:textId="063DBD16" w:rsidR="00FF3A00" w:rsidRPr="00CE58B8" w:rsidRDefault="00AD3B11" w:rsidP="001C0CD9">
      <w:pPr>
        <w:spacing w:line="276" w:lineRule="auto"/>
        <w:jc w:val="center"/>
        <w:rPr>
          <w:rFonts w:ascii="Century Gothic" w:hAnsi="Century Gothic" w:cstheme="majorHAnsi"/>
          <w:b/>
          <w:color w:val="000000" w:themeColor="text1"/>
        </w:rPr>
      </w:pPr>
      <w:bookmarkStart w:id="1" w:name="_Hlk148700553"/>
      <w:r>
        <w:rPr>
          <w:rFonts w:ascii="Century Gothic" w:hAnsi="Century Gothic" w:cstheme="majorHAnsi"/>
          <w:b/>
          <w:color w:val="000000" w:themeColor="text1"/>
        </w:rPr>
        <w:t>ACUERDO</w:t>
      </w:r>
    </w:p>
    <w:p w14:paraId="0391AF5D" w14:textId="77777777" w:rsidR="00FF3A00" w:rsidRPr="00CE58B8" w:rsidRDefault="00FF3A00" w:rsidP="001C0CD9">
      <w:pPr>
        <w:spacing w:line="276" w:lineRule="auto"/>
        <w:jc w:val="center"/>
        <w:rPr>
          <w:rFonts w:ascii="Century Gothic" w:hAnsi="Century Gothic" w:cstheme="majorHAnsi"/>
          <w:b/>
          <w:color w:val="000000" w:themeColor="text1"/>
        </w:rPr>
      </w:pPr>
    </w:p>
    <w:p w14:paraId="1FE1DDE0" w14:textId="60D2145C" w:rsidR="00AD3B11" w:rsidRPr="00CC695C" w:rsidRDefault="00FF3A00" w:rsidP="00AD3B11">
      <w:pPr>
        <w:autoSpaceDE w:val="0"/>
        <w:autoSpaceDN w:val="0"/>
        <w:adjustRightInd w:val="0"/>
        <w:spacing w:line="276" w:lineRule="auto"/>
        <w:jc w:val="both"/>
        <w:rPr>
          <w:rFonts w:ascii="Century Gothic" w:hAnsi="Century Gothic"/>
        </w:rPr>
      </w:pPr>
      <w:r w:rsidRPr="00CE58B8">
        <w:rPr>
          <w:rFonts w:ascii="Century Gothic" w:eastAsia="Times New Roman" w:hAnsi="Century Gothic" w:cstheme="majorHAnsi"/>
          <w:b/>
          <w:bCs/>
          <w:lang w:eastAsia="es-MX"/>
        </w:rPr>
        <w:t>ÚNICO</w:t>
      </w:r>
      <w:r w:rsidR="00124037">
        <w:rPr>
          <w:rFonts w:ascii="Century Gothic" w:hAnsi="Century Gothic" w:cs="Arial"/>
        </w:rPr>
        <w:t xml:space="preserve">. </w:t>
      </w:r>
      <w:r w:rsidR="00AD3B11">
        <w:rPr>
          <w:rFonts w:ascii="Century Gothic" w:hAnsi="Century Gothic" w:cs="Arial"/>
        </w:rPr>
        <w:t xml:space="preserve">Se ordena el archivo definitivo de la propuesta de punto de acuerdo suscrito por el Diputado </w:t>
      </w:r>
      <w:r w:rsidR="00AD3B11" w:rsidRPr="00CC695C">
        <w:rPr>
          <w:rFonts w:ascii="Century Gothic" w:hAnsi="Century Gothic"/>
        </w:rPr>
        <w:t>Ernesto Alejandro Prieto Gallardo, integrante del grupo parlamentario de MORENA</w:t>
      </w:r>
      <w:r w:rsidR="00AD3B11">
        <w:rPr>
          <w:rFonts w:ascii="Century Gothic" w:hAnsi="Century Gothic"/>
        </w:rPr>
        <w:t>,</w:t>
      </w:r>
      <w:r w:rsidR="00AD3B11" w:rsidRPr="00CC695C">
        <w:rPr>
          <w:rFonts w:ascii="Century Gothic" w:hAnsi="Century Gothic"/>
        </w:rPr>
        <w:t xml:space="preserve"> a efecto de </w:t>
      </w:r>
      <w:r w:rsidR="00AD3B11">
        <w:rPr>
          <w:rFonts w:ascii="Century Gothic" w:hAnsi="Century Gothic"/>
        </w:rPr>
        <w:t xml:space="preserve">emitir exhorto </w:t>
      </w:r>
      <w:r w:rsidR="00AD3B11" w:rsidRPr="00CC695C">
        <w:rPr>
          <w:rFonts w:ascii="Century Gothic" w:hAnsi="Century Gothic"/>
        </w:rPr>
        <w:t>para que</w:t>
      </w:r>
      <w:r w:rsidR="00AD3B11">
        <w:rPr>
          <w:rFonts w:ascii="Century Gothic" w:hAnsi="Century Gothic"/>
        </w:rPr>
        <w:t xml:space="preserve"> </w:t>
      </w:r>
      <w:r w:rsidR="00AD3B11" w:rsidRPr="00CC695C">
        <w:rPr>
          <w:rFonts w:ascii="Century Gothic" w:hAnsi="Century Gothic"/>
        </w:rPr>
        <w:t>se realice un estudio emergente sobre la</w:t>
      </w:r>
      <w:r w:rsidR="00AD3B11">
        <w:rPr>
          <w:rFonts w:ascii="Century Gothic" w:hAnsi="Century Gothic"/>
        </w:rPr>
        <w:t xml:space="preserve"> </w:t>
      </w:r>
      <w:r w:rsidR="00AD3B11" w:rsidRPr="00CC695C">
        <w:rPr>
          <w:rFonts w:ascii="Century Gothic" w:hAnsi="Century Gothic"/>
        </w:rPr>
        <w:t>situación de crecimiento de la pobreza en el municipio de León, Guanajuato, y se</w:t>
      </w:r>
      <w:r w:rsidR="00AD3B11">
        <w:rPr>
          <w:rFonts w:ascii="Century Gothic" w:hAnsi="Century Gothic"/>
        </w:rPr>
        <w:t xml:space="preserve"> </w:t>
      </w:r>
      <w:r w:rsidR="00AD3B11" w:rsidRPr="00CC695C">
        <w:rPr>
          <w:rFonts w:ascii="Century Gothic" w:hAnsi="Century Gothic"/>
        </w:rPr>
        <w:t>presenten</w:t>
      </w:r>
      <w:r w:rsidR="00AD3B11">
        <w:rPr>
          <w:rFonts w:ascii="Century Gothic" w:hAnsi="Century Gothic"/>
        </w:rPr>
        <w:t xml:space="preserve"> </w:t>
      </w:r>
      <w:r w:rsidR="00AD3B11" w:rsidRPr="00CC695C">
        <w:rPr>
          <w:rFonts w:ascii="Century Gothic" w:hAnsi="Century Gothic"/>
        </w:rPr>
        <w:t>propuestas para revertirla</w:t>
      </w:r>
      <w:r w:rsidR="00AD3B11">
        <w:rPr>
          <w:rFonts w:ascii="Century Gothic" w:hAnsi="Century Gothic"/>
        </w:rPr>
        <w:t xml:space="preserve">; y </w:t>
      </w:r>
      <w:r w:rsidR="00AD3B11" w:rsidRPr="00CC695C">
        <w:rPr>
          <w:rFonts w:ascii="Century Gothic" w:hAnsi="Century Gothic"/>
        </w:rPr>
        <w:t>para que a través de la Subsecretaría de</w:t>
      </w:r>
      <w:r w:rsidR="00AD3B11">
        <w:rPr>
          <w:rFonts w:ascii="Century Gothic" w:hAnsi="Century Gothic"/>
        </w:rPr>
        <w:t xml:space="preserve"> </w:t>
      </w:r>
      <w:r w:rsidR="00AD3B11" w:rsidRPr="00CC695C">
        <w:rPr>
          <w:rFonts w:ascii="Century Gothic" w:hAnsi="Century Gothic"/>
        </w:rPr>
        <w:t>Trabajo y Previsión Social se establezca un programa extraordinario de revisión de cumplimiento</w:t>
      </w:r>
      <w:r w:rsidR="00AD3B11">
        <w:rPr>
          <w:rFonts w:ascii="Century Gothic" w:hAnsi="Century Gothic"/>
        </w:rPr>
        <w:t xml:space="preserve"> </w:t>
      </w:r>
      <w:r w:rsidR="00AD3B11" w:rsidRPr="00CC695C">
        <w:rPr>
          <w:rFonts w:ascii="Century Gothic" w:hAnsi="Century Gothic"/>
        </w:rPr>
        <w:t>de las condiciones laborales, en el municipio de León.</w:t>
      </w:r>
    </w:p>
    <w:p w14:paraId="470A7274" w14:textId="3709A12F" w:rsidR="00124037" w:rsidRDefault="00124037" w:rsidP="00124037">
      <w:pPr>
        <w:spacing w:line="276" w:lineRule="auto"/>
        <w:ind w:right="78"/>
        <w:jc w:val="both"/>
        <w:rPr>
          <w:rFonts w:ascii="Century Gothic" w:hAnsi="Century Gothic" w:cs="Arial"/>
        </w:rPr>
      </w:pPr>
    </w:p>
    <w:p w14:paraId="00FCCA58" w14:textId="77777777" w:rsidR="0068530C" w:rsidRDefault="0068530C" w:rsidP="00124037">
      <w:pPr>
        <w:spacing w:line="276" w:lineRule="auto"/>
        <w:ind w:right="78"/>
        <w:jc w:val="both"/>
        <w:rPr>
          <w:rFonts w:ascii="Century Gothic" w:hAnsi="Century Gothic" w:cs="Arial"/>
        </w:rPr>
      </w:pPr>
    </w:p>
    <w:p w14:paraId="5FE372B7" w14:textId="36C3011E" w:rsidR="00060E74" w:rsidRDefault="00060E74" w:rsidP="00124037">
      <w:pPr>
        <w:spacing w:line="276" w:lineRule="auto"/>
        <w:ind w:right="78"/>
        <w:jc w:val="both"/>
        <w:rPr>
          <w:rFonts w:ascii="Century Gothic" w:hAnsi="Century Gothic" w:cs="Arial"/>
        </w:rPr>
      </w:pPr>
    </w:p>
    <w:p w14:paraId="35E3CD6D" w14:textId="77777777" w:rsidR="00060E74" w:rsidRDefault="00060E74" w:rsidP="00124037">
      <w:pPr>
        <w:spacing w:line="276" w:lineRule="auto"/>
        <w:ind w:right="78"/>
        <w:jc w:val="both"/>
        <w:rPr>
          <w:rFonts w:ascii="Century Gothic" w:hAnsi="Century Gothic" w:cs="Arial"/>
        </w:rPr>
      </w:pPr>
    </w:p>
    <w:p w14:paraId="36D0516F" w14:textId="77777777" w:rsidR="00060E74" w:rsidRDefault="00060E74" w:rsidP="00124037">
      <w:pPr>
        <w:spacing w:line="276" w:lineRule="auto"/>
        <w:ind w:right="78"/>
        <w:jc w:val="both"/>
        <w:rPr>
          <w:rFonts w:ascii="Century Gothic" w:hAnsi="Century Gothic" w:cs="Arial"/>
        </w:rPr>
      </w:pPr>
    </w:p>
    <w:p w14:paraId="1A17BBBA" w14:textId="77777777" w:rsidR="00060E74" w:rsidRDefault="00060E74" w:rsidP="00124037">
      <w:pPr>
        <w:spacing w:line="276" w:lineRule="auto"/>
        <w:ind w:right="78"/>
        <w:jc w:val="both"/>
        <w:rPr>
          <w:rFonts w:ascii="Century Gothic" w:hAnsi="Century Gothic" w:cs="Arial"/>
        </w:rPr>
      </w:pPr>
    </w:p>
    <w:p w14:paraId="0F0EBB99" w14:textId="77777777" w:rsidR="003971B1" w:rsidRDefault="003971B1" w:rsidP="00124037">
      <w:pPr>
        <w:spacing w:line="276" w:lineRule="auto"/>
        <w:ind w:right="78"/>
        <w:jc w:val="both"/>
        <w:rPr>
          <w:rFonts w:ascii="Century Gothic" w:hAnsi="Century Gothic" w:cs="Arial"/>
        </w:rPr>
      </w:pPr>
    </w:p>
    <w:p w14:paraId="5EF1FDB5" w14:textId="77777777" w:rsidR="003971B1" w:rsidRDefault="003971B1" w:rsidP="00124037">
      <w:pPr>
        <w:spacing w:line="276" w:lineRule="auto"/>
        <w:ind w:right="78"/>
        <w:jc w:val="both"/>
        <w:rPr>
          <w:rFonts w:ascii="Century Gothic" w:hAnsi="Century Gothic" w:cs="Arial"/>
        </w:rPr>
      </w:pPr>
    </w:p>
    <w:p w14:paraId="4EEDCB6D" w14:textId="77777777" w:rsidR="003971B1" w:rsidRPr="00DA7B2B" w:rsidRDefault="003971B1" w:rsidP="00124037">
      <w:pPr>
        <w:spacing w:line="276" w:lineRule="auto"/>
        <w:ind w:right="78"/>
        <w:jc w:val="both"/>
        <w:rPr>
          <w:rFonts w:ascii="Century Gothic" w:hAnsi="Century Gothic" w:cs="Arial"/>
        </w:rPr>
      </w:pPr>
    </w:p>
    <w:bookmarkEnd w:id="1"/>
    <w:p w14:paraId="2D729F5A" w14:textId="2A07B07A" w:rsidR="00102FBD" w:rsidRPr="00CE58B8" w:rsidRDefault="00102FBD" w:rsidP="001C0CD9">
      <w:pPr>
        <w:pStyle w:val="Sinespaciado"/>
        <w:spacing w:line="276" w:lineRule="auto"/>
        <w:jc w:val="center"/>
        <w:rPr>
          <w:rFonts w:ascii="Century Gothic" w:eastAsia="Arial Unicode MS" w:hAnsi="Century Gothic" w:cs="Arial"/>
          <w:b/>
          <w:sz w:val="24"/>
          <w:szCs w:val="24"/>
        </w:rPr>
      </w:pPr>
      <w:r w:rsidRPr="00CE58B8">
        <w:rPr>
          <w:rFonts w:ascii="Century Gothic" w:eastAsia="Arial Unicode MS" w:hAnsi="Century Gothic" w:cs="Arial"/>
          <w:b/>
          <w:sz w:val="24"/>
          <w:szCs w:val="24"/>
        </w:rPr>
        <w:t xml:space="preserve">Guanajuato, </w:t>
      </w:r>
      <w:proofErr w:type="spellStart"/>
      <w:r w:rsidRPr="00CE58B8">
        <w:rPr>
          <w:rFonts w:ascii="Century Gothic" w:eastAsia="Arial Unicode MS" w:hAnsi="Century Gothic" w:cs="Arial"/>
          <w:b/>
          <w:sz w:val="24"/>
          <w:szCs w:val="24"/>
        </w:rPr>
        <w:t>Gto</w:t>
      </w:r>
      <w:proofErr w:type="spellEnd"/>
      <w:r w:rsidRPr="00CE58B8">
        <w:rPr>
          <w:rFonts w:ascii="Century Gothic" w:eastAsia="Arial Unicode MS" w:hAnsi="Century Gothic" w:cs="Arial"/>
          <w:b/>
          <w:sz w:val="24"/>
          <w:szCs w:val="24"/>
        </w:rPr>
        <w:t>.,</w:t>
      </w:r>
      <w:r w:rsidR="00ED51EE" w:rsidRPr="00CE58B8">
        <w:rPr>
          <w:rFonts w:ascii="Century Gothic" w:eastAsia="Arial Unicode MS" w:hAnsi="Century Gothic" w:cs="Arial"/>
          <w:b/>
          <w:sz w:val="24"/>
          <w:szCs w:val="24"/>
        </w:rPr>
        <w:t xml:space="preserve"> </w:t>
      </w:r>
      <w:r w:rsidR="003971B1">
        <w:rPr>
          <w:rFonts w:ascii="Century Gothic" w:eastAsia="Arial Unicode MS" w:hAnsi="Century Gothic" w:cs="Arial"/>
          <w:b/>
          <w:sz w:val="24"/>
          <w:szCs w:val="24"/>
        </w:rPr>
        <w:t>15 de febrero</w:t>
      </w:r>
      <w:r w:rsidR="006E139F">
        <w:rPr>
          <w:rFonts w:ascii="Century Gothic" w:eastAsia="Arial Unicode MS" w:hAnsi="Century Gothic" w:cs="Arial"/>
          <w:b/>
          <w:sz w:val="24"/>
          <w:szCs w:val="24"/>
        </w:rPr>
        <w:t xml:space="preserve"> de 2024</w:t>
      </w:r>
    </w:p>
    <w:p w14:paraId="21580FB9" w14:textId="77777777" w:rsidR="00102FBD" w:rsidRPr="00CE58B8" w:rsidRDefault="00102FBD" w:rsidP="001C0CD9">
      <w:pPr>
        <w:pStyle w:val="Sinespaciado"/>
        <w:spacing w:line="276" w:lineRule="auto"/>
        <w:jc w:val="center"/>
        <w:rPr>
          <w:rFonts w:ascii="Century Gothic" w:eastAsia="Arial Unicode MS" w:hAnsi="Century Gothic" w:cs="Arial"/>
          <w:b/>
          <w:sz w:val="24"/>
          <w:szCs w:val="24"/>
        </w:rPr>
      </w:pPr>
      <w:r w:rsidRPr="00CE58B8">
        <w:rPr>
          <w:rFonts w:ascii="Century Gothic" w:eastAsia="Arial Unicode MS" w:hAnsi="Century Gothic" w:cs="Arial"/>
          <w:b/>
          <w:sz w:val="24"/>
          <w:szCs w:val="24"/>
        </w:rPr>
        <w:t>La Comisión de Desarrollo Económico y Social</w:t>
      </w:r>
    </w:p>
    <w:p w14:paraId="5E7C070F" w14:textId="4BFF299D" w:rsidR="00102FBD" w:rsidRPr="00CE58B8" w:rsidRDefault="00102FBD" w:rsidP="001C0CD9">
      <w:pPr>
        <w:pStyle w:val="Sinespaciado"/>
        <w:spacing w:line="276" w:lineRule="auto"/>
        <w:jc w:val="both"/>
        <w:rPr>
          <w:rFonts w:ascii="Century Gothic" w:eastAsia="Arial Unicode MS" w:hAnsi="Century Gothic" w:cs="Arial"/>
          <w:sz w:val="24"/>
          <w:szCs w:val="24"/>
        </w:rPr>
      </w:pPr>
    </w:p>
    <w:p w14:paraId="67537384" w14:textId="77777777" w:rsidR="00A176D7" w:rsidRPr="00CE58B8" w:rsidRDefault="00A176D7" w:rsidP="001C0CD9">
      <w:pPr>
        <w:pStyle w:val="Sinespaciado"/>
        <w:spacing w:line="276" w:lineRule="auto"/>
        <w:ind w:firstLine="708"/>
        <w:jc w:val="both"/>
        <w:rPr>
          <w:rFonts w:ascii="Century Gothic" w:eastAsia="Arial Unicode MS" w:hAnsi="Century Gothic" w:cs="Arial"/>
          <w:sz w:val="24"/>
          <w:szCs w:val="24"/>
        </w:rPr>
      </w:pPr>
    </w:p>
    <w:tbl>
      <w:tblPr>
        <w:tblW w:w="0" w:type="auto"/>
        <w:tblLook w:val="04A0" w:firstRow="1" w:lastRow="0" w:firstColumn="1" w:lastColumn="0" w:noHBand="0" w:noVBand="1"/>
      </w:tblPr>
      <w:tblGrid>
        <w:gridCol w:w="4411"/>
        <w:gridCol w:w="4427"/>
      </w:tblGrid>
      <w:tr w:rsidR="00102FBD" w:rsidRPr="00CE58B8" w14:paraId="79583E5F" w14:textId="77777777" w:rsidTr="00C87A27">
        <w:tc>
          <w:tcPr>
            <w:tcW w:w="8838" w:type="dxa"/>
            <w:gridSpan w:val="2"/>
          </w:tcPr>
          <w:p w14:paraId="5727B525" w14:textId="77777777" w:rsidR="00102FBD" w:rsidRPr="00CE58B8" w:rsidRDefault="00102FBD" w:rsidP="001C0CD9">
            <w:pPr>
              <w:pStyle w:val="Sinespaciado"/>
              <w:spacing w:line="276" w:lineRule="auto"/>
              <w:jc w:val="center"/>
              <w:rPr>
                <w:rFonts w:ascii="Century Gothic" w:eastAsia="Arial Unicode MS" w:hAnsi="Century Gothic" w:cs="Arial"/>
                <w:b/>
                <w:sz w:val="24"/>
                <w:szCs w:val="24"/>
              </w:rPr>
            </w:pPr>
            <w:proofErr w:type="spellStart"/>
            <w:r w:rsidRPr="00CE58B8">
              <w:rPr>
                <w:rFonts w:ascii="Century Gothic" w:eastAsia="Arial Unicode MS" w:hAnsi="Century Gothic" w:cs="Arial"/>
                <w:b/>
                <w:sz w:val="24"/>
                <w:szCs w:val="24"/>
              </w:rPr>
              <w:t>Dip</w:t>
            </w:r>
            <w:proofErr w:type="spellEnd"/>
            <w:r w:rsidRPr="00CE58B8">
              <w:rPr>
                <w:rFonts w:ascii="Century Gothic" w:eastAsia="Arial Unicode MS" w:hAnsi="Century Gothic" w:cs="Arial"/>
                <w:b/>
                <w:sz w:val="24"/>
                <w:szCs w:val="24"/>
              </w:rPr>
              <w:t>. Miguel Ángel Salim Alle</w:t>
            </w:r>
          </w:p>
          <w:p w14:paraId="42433963" w14:textId="77777777" w:rsidR="00102FBD" w:rsidRPr="00CE58B8" w:rsidRDefault="00102FBD" w:rsidP="001C0CD9">
            <w:pPr>
              <w:pStyle w:val="Sinespaciado"/>
              <w:spacing w:line="276" w:lineRule="auto"/>
              <w:jc w:val="center"/>
              <w:rPr>
                <w:rFonts w:ascii="Century Gothic" w:eastAsia="Arial Unicode MS" w:hAnsi="Century Gothic" w:cs="Arial"/>
                <w:b/>
                <w:sz w:val="24"/>
                <w:szCs w:val="24"/>
              </w:rPr>
            </w:pPr>
            <w:r w:rsidRPr="00CE58B8">
              <w:rPr>
                <w:rFonts w:ascii="Century Gothic" w:eastAsia="Arial Unicode MS" w:hAnsi="Century Gothic" w:cs="Arial"/>
                <w:b/>
                <w:sz w:val="24"/>
                <w:szCs w:val="24"/>
              </w:rPr>
              <w:t>Presidente</w:t>
            </w:r>
          </w:p>
          <w:p w14:paraId="295D3F75" w14:textId="4BB6E385" w:rsidR="00BA2143" w:rsidRPr="00CE58B8" w:rsidRDefault="00BA2143" w:rsidP="001C0CD9">
            <w:pPr>
              <w:pStyle w:val="Sinespaciado"/>
              <w:spacing w:line="276" w:lineRule="auto"/>
              <w:ind w:firstLine="708"/>
              <w:jc w:val="center"/>
              <w:rPr>
                <w:rFonts w:ascii="Century Gothic" w:eastAsia="Arial Unicode MS" w:hAnsi="Century Gothic" w:cs="Arial"/>
                <w:b/>
                <w:sz w:val="24"/>
                <w:szCs w:val="24"/>
              </w:rPr>
            </w:pPr>
          </w:p>
        </w:tc>
      </w:tr>
      <w:tr w:rsidR="00102FBD" w:rsidRPr="001720FA" w14:paraId="5A9FD428" w14:textId="77777777" w:rsidTr="00C87A27">
        <w:tc>
          <w:tcPr>
            <w:tcW w:w="4411" w:type="dxa"/>
          </w:tcPr>
          <w:p w14:paraId="2C687F36" w14:textId="457BC0D4" w:rsidR="00102FBD" w:rsidRPr="00CE58B8" w:rsidRDefault="00102FBD" w:rsidP="001C0CD9">
            <w:pPr>
              <w:pStyle w:val="Sinespaciado"/>
              <w:spacing w:line="276" w:lineRule="auto"/>
              <w:rPr>
                <w:rFonts w:ascii="Century Gothic" w:eastAsia="Arial Unicode MS" w:hAnsi="Century Gothic" w:cs="Arial"/>
                <w:b/>
                <w:sz w:val="24"/>
                <w:szCs w:val="24"/>
              </w:rPr>
            </w:pPr>
          </w:p>
          <w:p w14:paraId="37A14C80" w14:textId="77777777" w:rsidR="00FD1C6B" w:rsidRPr="00CE58B8" w:rsidRDefault="00FD1C6B" w:rsidP="001C0CD9">
            <w:pPr>
              <w:pStyle w:val="Sinespaciado"/>
              <w:spacing w:line="276" w:lineRule="auto"/>
              <w:jc w:val="center"/>
              <w:rPr>
                <w:rFonts w:ascii="Century Gothic" w:eastAsia="Arial Unicode MS" w:hAnsi="Century Gothic" w:cs="Arial"/>
                <w:b/>
                <w:sz w:val="24"/>
                <w:szCs w:val="24"/>
              </w:rPr>
            </w:pPr>
          </w:p>
          <w:p w14:paraId="3FE51355" w14:textId="211622BE" w:rsidR="00102FBD" w:rsidRPr="00CE58B8" w:rsidRDefault="00102FBD" w:rsidP="001C0CD9">
            <w:pPr>
              <w:pStyle w:val="Sinespaciado"/>
              <w:spacing w:line="276" w:lineRule="auto"/>
              <w:ind w:hanging="9"/>
              <w:jc w:val="center"/>
              <w:rPr>
                <w:rFonts w:ascii="Century Gothic" w:eastAsia="Arial Unicode MS" w:hAnsi="Century Gothic" w:cs="Arial"/>
                <w:b/>
                <w:sz w:val="24"/>
                <w:szCs w:val="24"/>
              </w:rPr>
            </w:pPr>
            <w:proofErr w:type="spellStart"/>
            <w:r w:rsidRPr="00CE58B8">
              <w:rPr>
                <w:rFonts w:ascii="Century Gothic" w:eastAsia="Arial Unicode MS" w:hAnsi="Century Gothic" w:cs="Arial"/>
                <w:b/>
                <w:sz w:val="24"/>
                <w:szCs w:val="24"/>
              </w:rPr>
              <w:t>Dip</w:t>
            </w:r>
            <w:proofErr w:type="spellEnd"/>
            <w:r w:rsidRPr="00CE58B8">
              <w:rPr>
                <w:rFonts w:ascii="Century Gothic" w:eastAsia="Arial Unicode MS" w:hAnsi="Century Gothic" w:cs="Arial"/>
                <w:b/>
                <w:sz w:val="24"/>
                <w:szCs w:val="24"/>
              </w:rPr>
              <w:t xml:space="preserve">. </w:t>
            </w:r>
            <w:r w:rsidR="00326808" w:rsidRPr="00CE58B8">
              <w:rPr>
                <w:rFonts w:ascii="Century Gothic" w:eastAsia="Arial Unicode MS" w:hAnsi="Century Gothic" w:cs="Arial"/>
                <w:b/>
                <w:sz w:val="24"/>
                <w:szCs w:val="24"/>
              </w:rPr>
              <w:t>Alejandro Arias Ávila</w:t>
            </w:r>
          </w:p>
          <w:p w14:paraId="44838115" w14:textId="77777777" w:rsidR="00586F6C" w:rsidRPr="00CE58B8" w:rsidRDefault="00102FBD" w:rsidP="001C0CD9">
            <w:pPr>
              <w:pStyle w:val="Sinespaciado"/>
              <w:spacing w:line="276" w:lineRule="auto"/>
              <w:jc w:val="center"/>
              <w:rPr>
                <w:rFonts w:ascii="Century Gothic" w:eastAsia="Arial Unicode MS" w:hAnsi="Century Gothic" w:cs="Arial"/>
                <w:b/>
                <w:sz w:val="24"/>
                <w:szCs w:val="24"/>
              </w:rPr>
            </w:pPr>
            <w:r w:rsidRPr="00CE58B8">
              <w:rPr>
                <w:rFonts w:ascii="Century Gothic" w:eastAsia="Arial Unicode MS" w:hAnsi="Century Gothic" w:cs="Arial"/>
                <w:b/>
                <w:sz w:val="24"/>
                <w:szCs w:val="24"/>
              </w:rPr>
              <w:t>Secretario</w:t>
            </w:r>
          </w:p>
          <w:p w14:paraId="6F236653" w14:textId="77777777" w:rsidR="00586F6C" w:rsidRPr="00CE58B8" w:rsidRDefault="00586F6C" w:rsidP="001C0CD9">
            <w:pPr>
              <w:pStyle w:val="Sinespaciado"/>
              <w:spacing w:line="276" w:lineRule="auto"/>
              <w:jc w:val="center"/>
              <w:rPr>
                <w:rFonts w:ascii="Century Gothic" w:eastAsia="Arial Unicode MS" w:hAnsi="Century Gothic" w:cs="Arial"/>
                <w:b/>
                <w:sz w:val="24"/>
                <w:szCs w:val="24"/>
              </w:rPr>
            </w:pPr>
          </w:p>
          <w:p w14:paraId="3DEBD1B3" w14:textId="77777777" w:rsidR="00BA2143" w:rsidRPr="00CE58B8" w:rsidRDefault="00BA2143" w:rsidP="001C0CD9">
            <w:pPr>
              <w:pStyle w:val="Sinespaciado"/>
              <w:spacing w:line="276" w:lineRule="auto"/>
              <w:rPr>
                <w:rFonts w:ascii="Century Gothic" w:eastAsia="Arial Unicode MS" w:hAnsi="Century Gothic" w:cs="Arial"/>
                <w:b/>
                <w:sz w:val="24"/>
                <w:szCs w:val="24"/>
              </w:rPr>
            </w:pPr>
          </w:p>
          <w:p w14:paraId="02870251" w14:textId="77777777" w:rsidR="00102FBD" w:rsidRPr="00CE58B8" w:rsidRDefault="00102FBD" w:rsidP="001C0CD9">
            <w:pPr>
              <w:pStyle w:val="Sinespaciado"/>
              <w:spacing w:line="276" w:lineRule="auto"/>
              <w:jc w:val="center"/>
              <w:rPr>
                <w:rFonts w:ascii="Century Gothic" w:eastAsia="Arial Unicode MS" w:hAnsi="Century Gothic" w:cs="Arial"/>
                <w:b/>
                <w:sz w:val="24"/>
                <w:szCs w:val="24"/>
              </w:rPr>
            </w:pPr>
          </w:p>
          <w:p w14:paraId="07279B98" w14:textId="77777777" w:rsidR="00586F6C" w:rsidRPr="00CE58B8" w:rsidRDefault="00586F6C" w:rsidP="001C0CD9">
            <w:pPr>
              <w:pStyle w:val="Sinespaciado"/>
              <w:spacing w:line="276" w:lineRule="auto"/>
              <w:jc w:val="center"/>
              <w:rPr>
                <w:rFonts w:ascii="Century Gothic" w:eastAsia="Arial Unicode MS" w:hAnsi="Century Gothic" w:cs="Arial"/>
                <w:b/>
                <w:sz w:val="24"/>
                <w:szCs w:val="24"/>
              </w:rPr>
            </w:pPr>
            <w:proofErr w:type="spellStart"/>
            <w:r w:rsidRPr="00CE58B8">
              <w:rPr>
                <w:rFonts w:ascii="Century Gothic" w:eastAsia="Arial Unicode MS" w:hAnsi="Century Gothic" w:cs="Arial"/>
                <w:b/>
                <w:sz w:val="24"/>
                <w:szCs w:val="24"/>
              </w:rPr>
              <w:t>Dip</w:t>
            </w:r>
            <w:proofErr w:type="spellEnd"/>
            <w:r w:rsidRPr="00CE58B8">
              <w:rPr>
                <w:rFonts w:ascii="Century Gothic" w:eastAsia="Arial Unicode MS" w:hAnsi="Century Gothic" w:cs="Arial"/>
                <w:b/>
                <w:sz w:val="24"/>
                <w:szCs w:val="24"/>
              </w:rPr>
              <w:t>. Vícto</w:t>
            </w:r>
            <w:r w:rsidR="0090131E" w:rsidRPr="00CE58B8">
              <w:rPr>
                <w:rFonts w:ascii="Century Gothic" w:eastAsia="Arial Unicode MS" w:hAnsi="Century Gothic" w:cs="Arial"/>
                <w:b/>
                <w:sz w:val="24"/>
                <w:szCs w:val="24"/>
              </w:rPr>
              <w:t>r Manuel Zanella Huerta</w:t>
            </w:r>
          </w:p>
          <w:p w14:paraId="36F6C961" w14:textId="31D492D7" w:rsidR="0090131E" w:rsidRPr="00CE58B8" w:rsidRDefault="0090131E" w:rsidP="001C0CD9">
            <w:pPr>
              <w:pStyle w:val="Sinespaciado"/>
              <w:spacing w:line="276" w:lineRule="auto"/>
              <w:jc w:val="center"/>
              <w:rPr>
                <w:rFonts w:ascii="Century Gothic" w:eastAsia="Arial Unicode MS" w:hAnsi="Century Gothic" w:cs="Arial"/>
                <w:b/>
                <w:sz w:val="24"/>
                <w:szCs w:val="24"/>
              </w:rPr>
            </w:pPr>
            <w:r w:rsidRPr="00CE58B8">
              <w:rPr>
                <w:rFonts w:ascii="Century Gothic" w:eastAsia="Arial Unicode MS" w:hAnsi="Century Gothic" w:cs="Arial"/>
                <w:b/>
                <w:sz w:val="24"/>
                <w:szCs w:val="24"/>
              </w:rPr>
              <w:t>Vocal</w:t>
            </w:r>
          </w:p>
        </w:tc>
        <w:tc>
          <w:tcPr>
            <w:tcW w:w="4427" w:type="dxa"/>
          </w:tcPr>
          <w:p w14:paraId="534876AE" w14:textId="420088EA" w:rsidR="00102FBD" w:rsidRPr="00CE58B8" w:rsidRDefault="00102FBD" w:rsidP="001C0CD9">
            <w:pPr>
              <w:pStyle w:val="Sinespaciado"/>
              <w:spacing w:line="276" w:lineRule="auto"/>
              <w:rPr>
                <w:rFonts w:ascii="Century Gothic" w:eastAsia="Arial Unicode MS" w:hAnsi="Century Gothic" w:cs="Arial"/>
                <w:b/>
                <w:sz w:val="24"/>
                <w:szCs w:val="24"/>
              </w:rPr>
            </w:pPr>
          </w:p>
          <w:p w14:paraId="29915E9D" w14:textId="77777777" w:rsidR="00FD1C6B" w:rsidRPr="00CE58B8" w:rsidRDefault="00FD1C6B" w:rsidP="001C0CD9">
            <w:pPr>
              <w:pStyle w:val="Sinespaciado"/>
              <w:spacing w:line="276" w:lineRule="auto"/>
              <w:ind w:firstLine="708"/>
              <w:jc w:val="center"/>
              <w:rPr>
                <w:rFonts w:ascii="Century Gothic" w:eastAsia="Arial Unicode MS" w:hAnsi="Century Gothic" w:cs="Arial"/>
                <w:b/>
                <w:sz w:val="24"/>
                <w:szCs w:val="24"/>
              </w:rPr>
            </w:pPr>
          </w:p>
          <w:p w14:paraId="5C09FA69" w14:textId="77777777" w:rsidR="00102FBD" w:rsidRPr="00CE58B8" w:rsidRDefault="00102FBD" w:rsidP="001C0CD9">
            <w:pPr>
              <w:pStyle w:val="Sinespaciado"/>
              <w:spacing w:line="276" w:lineRule="auto"/>
              <w:ind w:hanging="9"/>
              <w:jc w:val="center"/>
              <w:rPr>
                <w:rFonts w:ascii="Century Gothic" w:eastAsia="Arial Unicode MS" w:hAnsi="Century Gothic" w:cs="Arial"/>
                <w:b/>
                <w:sz w:val="24"/>
                <w:szCs w:val="24"/>
              </w:rPr>
            </w:pPr>
            <w:proofErr w:type="spellStart"/>
            <w:r w:rsidRPr="00CE58B8">
              <w:rPr>
                <w:rFonts w:ascii="Century Gothic" w:eastAsia="Arial Unicode MS" w:hAnsi="Century Gothic" w:cs="Arial"/>
                <w:b/>
                <w:sz w:val="24"/>
                <w:szCs w:val="24"/>
              </w:rPr>
              <w:t>Dip</w:t>
            </w:r>
            <w:proofErr w:type="spellEnd"/>
            <w:r w:rsidRPr="00CE58B8">
              <w:rPr>
                <w:rFonts w:ascii="Century Gothic" w:eastAsia="Arial Unicode MS" w:hAnsi="Century Gothic" w:cs="Arial"/>
                <w:b/>
                <w:sz w:val="24"/>
                <w:szCs w:val="24"/>
              </w:rPr>
              <w:t xml:space="preserve">. </w:t>
            </w:r>
            <w:r w:rsidR="00326808" w:rsidRPr="00CE58B8">
              <w:rPr>
                <w:rFonts w:ascii="Century Gothic" w:eastAsia="Arial Unicode MS" w:hAnsi="Century Gothic" w:cs="Arial"/>
                <w:b/>
                <w:sz w:val="24"/>
                <w:szCs w:val="24"/>
              </w:rPr>
              <w:t xml:space="preserve">Janet Melanie </w:t>
            </w:r>
            <w:r w:rsidR="00586F6C" w:rsidRPr="00CE58B8">
              <w:rPr>
                <w:rFonts w:ascii="Century Gothic" w:eastAsia="Arial Unicode MS" w:hAnsi="Century Gothic" w:cs="Arial"/>
                <w:b/>
                <w:sz w:val="24"/>
                <w:szCs w:val="24"/>
              </w:rPr>
              <w:t xml:space="preserve">Murillo Chávez </w:t>
            </w:r>
            <w:r w:rsidRPr="00CE58B8">
              <w:rPr>
                <w:rFonts w:ascii="Century Gothic" w:eastAsia="Arial Unicode MS" w:hAnsi="Century Gothic" w:cs="Arial"/>
                <w:b/>
                <w:sz w:val="24"/>
                <w:szCs w:val="24"/>
              </w:rPr>
              <w:t>Vocal</w:t>
            </w:r>
          </w:p>
          <w:p w14:paraId="59EC0249" w14:textId="1AD897C5" w:rsidR="0090131E" w:rsidRPr="00CE58B8" w:rsidRDefault="0090131E" w:rsidP="001C0CD9">
            <w:pPr>
              <w:pStyle w:val="Sinespaciado"/>
              <w:spacing w:line="276" w:lineRule="auto"/>
              <w:ind w:hanging="9"/>
              <w:jc w:val="center"/>
              <w:rPr>
                <w:rFonts w:ascii="Century Gothic" w:eastAsia="Arial Unicode MS" w:hAnsi="Century Gothic" w:cs="Arial"/>
                <w:b/>
                <w:sz w:val="24"/>
                <w:szCs w:val="24"/>
              </w:rPr>
            </w:pPr>
          </w:p>
          <w:p w14:paraId="02432EF2" w14:textId="77777777" w:rsidR="00BA2143" w:rsidRPr="00CE58B8" w:rsidRDefault="00BA2143" w:rsidP="001C0CD9">
            <w:pPr>
              <w:pStyle w:val="Sinespaciado"/>
              <w:spacing w:line="276" w:lineRule="auto"/>
              <w:ind w:hanging="9"/>
              <w:jc w:val="center"/>
              <w:rPr>
                <w:rFonts w:ascii="Century Gothic" w:eastAsia="Arial Unicode MS" w:hAnsi="Century Gothic" w:cs="Arial"/>
                <w:b/>
                <w:sz w:val="24"/>
                <w:szCs w:val="24"/>
              </w:rPr>
            </w:pPr>
          </w:p>
          <w:p w14:paraId="55F51ACC" w14:textId="77777777" w:rsidR="0090131E" w:rsidRPr="00CE58B8" w:rsidRDefault="0090131E" w:rsidP="001C0CD9">
            <w:pPr>
              <w:pStyle w:val="Sinespaciado"/>
              <w:spacing w:line="276" w:lineRule="auto"/>
              <w:rPr>
                <w:rFonts w:ascii="Century Gothic" w:eastAsia="Arial Unicode MS" w:hAnsi="Century Gothic" w:cs="Arial"/>
                <w:b/>
                <w:sz w:val="24"/>
                <w:szCs w:val="24"/>
              </w:rPr>
            </w:pPr>
          </w:p>
          <w:p w14:paraId="6D223891" w14:textId="77777777" w:rsidR="0090131E" w:rsidRPr="00CE58B8" w:rsidRDefault="0090131E" w:rsidP="001C0CD9">
            <w:pPr>
              <w:pStyle w:val="Sinespaciado"/>
              <w:spacing w:line="276" w:lineRule="auto"/>
              <w:rPr>
                <w:rFonts w:ascii="Century Gothic" w:eastAsia="Arial Unicode MS" w:hAnsi="Century Gothic" w:cs="Arial"/>
                <w:b/>
                <w:sz w:val="24"/>
                <w:szCs w:val="24"/>
              </w:rPr>
            </w:pPr>
            <w:proofErr w:type="spellStart"/>
            <w:r w:rsidRPr="00CE58B8">
              <w:rPr>
                <w:rFonts w:ascii="Century Gothic" w:eastAsia="Arial Unicode MS" w:hAnsi="Century Gothic" w:cs="Arial"/>
                <w:b/>
                <w:sz w:val="24"/>
                <w:szCs w:val="24"/>
              </w:rPr>
              <w:t>Dip</w:t>
            </w:r>
            <w:proofErr w:type="spellEnd"/>
            <w:r w:rsidRPr="00CE58B8">
              <w:rPr>
                <w:rFonts w:ascii="Century Gothic" w:eastAsia="Arial Unicode MS" w:hAnsi="Century Gothic" w:cs="Arial"/>
                <w:b/>
                <w:sz w:val="24"/>
                <w:szCs w:val="24"/>
              </w:rPr>
              <w:t xml:space="preserve">. Martha Edith Moreno </w:t>
            </w:r>
            <w:r w:rsidR="00BA2143" w:rsidRPr="00CE58B8">
              <w:rPr>
                <w:rFonts w:ascii="Century Gothic" w:eastAsia="Arial Unicode MS" w:hAnsi="Century Gothic" w:cs="Arial"/>
                <w:b/>
                <w:sz w:val="24"/>
                <w:szCs w:val="24"/>
              </w:rPr>
              <w:t>Valencia</w:t>
            </w:r>
          </w:p>
          <w:p w14:paraId="3062D55B" w14:textId="5BFA27BD" w:rsidR="00BA2143" w:rsidRPr="001720FA" w:rsidRDefault="00BA2143" w:rsidP="001C0CD9">
            <w:pPr>
              <w:pStyle w:val="Sinespaciado"/>
              <w:spacing w:line="276" w:lineRule="auto"/>
              <w:jc w:val="center"/>
              <w:rPr>
                <w:rFonts w:ascii="Century Gothic" w:eastAsia="Arial Unicode MS" w:hAnsi="Century Gothic" w:cs="Arial"/>
                <w:b/>
                <w:sz w:val="24"/>
                <w:szCs w:val="24"/>
              </w:rPr>
            </w:pPr>
            <w:r w:rsidRPr="00CE58B8">
              <w:rPr>
                <w:rFonts w:ascii="Century Gothic" w:eastAsia="Arial Unicode MS" w:hAnsi="Century Gothic" w:cs="Arial"/>
                <w:b/>
                <w:sz w:val="24"/>
                <w:szCs w:val="24"/>
              </w:rPr>
              <w:t>Voca</w:t>
            </w:r>
            <w:r w:rsidR="00480BD8" w:rsidRPr="00CE58B8">
              <w:rPr>
                <w:rFonts w:ascii="Century Gothic" w:eastAsia="Arial Unicode MS" w:hAnsi="Century Gothic" w:cs="Arial"/>
                <w:b/>
                <w:sz w:val="24"/>
                <w:szCs w:val="24"/>
              </w:rPr>
              <w:t>l</w:t>
            </w:r>
          </w:p>
        </w:tc>
      </w:tr>
    </w:tbl>
    <w:p w14:paraId="1C91ABB3" w14:textId="421DD136" w:rsidR="00A176D7" w:rsidRDefault="00A176D7" w:rsidP="001C0CD9">
      <w:pPr>
        <w:spacing w:line="276" w:lineRule="auto"/>
        <w:jc w:val="both"/>
        <w:rPr>
          <w:rFonts w:ascii="Century Gothic" w:hAnsi="Century Gothic" w:cs="Arial"/>
          <w:b/>
          <w:bCs/>
        </w:rPr>
      </w:pPr>
    </w:p>
    <w:p w14:paraId="1B49A894" w14:textId="77777777" w:rsidR="00060E74" w:rsidRDefault="00060E74" w:rsidP="001C0CD9">
      <w:pPr>
        <w:spacing w:line="276" w:lineRule="auto"/>
        <w:jc w:val="both"/>
        <w:rPr>
          <w:rFonts w:ascii="Century Gothic" w:hAnsi="Century Gothic" w:cs="Arial"/>
          <w:b/>
          <w:bCs/>
        </w:rPr>
      </w:pPr>
    </w:p>
    <w:p w14:paraId="4B7A7062" w14:textId="77777777" w:rsidR="00060E74" w:rsidRDefault="00060E74" w:rsidP="001C0CD9">
      <w:pPr>
        <w:spacing w:line="276" w:lineRule="auto"/>
        <w:jc w:val="both"/>
        <w:rPr>
          <w:rFonts w:ascii="Century Gothic" w:hAnsi="Century Gothic" w:cs="Arial"/>
          <w:b/>
          <w:bCs/>
        </w:rPr>
      </w:pPr>
    </w:p>
    <w:p w14:paraId="4268F42C" w14:textId="77777777" w:rsidR="00060E74" w:rsidRDefault="00060E74" w:rsidP="001C0CD9">
      <w:pPr>
        <w:spacing w:line="276" w:lineRule="auto"/>
        <w:jc w:val="both"/>
        <w:rPr>
          <w:rFonts w:ascii="Century Gothic" w:hAnsi="Century Gothic" w:cs="Arial"/>
          <w:b/>
          <w:bCs/>
        </w:rPr>
      </w:pPr>
    </w:p>
    <w:p w14:paraId="7ED3653D" w14:textId="77777777" w:rsidR="00060E74" w:rsidRDefault="00060E74" w:rsidP="001C0CD9">
      <w:pPr>
        <w:spacing w:line="276" w:lineRule="auto"/>
        <w:jc w:val="both"/>
        <w:rPr>
          <w:rFonts w:ascii="Century Gothic" w:hAnsi="Century Gothic" w:cs="Arial"/>
          <w:b/>
          <w:bCs/>
        </w:rPr>
      </w:pPr>
    </w:p>
    <w:p w14:paraId="39574192" w14:textId="77777777" w:rsidR="00060E74" w:rsidRDefault="00060E74" w:rsidP="001C0CD9">
      <w:pPr>
        <w:spacing w:line="276" w:lineRule="auto"/>
        <w:jc w:val="both"/>
        <w:rPr>
          <w:rFonts w:ascii="Century Gothic" w:hAnsi="Century Gothic" w:cs="Arial"/>
          <w:b/>
          <w:bCs/>
        </w:rPr>
      </w:pPr>
    </w:p>
    <w:p w14:paraId="42C2D668" w14:textId="77777777" w:rsidR="00060E74" w:rsidRDefault="00060E74" w:rsidP="001C0CD9">
      <w:pPr>
        <w:spacing w:line="276" w:lineRule="auto"/>
        <w:jc w:val="both"/>
        <w:rPr>
          <w:rFonts w:ascii="Century Gothic" w:hAnsi="Century Gothic" w:cs="Arial"/>
          <w:b/>
          <w:bCs/>
        </w:rPr>
      </w:pPr>
    </w:p>
    <w:p w14:paraId="0860EA08" w14:textId="77777777" w:rsidR="00060E74" w:rsidRDefault="00060E74" w:rsidP="001C0CD9">
      <w:pPr>
        <w:spacing w:line="276" w:lineRule="auto"/>
        <w:jc w:val="both"/>
        <w:rPr>
          <w:rFonts w:ascii="Century Gothic" w:hAnsi="Century Gothic" w:cs="Arial"/>
          <w:b/>
          <w:bCs/>
        </w:rPr>
      </w:pPr>
    </w:p>
    <w:p w14:paraId="0D9F47A6" w14:textId="28CA4854" w:rsidR="00060E74" w:rsidRPr="00060E74" w:rsidRDefault="00060E74" w:rsidP="00060E74">
      <w:pPr>
        <w:jc w:val="both"/>
        <w:rPr>
          <w:rFonts w:ascii="Century Gothic" w:hAnsi="Century Gothic" w:cs="Arial"/>
          <w:sz w:val="16"/>
          <w:szCs w:val="16"/>
        </w:rPr>
      </w:pPr>
      <w:r w:rsidRPr="00060E74">
        <w:rPr>
          <w:rFonts w:ascii="Century Gothic" w:hAnsi="Century Gothic" w:cs="Arial"/>
          <w:sz w:val="16"/>
          <w:szCs w:val="16"/>
        </w:rPr>
        <w:t xml:space="preserve">La presente hoja forma parte del dictamen emitido por la Comisión de Desarrollo Económico y Social, mediante el cual </w:t>
      </w:r>
      <w:r>
        <w:rPr>
          <w:rFonts w:ascii="Century Gothic" w:hAnsi="Century Gothic" w:cs="Arial"/>
          <w:sz w:val="16"/>
          <w:szCs w:val="16"/>
        </w:rPr>
        <w:t>s</w:t>
      </w:r>
      <w:r w:rsidRPr="00060E74">
        <w:rPr>
          <w:rFonts w:ascii="Century Gothic" w:hAnsi="Century Gothic" w:cs="Arial"/>
          <w:sz w:val="16"/>
          <w:szCs w:val="16"/>
        </w:rPr>
        <w:t xml:space="preserve">e ordena el archivo definitivo de la propuesta de punto de acuerdo suscrito por el Diputado </w:t>
      </w:r>
      <w:r w:rsidRPr="00060E74">
        <w:rPr>
          <w:rFonts w:ascii="Century Gothic" w:hAnsi="Century Gothic"/>
          <w:sz w:val="16"/>
          <w:szCs w:val="16"/>
        </w:rPr>
        <w:t>Ernesto Alejandro Prieto Gallardo, integrante del grupo parlamentario de MORENA, a efecto de emitir exhorto para que se realice un estudio emergente sobre la situación de crecimiento de la pobreza en el municipio de León, Guanajuato, y se presenten propuestas para revertirla; y para que a través de la Subsecretaría de Trabajo y Previsión Social se establezca un programa extraordinario de revisión de cumplimiento de las condiciones laborales, en el municipio de León</w:t>
      </w:r>
      <w:r>
        <w:rPr>
          <w:rFonts w:ascii="Century Gothic" w:hAnsi="Century Gothic"/>
          <w:sz w:val="16"/>
          <w:szCs w:val="16"/>
        </w:rPr>
        <w:t xml:space="preserve">. ELD 216/LXV-PPA. - - - - - - - - - - - - - - - - - - - - - - - - - - - - - - - - - - - - - - - - - - - - - - - - </w:t>
      </w:r>
    </w:p>
    <w:sectPr w:rsidR="00060E74" w:rsidRPr="00060E74" w:rsidSect="00E5450E">
      <w:headerReference w:type="default" r:id="rId8"/>
      <w:footerReference w:type="default" r:id="rId9"/>
      <w:pgSz w:w="12240" w:h="15840"/>
      <w:pgMar w:top="3241" w:right="1701" w:bottom="1134" w:left="1701" w:header="52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5BC0C" w14:textId="77777777" w:rsidR="00E5450E" w:rsidRDefault="00E5450E" w:rsidP="008157F5">
      <w:r>
        <w:separator/>
      </w:r>
    </w:p>
  </w:endnote>
  <w:endnote w:type="continuationSeparator" w:id="0">
    <w:p w14:paraId="0AED3F4D" w14:textId="77777777" w:rsidR="00E5450E" w:rsidRDefault="00E5450E" w:rsidP="00815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Arial"/>
    <w:charset w:val="00"/>
    <w:family w:val="auto"/>
    <w:pitch w:val="default"/>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7212282"/>
      <w:docPartObj>
        <w:docPartGallery w:val="Page Numbers (Bottom of Page)"/>
        <w:docPartUnique/>
      </w:docPartObj>
    </w:sdtPr>
    <w:sdtEndPr>
      <w:rPr>
        <w:sz w:val="20"/>
        <w:szCs w:val="20"/>
      </w:rPr>
    </w:sdtEndPr>
    <w:sdtContent>
      <w:p w14:paraId="12D76D3B" w14:textId="4F8982E4" w:rsidR="002707EE" w:rsidRPr="002707EE" w:rsidRDefault="002707EE">
        <w:pPr>
          <w:pStyle w:val="Piedepgina"/>
          <w:jc w:val="right"/>
          <w:rPr>
            <w:sz w:val="20"/>
            <w:szCs w:val="20"/>
          </w:rPr>
        </w:pPr>
        <w:r w:rsidRPr="002707EE">
          <w:rPr>
            <w:sz w:val="22"/>
            <w:szCs w:val="22"/>
          </w:rPr>
          <w:fldChar w:fldCharType="begin"/>
        </w:r>
        <w:r w:rsidRPr="002707EE">
          <w:rPr>
            <w:sz w:val="22"/>
            <w:szCs w:val="22"/>
          </w:rPr>
          <w:instrText>PAGE   \* MERGEFORMAT</w:instrText>
        </w:r>
        <w:r w:rsidRPr="002707EE">
          <w:rPr>
            <w:sz w:val="22"/>
            <w:szCs w:val="22"/>
          </w:rPr>
          <w:fldChar w:fldCharType="separate"/>
        </w:r>
        <w:r w:rsidRPr="002707EE">
          <w:rPr>
            <w:sz w:val="22"/>
            <w:szCs w:val="22"/>
            <w:lang w:val="es-ES"/>
          </w:rPr>
          <w:t>2</w:t>
        </w:r>
        <w:r w:rsidRPr="002707EE">
          <w:rPr>
            <w:sz w:val="22"/>
            <w:szCs w:val="22"/>
          </w:rPr>
          <w:fldChar w:fldCharType="end"/>
        </w:r>
      </w:p>
    </w:sdtContent>
  </w:sdt>
  <w:p w14:paraId="7923F1EA" w14:textId="77777777" w:rsidR="00525D9E" w:rsidRPr="002707EE" w:rsidRDefault="00525D9E">
    <w:pPr>
      <w:pStyle w:val="Piedepgin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0596E" w14:textId="77777777" w:rsidR="00E5450E" w:rsidRDefault="00E5450E" w:rsidP="008157F5">
      <w:r>
        <w:separator/>
      </w:r>
    </w:p>
  </w:footnote>
  <w:footnote w:type="continuationSeparator" w:id="0">
    <w:p w14:paraId="72B193D5" w14:textId="77777777" w:rsidR="00E5450E" w:rsidRDefault="00E5450E" w:rsidP="008157F5">
      <w:r>
        <w:continuationSeparator/>
      </w:r>
    </w:p>
  </w:footnote>
  <w:footnote w:id="1">
    <w:p w14:paraId="691EDAD5" w14:textId="52C73410" w:rsidR="0068530C" w:rsidRPr="003971B1" w:rsidRDefault="0068530C" w:rsidP="0068530C">
      <w:pPr>
        <w:pStyle w:val="Textonotapie"/>
        <w:jc w:val="both"/>
        <w:rPr>
          <w:rFonts w:ascii="Century Gothic" w:hAnsi="Century Gothic"/>
          <w:sz w:val="16"/>
          <w:szCs w:val="16"/>
        </w:rPr>
      </w:pPr>
      <w:r w:rsidRPr="00060E74">
        <w:rPr>
          <w:rFonts w:ascii="Century Gothic" w:hAnsi="Century Gothic"/>
          <w:sz w:val="16"/>
          <w:szCs w:val="16"/>
        </w:rPr>
        <w:footnoteRef/>
      </w:r>
      <w:r w:rsidRPr="00060E74">
        <w:rPr>
          <w:rFonts w:ascii="Century Gothic" w:hAnsi="Century Gothic"/>
          <w:sz w:val="16"/>
          <w:szCs w:val="16"/>
        </w:rPr>
        <w:t xml:space="preserve"> </w:t>
      </w:r>
      <w:r w:rsidRPr="003971B1">
        <w:rPr>
          <w:rFonts w:ascii="Century Gothic" w:hAnsi="Century Gothic"/>
          <w:sz w:val="16"/>
          <w:szCs w:val="16"/>
        </w:rPr>
        <w:t xml:space="preserve">ALAS, Carlos; QUINTANA, Luis; MENDOZA, Miguel </w:t>
      </w:r>
      <w:proofErr w:type="gramStart"/>
      <w:r w:rsidRPr="003971B1">
        <w:rPr>
          <w:rFonts w:ascii="Century Gothic" w:hAnsi="Century Gothic"/>
          <w:sz w:val="16"/>
          <w:szCs w:val="16"/>
        </w:rPr>
        <w:t>Ángel  y</w:t>
      </w:r>
      <w:proofErr w:type="gramEnd"/>
      <w:r w:rsidRPr="003971B1">
        <w:rPr>
          <w:rFonts w:ascii="Century Gothic" w:hAnsi="Century Gothic"/>
          <w:sz w:val="16"/>
          <w:szCs w:val="16"/>
        </w:rPr>
        <w:t>  VALDIVIA, Marcos. </w:t>
      </w:r>
      <w:r w:rsidR="000B5579" w:rsidRPr="003971B1">
        <w:rPr>
          <w:rFonts w:ascii="Century Gothic" w:hAnsi="Century Gothic"/>
          <w:sz w:val="16"/>
          <w:szCs w:val="16"/>
        </w:rPr>
        <w:t>“</w:t>
      </w:r>
      <w:r w:rsidRPr="003971B1">
        <w:rPr>
          <w:rFonts w:ascii="Century Gothic" w:hAnsi="Century Gothic"/>
          <w:sz w:val="16"/>
          <w:szCs w:val="16"/>
        </w:rPr>
        <w:t>Distribución del ingreso laboral y la pobreza en México durante la pandemia de la Covid-19. Escenarios e impactos potenciales</w:t>
      </w:r>
      <w:r w:rsidR="000B5579" w:rsidRPr="003971B1">
        <w:rPr>
          <w:rFonts w:ascii="Century Gothic" w:hAnsi="Century Gothic"/>
          <w:sz w:val="16"/>
          <w:szCs w:val="16"/>
        </w:rPr>
        <w:t>”</w:t>
      </w:r>
      <w:r w:rsidRPr="003971B1">
        <w:rPr>
          <w:rFonts w:ascii="Century Gothic" w:hAnsi="Century Gothic"/>
          <w:sz w:val="16"/>
          <w:szCs w:val="16"/>
        </w:rPr>
        <w:t xml:space="preserve">. El trimestre económico 2020, vol.87, n.348 pp. 929-962.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26D0F" w14:textId="2D92CDDA" w:rsidR="008157F5" w:rsidRDefault="008157F5" w:rsidP="00AC2EE3">
    <w:pPr>
      <w:pStyle w:val="Encabezado"/>
    </w:pPr>
    <w:r>
      <w:rPr>
        <w:noProof/>
      </w:rPr>
      <w:drawing>
        <wp:inline distT="0" distB="0" distL="0" distR="0" wp14:anchorId="0CC2D033" wp14:editId="73EFE574">
          <wp:extent cx="1307432" cy="1265705"/>
          <wp:effectExtent l="0" t="0" r="1270" b="4445"/>
          <wp:docPr id="1128669930" name="Imagen 1128669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a de Pantalla 2019-11-29 a la(s) 12.48.52 p. m..png"/>
                  <pic:cNvPicPr/>
                </pic:nvPicPr>
                <pic:blipFill>
                  <a:blip r:embed="rId1">
                    <a:extLst>
                      <a:ext uri="{28A0092B-C50C-407E-A947-70E740481C1C}">
                        <a14:useLocalDpi xmlns:a14="http://schemas.microsoft.com/office/drawing/2010/main" val="0"/>
                      </a:ext>
                    </a:extLst>
                  </a:blip>
                  <a:stretch>
                    <a:fillRect/>
                  </a:stretch>
                </pic:blipFill>
                <pic:spPr>
                  <a:xfrm>
                    <a:off x="0" y="0"/>
                    <a:ext cx="1325111" cy="1282820"/>
                  </a:xfrm>
                  <a:prstGeom prst="rect">
                    <a:avLst/>
                  </a:prstGeom>
                </pic:spPr>
              </pic:pic>
            </a:graphicData>
          </a:graphic>
        </wp:inline>
      </w:drawing>
    </w:r>
    <w:r w:rsidR="00AC2EE3">
      <w:tab/>
    </w:r>
    <w:r w:rsidR="00AC2EE3">
      <w:tab/>
    </w:r>
    <w:r w:rsidR="00AC2EE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4pt;height:1.4pt;visibility:visible;mso-wrap-style:square" o:bullet="t">
        <v:imagedata r:id="rId1" o:title=""/>
      </v:shape>
    </w:pict>
  </w:numPicBullet>
  <w:abstractNum w:abstractNumId="0" w15:restartNumberingAfterBreak="0">
    <w:nsid w:val="9A71C82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7D3419"/>
    <w:multiLevelType w:val="hybridMultilevel"/>
    <w:tmpl w:val="860C0A68"/>
    <w:lvl w:ilvl="0" w:tplc="8848B5BA">
      <w:start w:val="5"/>
      <w:numFmt w:val="upperRoman"/>
      <w:lvlText w:val="%1."/>
      <w:lvlJc w:val="left"/>
      <w:pPr>
        <w:ind w:left="3403" w:hanging="423"/>
      </w:pPr>
      <w:rPr>
        <w:rFonts w:ascii="Century Gothic" w:eastAsia="Century Gothic" w:hAnsi="Century Gothic" w:cs="Century Gothic" w:hint="default"/>
        <w:b w:val="0"/>
        <w:bCs w:val="0"/>
        <w:i w:val="0"/>
        <w:iCs w:val="0"/>
        <w:w w:val="100"/>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E91D40"/>
    <w:multiLevelType w:val="hybridMultilevel"/>
    <w:tmpl w:val="CC52D946"/>
    <w:lvl w:ilvl="0" w:tplc="B366C960">
      <w:start w:val="1"/>
      <w:numFmt w:val="low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8F0113A"/>
    <w:multiLevelType w:val="hybridMultilevel"/>
    <w:tmpl w:val="BD60A5A2"/>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44A0D02"/>
    <w:multiLevelType w:val="hybridMultilevel"/>
    <w:tmpl w:val="6652C414"/>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5" w15:restartNumberingAfterBreak="0">
    <w:nsid w:val="18F53162"/>
    <w:multiLevelType w:val="hybridMultilevel"/>
    <w:tmpl w:val="29B421C4"/>
    <w:lvl w:ilvl="0" w:tplc="C5BC65B0">
      <w:start w:val="1"/>
      <w:numFmt w:val="upperRoman"/>
      <w:lvlText w:val="%1."/>
      <w:lvlJc w:val="left"/>
      <w:pPr>
        <w:ind w:left="1080" w:hanging="720"/>
      </w:pPr>
      <w:rPr>
        <w:rFonts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A8921B1"/>
    <w:multiLevelType w:val="hybridMultilevel"/>
    <w:tmpl w:val="9668B844"/>
    <w:lvl w:ilvl="0" w:tplc="FFFFFFFF">
      <w:start w:val="1"/>
      <w:numFmt w:val="upperRoman"/>
      <w:lvlText w:val="%1."/>
      <w:lvlJc w:val="left"/>
      <w:pPr>
        <w:ind w:left="862" w:hanging="720"/>
      </w:pPr>
      <w:rPr>
        <w:rFonts w:hint="default"/>
        <w:b w:val="0"/>
        <w:bCs/>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7" w15:restartNumberingAfterBreak="0">
    <w:nsid w:val="1F1B76DD"/>
    <w:multiLevelType w:val="hybridMultilevel"/>
    <w:tmpl w:val="4E36CB3C"/>
    <w:lvl w:ilvl="0" w:tplc="25AE123E">
      <w:start w:val="1"/>
      <w:numFmt w:val="upperRoman"/>
      <w:lvlText w:val="%1."/>
      <w:lvlJc w:val="left"/>
      <w:pPr>
        <w:ind w:left="862" w:hanging="720"/>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8" w15:restartNumberingAfterBreak="0">
    <w:nsid w:val="2063289A"/>
    <w:multiLevelType w:val="hybridMultilevel"/>
    <w:tmpl w:val="3FE45FCE"/>
    <w:lvl w:ilvl="0" w:tplc="4BFC6BBA">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20726D77"/>
    <w:multiLevelType w:val="multilevel"/>
    <w:tmpl w:val="6C9E72B8"/>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0" w15:restartNumberingAfterBreak="0">
    <w:nsid w:val="279C4515"/>
    <w:multiLevelType w:val="multilevel"/>
    <w:tmpl w:val="363E72CE"/>
    <w:lvl w:ilvl="0">
      <w:start w:val="1"/>
      <w:numFmt w:val="decimal"/>
      <w:lvlText w:val="%1."/>
      <w:lvlJc w:val="left"/>
      <w:pPr>
        <w:ind w:left="720" w:hanging="360"/>
      </w:pPr>
      <w:rPr>
        <w:rFonts w:hint="default"/>
        <w:b/>
        <w:bCs/>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33091456"/>
    <w:multiLevelType w:val="multilevel"/>
    <w:tmpl w:val="BBAEB0B8"/>
    <w:lvl w:ilvl="0">
      <w:start w:val="1"/>
      <w:numFmt w:val="decimal"/>
      <w:lvlText w:val="%1."/>
      <w:lvlJc w:val="left"/>
      <w:pPr>
        <w:ind w:left="1004"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919" w:hanging="1080"/>
      </w:pPr>
      <w:rPr>
        <w:rFonts w:hint="default"/>
      </w:rPr>
    </w:lvl>
    <w:lvl w:ilvl="4">
      <w:start w:val="1"/>
      <w:numFmt w:val="decimal"/>
      <w:isLgl/>
      <w:lvlText w:val="%1.%2.%3.%4.%5"/>
      <w:lvlJc w:val="left"/>
      <w:pPr>
        <w:ind w:left="1984" w:hanging="1080"/>
      </w:pPr>
      <w:rPr>
        <w:rFonts w:hint="default"/>
      </w:rPr>
    </w:lvl>
    <w:lvl w:ilvl="5">
      <w:start w:val="1"/>
      <w:numFmt w:val="decimal"/>
      <w:isLgl/>
      <w:lvlText w:val="%1.%2.%3.%4.%5.%6"/>
      <w:lvlJc w:val="left"/>
      <w:pPr>
        <w:ind w:left="2409" w:hanging="1440"/>
      </w:pPr>
      <w:rPr>
        <w:rFonts w:hint="default"/>
      </w:rPr>
    </w:lvl>
    <w:lvl w:ilvl="6">
      <w:start w:val="1"/>
      <w:numFmt w:val="decimal"/>
      <w:isLgl/>
      <w:lvlText w:val="%1.%2.%3.%4.%5.%6.%7"/>
      <w:lvlJc w:val="left"/>
      <w:pPr>
        <w:ind w:left="2474" w:hanging="1440"/>
      </w:pPr>
      <w:rPr>
        <w:rFonts w:hint="default"/>
      </w:rPr>
    </w:lvl>
    <w:lvl w:ilvl="7">
      <w:start w:val="1"/>
      <w:numFmt w:val="decimal"/>
      <w:isLgl/>
      <w:lvlText w:val="%1.%2.%3.%4.%5.%6.%7.%8"/>
      <w:lvlJc w:val="left"/>
      <w:pPr>
        <w:ind w:left="2899" w:hanging="1800"/>
      </w:pPr>
      <w:rPr>
        <w:rFonts w:hint="default"/>
      </w:rPr>
    </w:lvl>
    <w:lvl w:ilvl="8">
      <w:start w:val="1"/>
      <w:numFmt w:val="decimal"/>
      <w:isLgl/>
      <w:lvlText w:val="%1.%2.%3.%4.%5.%6.%7.%8.%9"/>
      <w:lvlJc w:val="left"/>
      <w:pPr>
        <w:ind w:left="2964" w:hanging="1800"/>
      </w:pPr>
      <w:rPr>
        <w:rFonts w:hint="default"/>
      </w:rPr>
    </w:lvl>
  </w:abstractNum>
  <w:abstractNum w:abstractNumId="12" w15:restartNumberingAfterBreak="0">
    <w:nsid w:val="38D74315"/>
    <w:multiLevelType w:val="hybridMultilevel"/>
    <w:tmpl w:val="39D28B10"/>
    <w:lvl w:ilvl="0" w:tplc="85A69F9A">
      <w:start w:val="1"/>
      <w:numFmt w:val="decimal"/>
      <w:lvlText w:val="%1."/>
      <w:lvlJc w:val="left"/>
      <w:pPr>
        <w:ind w:left="819" w:hanging="360"/>
      </w:pPr>
      <w:rPr>
        <w:rFonts w:ascii="Arial" w:eastAsia="Arial" w:hAnsi="Arial" w:cs="Arial" w:hint="default"/>
        <w:b/>
        <w:bCs/>
        <w:spacing w:val="-1"/>
        <w:w w:val="100"/>
        <w:sz w:val="22"/>
        <w:szCs w:val="22"/>
        <w:lang w:val="es-ES" w:eastAsia="es-ES" w:bidi="es-ES"/>
      </w:rPr>
    </w:lvl>
    <w:lvl w:ilvl="1" w:tplc="3B2A18A2">
      <w:start w:val="1"/>
      <w:numFmt w:val="lowerLetter"/>
      <w:lvlText w:val="%2)"/>
      <w:lvlJc w:val="left"/>
      <w:pPr>
        <w:ind w:left="1539" w:hanging="360"/>
      </w:pPr>
      <w:rPr>
        <w:rFonts w:ascii="Arial" w:eastAsia="Arial" w:hAnsi="Arial" w:cs="Arial" w:hint="default"/>
        <w:spacing w:val="-1"/>
        <w:w w:val="100"/>
        <w:sz w:val="22"/>
        <w:szCs w:val="22"/>
        <w:lang w:val="es-ES" w:eastAsia="es-ES" w:bidi="es-ES"/>
      </w:rPr>
    </w:lvl>
    <w:lvl w:ilvl="2" w:tplc="61F20B02">
      <w:numFmt w:val="bullet"/>
      <w:lvlText w:val="•"/>
      <w:lvlJc w:val="left"/>
      <w:pPr>
        <w:ind w:left="2375" w:hanging="360"/>
      </w:pPr>
      <w:rPr>
        <w:rFonts w:hint="default"/>
        <w:lang w:val="es-ES" w:eastAsia="es-ES" w:bidi="es-ES"/>
      </w:rPr>
    </w:lvl>
    <w:lvl w:ilvl="3" w:tplc="9C02A96E">
      <w:numFmt w:val="bullet"/>
      <w:lvlText w:val="•"/>
      <w:lvlJc w:val="left"/>
      <w:pPr>
        <w:ind w:left="3211" w:hanging="360"/>
      </w:pPr>
      <w:rPr>
        <w:rFonts w:hint="default"/>
        <w:lang w:val="es-ES" w:eastAsia="es-ES" w:bidi="es-ES"/>
      </w:rPr>
    </w:lvl>
    <w:lvl w:ilvl="4" w:tplc="83F6D9EC">
      <w:numFmt w:val="bullet"/>
      <w:lvlText w:val="•"/>
      <w:lvlJc w:val="left"/>
      <w:pPr>
        <w:ind w:left="4047" w:hanging="360"/>
      </w:pPr>
      <w:rPr>
        <w:rFonts w:hint="default"/>
        <w:lang w:val="es-ES" w:eastAsia="es-ES" w:bidi="es-ES"/>
      </w:rPr>
    </w:lvl>
    <w:lvl w:ilvl="5" w:tplc="B734E7B8">
      <w:numFmt w:val="bullet"/>
      <w:lvlText w:val="•"/>
      <w:lvlJc w:val="left"/>
      <w:pPr>
        <w:ind w:left="4883" w:hanging="360"/>
      </w:pPr>
      <w:rPr>
        <w:rFonts w:hint="default"/>
        <w:lang w:val="es-ES" w:eastAsia="es-ES" w:bidi="es-ES"/>
      </w:rPr>
    </w:lvl>
    <w:lvl w:ilvl="6" w:tplc="2F1A8264">
      <w:numFmt w:val="bullet"/>
      <w:lvlText w:val="•"/>
      <w:lvlJc w:val="left"/>
      <w:pPr>
        <w:ind w:left="5719" w:hanging="360"/>
      </w:pPr>
      <w:rPr>
        <w:rFonts w:hint="default"/>
        <w:lang w:val="es-ES" w:eastAsia="es-ES" w:bidi="es-ES"/>
      </w:rPr>
    </w:lvl>
    <w:lvl w:ilvl="7" w:tplc="A6E41B8E">
      <w:numFmt w:val="bullet"/>
      <w:lvlText w:val="•"/>
      <w:lvlJc w:val="left"/>
      <w:pPr>
        <w:ind w:left="6554" w:hanging="360"/>
      </w:pPr>
      <w:rPr>
        <w:rFonts w:hint="default"/>
        <w:lang w:val="es-ES" w:eastAsia="es-ES" w:bidi="es-ES"/>
      </w:rPr>
    </w:lvl>
    <w:lvl w:ilvl="8" w:tplc="802E0B3E">
      <w:numFmt w:val="bullet"/>
      <w:lvlText w:val="•"/>
      <w:lvlJc w:val="left"/>
      <w:pPr>
        <w:ind w:left="7390" w:hanging="360"/>
      </w:pPr>
      <w:rPr>
        <w:rFonts w:hint="default"/>
        <w:lang w:val="es-ES" w:eastAsia="es-ES" w:bidi="es-ES"/>
      </w:rPr>
    </w:lvl>
  </w:abstractNum>
  <w:abstractNum w:abstractNumId="13" w15:restartNumberingAfterBreak="0">
    <w:nsid w:val="39FE7B11"/>
    <w:multiLevelType w:val="hybridMultilevel"/>
    <w:tmpl w:val="FFEA6AE2"/>
    <w:lvl w:ilvl="0" w:tplc="7C36CB04">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4" w15:restartNumberingAfterBreak="0">
    <w:nsid w:val="44147C87"/>
    <w:multiLevelType w:val="hybridMultilevel"/>
    <w:tmpl w:val="9668B844"/>
    <w:lvl w:ilvl="0" w:tplc="90DCEBA6">
      <w:start w:val="1"/>
      <w:numFmt w:val="upperRoman"/>
      <w:lvlText w:val="%1."/>
      <w:lvlJc w:val="left"/>
      <w:pPr>
        <w:ind w:left="862" w:hanging="720"/>
      </w:pPr>
      <w:rPr>
        <w:rFonts w:hint="default"/>
        <w:b w:val="0"/>
        <w:bCs/>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15" w15:restartNumberingAfterBreak="0">
    <w:nsid w:val="480A79B9"/>
    <w:multiLevelType w:val="hybridMultilevel"/>
    <w:tmpl w:val="19F07E00"/>
    <w:lvl w:ilvl="0" w:tplc="4EF2FD6C">
      <w:start w:val="1"/>
      <w:numFmt w:val="decimal"/>
      <w:lvlText w:val="%1."/>
      <w:lvlJc w:val="left"/>
      <w:pPr>
        <w:ind w:left="852"/>
      </w:pPr>
      <w:rPr>
        <w:rFonts w:ascii="Arial" w:eastAsia="Bookman Old Style" w:hAnsi="Arial" w:cs="Arial" w:hint="default"/>
        <w:b/>
        <w:bCs/>
        <w:i w:val="0"/>
        <w:strike w:val="0"/>
        <w:dstrike w:val="0"/>
        <w:color w:val="000000"/>
        <w:sz w:val="20"/>
        <w:szCs w:val="20"/>
        <w:u w:val="none" w:color="000000"/>
        <w:bdr w:val="none" w:sz="0" w:space="0" w:color="auto"/>
        <w:shd w:val="clear" w:color="auto" w:fill="auto"/>
        <w:vertAlign w:val="baseline"/>
      </w:rPr>
    </w:lvl>
    <w:lvl w:ilvl="1" w:tplc="6F4C1158">
      <w:start w:val="1"/>
      <w:numFmt w:val="bullet"/>
      <w:lvlText w:val="•"/>
      <w:lvlJc w:val="left"/>
      <w:pPr>
        <w:ind w:left="127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2" w:tplc="C910F3DA">
      <w:start w:val="1"/>
      <w:numFmt w:val="bullet"/>
      <w:lvlText w:val="▪"/>
      <w:lvlJc w:val="left"/>
      <w:pPr>
        <w:ind w:left="19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93324E6C">
      <w:start w:val="1"/>
      <w:numFmt w:val="bullet"/>
      <w:lvlText w:val="•"/>
      <w:lvlJc w:val="left"/>
      <w:pPr>
        <w:ind w:left="265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DB6EA698">
      <w:start w:val="1"/>
      <w:numFmt w:val="bullet"/>
      <w:lvlText w:val="o"/>
      <w:lvlJc w:val="left"/>
      <w:pPr>
        <w:ind w:left="337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89D8B370">
      <w:start w:val="1"/>
      <w:numFmt w:val="bullet"/>
      <w:lvlText w:val="▪"/>
      <w:lvlJc w:val="left"/>
      <w:pPr>
        <w:ind w:left="40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4EB86998">
      <w:start w:val="1"/>
      <w:numFmt w:val="bullet"/>
      <w:lvlText w:val="•"/>
      <w:lvlJc w:val="left"/>
      <w:pPr>
        <w:ind w:left="481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705CF080">
      <w:start w:val="1"/>
      <w:numFmt w:val="bullet"/>
      <w:lvlText w:val="o"/>
      <w:lvlJc w:val="left"/>
      <w:pPr>
        <w:ind w:left="55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EF6C8C16">
      <w:start w:val="1"/>
      <w:numFmt w:val="bullet"/>
      <w:lvlText w:val="▪"/>
      <w:lvlJc w:val="left"/>
      <w:pPr>
        <w:ind w:left="625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6" w15:restartNumberingAfterBreak="0">
    <w:nsid w:val="48495B9E"/>
    <w:multiLevelType w:val="hybridMultilevel"/>
    <w:tmpl w:val="25382BD6"/>
    <w:lvl w:ilvl="0" w:tplc="F50A255A">
      <w:start w:val="1"/>
      <w:numFmt w:val="bullet"/>
      <w:lvlText w:val="•"/>
      <w:lvlJc w:val="left"/>
      <w:pPr>
        <w:ind w:left="14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648D448">
      <w:start w:val="1"/>
      <w:numFmt w:val="bullet"/>
      <w:lvlText w:val="o"/>
      <w:lvlJc w:val="left"/>
      <w:pPr>
        <w:ind w:left="2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61A1AD0">
      <w:start w:val="1"/>
      <w:numFmt w:val="bullet"/>
      <w:lvlText w:val="▪"/>
      <w:lvlJc w:val="left"/>
      <w:pPr>
        <w:ind w:left="2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97226E6">
      <w:start w:val="1"/>
      <w:numFmt w:val="bullet"/>
      <w:lvlText w:val="•"/>
      <w:lvlJc w:val="left"/>
      <w:pPr>
        <w:ind w:left="36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06A2718">
      <w:start w:val="1"/>
      <w:numFmt w:val="bullet"/>
      <w:lvlText w:val="o"/>
      <w:lvlJc w:val="left"/>
      <w:pPr>
        <w:ind w:left="44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5A23226">
      <w:start w:val="1"/>
      <w:numFmt w:val="bullet"/>
      <w:lvlText w:val="▪"/>
      <w:lvlJc w:val="left"/>
      <w:pPr>
        <w:ind w:left="51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EC1F72">
      <w:start w:val="1"/>
      <w:numFmt w:val="bullet"/>
      <w:lvlText w:val="•"/>
      <w:lvlJc w:val="left"/>
      <w:pPr>
        <w:ind w:left="5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1A8C8C">
      <w:start w:val="1"/>
      <w:numFmt w:val="bullet"/>
      <w:lvlText w:val="o"/>
      <w:lvlJc w:val="left"/>
      <w:pPr>
        <w:ind w:left="65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2501408">
      <w:start w:val="1"/>
      <w:numFmt w:val="bullet"/>
      <w:lvlText w:val="▪"/>
      <w:lvlJc w:val="left"/>
      <w:pPr>
        <w:ind w:left="72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399558C"/>
    <w:multiLevelType w:val="hybridMultilevel"/>
    <w:tmpl w:val="683E89B4"/>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439560E"/>
    <w:multiLevelType w:val="hybridMultilevel"/>
    <w:tmpl w:val="746A9724"/>
    <w:lvl w:ilvl="0" w:tplc="A4DCF3CA">
      <w:start w:val="5"/>
      <w:numFmt w:val="decimal"/>
      <w:lvlText w:val="%1."/>
      <w:lvlJc w:val="left"/>
      <w:pPr>
        <w:ind w:left="14" w:firstLine="0"/>
      </w:pPr>
      <w:rPr>
        <w:rFonts w:ascii="Arial" w:eastAsia="Courier New" w:hAnsi="Arial" w:cs="Arial" w:hint="default"/>
        <w:b w:val="0"/>
        <w:i w:val="0"/>
        <w:strike w:val="0"/>
        <w:dstrike w:val="0"/>
        <w:color w:val="000000"/>
        <w:sz w:val="20"/>
        <w:szCs w:val="20"/>
        <w:u w:val="none" w:color="000000"/>
        <w:effect w:val="none"/>
        <w:bdr w:val="none" w:sz="0" w:space="0" w:color="auto" w:frame="1"/>
        <w:vertAlign w:val="baseline"/>
      </w:rPr>
    </w:lvl>
    <w:lvl w:ilvl="1" w:tplc="019C3BD4">
      <w:start w:val="1"/>
      <w:numFmt w:val="lowerLetter"/>
      <w:lvlText w:val="%2"/>
      <w:lvlJc w:val="left"/>
      <w:pPr>
        <w:ind w:left="109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2" w:tplc="C4F6A4A2">
      <w:start w:val="1"/>
      <w:numFmt w:val="lowerRoman"/>
      <w:lvlText w:val="%3"/>
      <w:lvlJc w:val="left"/>
      <w:pPr>
        <w:ind w:left="181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3" w:tplc="4F5AC7CE">
      <w:start w:val="1"/>
      <w:numFmt w:val="decimal"/>
      <w:lvlText w:val="%4"/>
      <w:lvlJc w:val="left"/>
      <w:pPr>
        <w:ind w:left="253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4" w:tplc="C07AA470">
      <w:start w:val="1"/>
      <w:numFmt w:val="lowerLetter"/>
      <w:lvlText w:val="%5"/>
      <w:lvlJc w:val="left"/>
      <w:pPr>
        <w:ind w:left="325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5" w:tplc="F7F4F7E4">
      <w:start w:val="1"/>
      <w:numFmt w:val="lowerRoman"/>
      <w:lvlText w:val="%6"/>
      <w:lvlJc w:val="left"/>
      <w:pPr>
        <w:ind w:left="397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6" w:tplc="AEF69C32">
      <w:start w:val="1"/>
      <w:numFmt w:val="decimal"/>
      <w:lvlText w:val="%7"/>
      <w:lvlJc w:val="left"/>
      <w:pPr>
        <w:ind w:left="469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7" w:tplc="AE88304C">
      <w:start w:val="1"/>
      <w:numFmt w:val="lowerLetter"/>
      <w:lvlText w:val="%8"/>
      <w:lvlJc w:val="left"/>
      <w:pPr>
        <w:ind w:left="541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lvl w:ilvl="8" w:tplc="5600958A">
      <w:start w:val="1"/>
      <w:numFmt w:val="lowerRoman"/>
      <w:lvlText w:val="%9"/>
      <w:lvlJc w:val="left"/>
      <w:pPr>
        <w:ind w:left="6134" w:firstLine="0"/>
      </w:pPr>
      <w:rPr>
        <w:rFonts w:ascii="Courier New" w:eastAsia="Courier New" w:hAnsi="Courier New" w:cs="Courier New"/>
        <w:b w:val="0"/>
        <w:i w:val="0"/>
        <w:strike w:val="0"/>
        <w:dstrike w:val="0"/>
        <w:color w:val="000000"/>
        <w:sz w:val="28"/>
        <w:szCs w:val="28"/>
        <w:u w:val="none" w:color="000000"/>
        <w:effect w:val="none"/>
        <w:bdr w:val="none" w:sz="0" w:space="0" w:color="auto" w:frame="1"/>
        <w:vertAlign w:val="baseline"/>
      </w:rPr>
    </w:lvl>
  </w:abstractNum>
  <w:abstractNum w:abstractNumId="19" w15:restartNumberingAfterBreak="0">
    <w:nsid w:val="549E6937"/>
    <w:multiLevelType w:val="multilevel"/>
    <w:tmpl w:val="8ED64410"/>
    <w:lvl w:ilvl="0">
      <w:start w:val="1"/>
      <w:numFmt w:val="decimal"/>
      <w:lvlText w:val="%1."/>
      <w:lvlJc w:val="left"/>
      <w:pPr>
        <w:ind w:left="1069" w:hanging="360"/>
      </w:pPr>
      <w:rPr>
        <w:rFonts w:hint="default"/>
      </w:rPr>
    </w:lvl>
    <w:lvl w:ilvl="1">
      <w:start w:val="3"/>
      <w:numFmt w:val="decimal"/>
      <w:isLgl/>
      <w:lvlText w:val="%1.%2."/>
      <w:lvlJc w:val="left"/>
      <w:pPr>
        <w:ind w:left="1429" w:hanging="720"/>
      </w:pPr>
      <w:rPr>
        <w:rFonts w:hint="default"/>
        <w:sz w:val="24"/>
        <w:szCs w:val="24"/>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0" w15:restartNumberingAfterBreak="0">
    <w:nsid w:val="55491FA9"/>
    <w:multiLevelType w:val="hybridMultilevel"/>
    <w:tmpl w:val="B4E8B942"/>
    <w:lvl w:ilvl="0" w:tplc="9ED28AA4">
      <w:start w:val="4"/>
      <w:numFmt w:val="upperRoman"/>
      <w:lvlText w:val="%1."/>
      <w:lvlJc w:val="left"/>
      <w:pPr>
        <w:ind w:left="3403" w:hanging="423"/>
      </w:pPr>
      <w:rPr>
        <w:rFonts w:ascii="Century Gothic" w:eastAsia="Century Gothic" w:hAnsi="Century Gothic" w:cs="Century Gothic" w:hint="default"/>
        <w:b w:val="0"/>
        <w:bCs w:val="0"/>
        <w:i w:val="0"/>
        <w:iCs w:val="0"/>
        <w:w w:val="100"/>
        <w:sz w:val="22"/>
        <w:szCs w:val="22"/>
        <w:lang w:val="es-ES" w:eastAsia="en-US" w:bidi="ar-SA"/>
      </w:rPr>
    </w:lvl>
    <w:lvl w:ilvl="1" w:tplc="7064371A">
      <w:numFmt w:val="bullet"/>
      <w:lvlText w:val="•"/>
      <w:lvlJc w:val="left"/>
      <w:pPr>
        <w:ind w:left="4284" w:hanging="423"/>
      </w:pPr>
      <w:rPr>
        <w:rFonts w:hint="default"/>
        <w:lang w:val="es-ES" w:eastAsia="en-US" w:bidi="ar-SA"/>
      </w:rPr>
    </w:lvl>
    <w:lvl w:ilvl="2" w:tplc="5A5C116C">
      <w:numFmt w:val="bullet"/>
      <w:lvlText w:val="•"/>
      <w:lvlJc w:val="left"/>
      <w:pPr>
        <w:ind w:left="5168" w:hanging="423"/>
      </w:pPr>
      <w:rPr>
        <w:rFonts w:hint="default"/>
        <w:lang w:val="es-ES" w:eastAsia="en-US" w:bidi="ar-SA"/>
      </w:rPr>
    </w:lvl>
    <w:lvl w:ilvl="3" w:tplc="DA8847CC">
      <w:numFmt w:val="bullet"/>
      <w:lvlText w:val="•"/>
      <w:lvlJc w:val="left"/>
      <w:pPr>
        <w:ind w:left="6052" w:hanging="423"/>
      </w:pPr>
      <w:rPr>
        <w:rFonts w:hint="default"/>
        <w:lang w:val="es-ES" w:eastAsia="en-US" w:bidi="ar-SA"/>
      </w:rPr>
    </w:lvl>
    <w:lvl w:ilvl="4" w:tplc="CAC2291A">
      <w:numFmt w:val="bullet"/>
      <w:lvlText w:val="•"/>
      <w:lvlJc w:val="left"/>
      <w:pPr>
        <w:ind w:left="6936" w:hanging="423"/>
      </w:pPr>
      <w:rPr>
        <w:rFonts w:hint="default"/>
        <w:lang w:val="es-ES" w:eastAsia="en-US" w:bidi="ar-SA"/>
      </w:rPr>
    </w:lvl>
    <w:lvl w:ilvl="5" w:tplc="224C18E0">
      <w:numFmt w:val="bullet"/>
      <w:lvlText w:val="•"/>
      <w:lvlJc w:val="left"/>
      <w:pPr>
        <w:ind w:left="7820" w:hanging="423"/>
      </w:pPr>
      <w:rPr>
        <w:rFonts w:hint="default"/>
        <w:lang w:val="es-ES" w:eastAsia="en-US" w:bidi="ar-SA"/>
      </w:rPr>
    </w:lvl>
    <w:lvl w:ilvl="6" w:tplc="B73E7C04">
      <w:numFmt w:val="bullet"/>
      <w:lvlText w:val="•"/>
      <w:lvlJc w:val="left"/>
      <w:pPr>
        <w:ind w:left="8704" w:hanging="423"/>
      </w:pPr>
      <w:rPr>
        <w:rFonts w:hint="default"/>
        <w:lang w:val="es-ES" w:eastAsia="en-US" w:bidi="ar-SA"/>
      </w:rPr>
    </w:lvl>
    <w:lvl w:ilvl="7" w:tplc="074AEAEC">
      <w:numFmt w:val="bullet"/>
      <w:lvlText w:val="•"/>
      <w:lvlJc w:val="left"/>
      <w:pPr>
        <w:ind w:left="9588" w:hanging="423"/>
      </w:pPr>
      <w:rPr>
        <w:rFonts w:hint="default"/>
        <w:lang w:val="es-ES" w:eastAsia="en-US" w:bidi="ar-SA"/>
      </w:rPr>
    </w:lvl>
    <w:lvl w:ilvl="8" w:tplc="211235A8">
      <w:numFmt w:val="bullet"/>
      <w:lvlText w:val="•"/>
      <w:lvlJc w:val="left"/>
      <w:pPr>
        <w:ind w:left="10472" w:hanging="423"/>
      </w:pPr>
      <w:rPr>
        <w:rFonts w:hint="default"/>
        <w:lang w:val="es-ES" w:eastAsia="en-US" w:bidi="ar-SA"/>
      </w:rPr>
    </w:lvl>
  </w:abstractNum>
  <w:abstractNum w:abstractNumId="21" w15:restartNumberingAfterBreak="0">
    <w:nsid w:val="572D3122"/>
    <w:multiLevelType w:val="hybridMultilevel"/>
    <w:tmpl w:val="5BCAAE0A"/>
    <w:lvl w:ilvl="0" w:tplc="28E2CAD8">
      <w:start w:val="6"/>
      <w:numFmt w:val="upperRoman"/>
      <w:lvlText w:val="%1."/>
      <w:lvlJc w:val="left"/>
      <w:pPr>
        <w:ind w:left="598" w:hanging="354"/>
      </w:pPr>
      <w:rPr>
        <w:rFonts w:hint="default"/>
        <w:spacing w:val="-1"/>
        <w:w w:val="107"/>
        <w:lang w:val="es-ES" w:eastAsia="en-US" w:bidi="ar-SA"/>
      </w:rPr>
    </w:lvl>
    <w:lvl w:ilvl="1" w:tplc="093E0FDC">
      <w:numFmt w:val="bullet"/>
      <w:lvlText w:val="•"/>
      <w:lvlJc w:val="left"/>
      <w:pPr>
        <w:ind w:left="1618" w:hanging="354"/>
      </w:pPr>
      <w:rPr>
        <w:rFonts w:hint="default"/>
        <w:lang w:val="es-ES" w:eastAsia="en-US" w:bidi="ar-SA"/>
      </w:rPr>
    </w:lvl>
    <w:lvl w:ilvl="2" w:tplc="EF869F62">
      <w:numFmt w:val="bullet"/>
      <w:lvlText w:val="•"/>
      <w:lvlJc w:val="left"/>
      <w:pPr>
        <w:ind w:left="2636" w:hanging="354"/>
      </w:pPr>
      <w:rPr>
        <w:rFonts w:hint="default"/>
        <w:lang w:val="es-ES" w:eastAsia="en-US" w:bidi="ar-SA"/>
      </w:rPr>
    </w:lvl>
    <w:lvl w:ilvl="3" w:tplc="E3E0C464">
      <w:numFmt w:val="bullet"/>
      <w:lvlText w:val="•"/>
      <w:lvlJc w:val="left"/>
      <w:pPr>
        <w:ind w:left="3654" w:hanging="354"/>
      </w:pPr>
      <w:rPr>
        <w:rFonts w:hint="default"/>
        <w:lang w:val="es-ES" w:eastAsia="en-US" w:bidi="ar-SA"/>
      </w:rPr>
    </w:lvl>
    <w:lvl w:ilvl="4" w:tplc="D2BCFA5C">
      <w:numFmt w:val="bullet"/>
      <w:lvlText w:val="•"/>
      <w:lvlJc w:val="left"/>
      <w:pPr>
        <w:ind w:left="4672" w:hanging="354"/>
      </w:pPr>
      <w:rPr>
        <w:rFonts w:hint="default"/>
        <w:lang w:val="es-ES" w:eastAsia="en-US" w:bidi="ar-SA"/>
      </w:rPr>
    </w:lvl>
    <w:lvl w:ilvl="5" w:tplc="3BD85AEE">
      <w:numFmt w:val="bullet"/>
      <w:lvlText w:val="•"/>
      <w:lvlJc w:val="left"/>
      <w:pPr>
        <w:ind w:left="5690" w:hanging="354"/>
      </w:pPr>
      <w:rPr>
        <w:rFonts w:hint="default"/>
        <w:lang w:val="es-ES" w:eastAsia="en-US" w:bidi="ar-SA"/>
      </w:rPr>
    </w:lvl>
    <w:lvl w:ilvl="6" w:tplc="F868565A">
      <w:numFmt w:val="bullet"/>
      <w:lvlText w:val="•"/>
      <w:lvlJc w:val="left"/>
      <w:pPr>
        <w:ind w:left="6708" w:hanging="354"/>
      </w:pPr>
      <w:rPr>
        <w:rFonts w:hint="default"/>
        <w:lang w:val="es-ES" w:eastAsia="en-US" w:bidi="ar-SA"/>
      </w:rPr>
    </w:lvl>
    <w:lvl w:ilvl="7" w:tplc="3112F970">
      <w:numFmt w:val="bullet"/>
      <w:lvlText w:val="•"/>
      <w:lvlJc w:val="left"/>
      <w:pPr>
        <w:ind w:left="7726" w:hanging="354"/>
      </w:pPr>
      <w:rPr>
        <w:rFonts w:hint="default"/>
        <w:lang w:val="es-ES" w:eastAsia="en-US" w:bidi="ar-SA"/>
      </w:rPr>
    </w:lvl>
    <w:lvl w:ilvl="8" w:tplc="FFBA2444">
      <w:numFmt w:val="bullet"/>
      <w:lvlText w:val="•"/>
      <w:lvlJc w:val="left"/>
      <w:pPr>
        <w:ind w:left="8744" w:hanging="354"/>
      </w:pPr>
      <w:rPr>
        <w:rFonts w:hint="default"/>
        <w:lang w:val="es-ES" w:eastAsia="en-US" w:bidi="ar-SA"/>
      </w:rPr>
    </w:lvl>
  </w:abstractNum>
  <w:abstractNum w:abstractNumId="22" w15:restartNumberingAfterBreak="0">
    <w:nsid w:val="579418F8"/>
    <w:multiLevelType w:val="hybridMultilevel"/>
    <w:tmpl w:val="E214B462"/>
    <w:lvl w:ilvl="0" w:tplc="AA82E1E4">
      <w:start w:val="1"/>
      <w:numFmt w:val="decimal"/>
      <w:lvlText w:val="%1."/>
      <w:lvlJc w:val="left"/>
      <w:pPr>
        <w:ind w:left="14" w:firstLine="0"/>
      </w:pPr>
      <w:rPr>
        <w:rFonts w:ascii="Arial" w:eastAsia="Courier New" w:hAnsi="Arial" w:cs="Arial" w:hint="default"/>
        <w:b w:val="0"/>
        <w:i w:val="0"/>
        <w:strike w:val="0"/>
        <w:dstrike w:val="0"/>
        <w:color w:val="000000"/>
        <w:sz w:val="20"/>
        <w:szCs w:val="20"/>
        <w:u w:val="none" w:color="000000"/>
        <w:effect w:val="none"/>
        <w:bdr w:val="none" w:sz="0" w:space="0" w:color="auto" w:frame="1"/>
        <w:vertAlign w:val="baseline"/>
      </w:rPr>
    </w:lvl>
    <w:lvl w:ilvl="1" w:tplc="907ECD8A">
      <w:start w:val="1"/>
      <w:numFmt w:val="lowerLetter"/>
      <w:lvlText w:val="%2"/>
      <w:lvlJc w:val="left"/>
      <w:pPr>
        <w:ind w:left="109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2" w:tplc="B9D83528">
      <w:start w:val="1"/>
      <w:numFmt w:val="lowerRoman"/>
      <w:lvlText w:val="%3"/>
      <w:lvlJc w:val="left"/>
      <w:pPr>
        <w:ind w:left="181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3" w:tplc="CB7CD6DC">
      <w:start w:val="1"/>
      <w:numFmt w:val="decimal"/>
      <w:lvlText w:val="%4"/>
      <w:lvlJc w:val="left"/>
      <w:pPr>
        <w:ind w:left="253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4" w:tplc="62E69F28">
      <w:start w:val="1"/>
      <w:numFmt w:val="lowerLetter"/>
      <w:lvlText w:val="%5"/>
      <w:lvlJc w:val="left"/>
      <w:pPr>
        <w:ind w:left="325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5" w:tplc="596CF50E">
      <w:start w:val="1"/>
      <w:numFmt w:val="lowerRoman"/>
      <w:lvlText w:val="%6"/>
      <w:lvlJc w:val="left"/>
      <w:pPr>
        <w:ind w:left="397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6" w:tplc="A724ABE6">
      <w:start w:val="1"/>
      <w:numFmt w:val="decimal"/>
      <w:lvlText w:val="%7"/>
      <w:lvlJc w:val="left"/>
      <w:pPr>
        <w:ind w:left="469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7" w:tplc="0F883C54">
      <w:start w:val="1"/>
      <w:numFmt w:val="lowerLetter"/>
      <w:lvlText w:val="%8"/>
      <w:lvlJc w:val="left"/>
      <w:pPr>
        <w:ind w:left="541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lvl w:ilvl="8" w:tplc="C66CD2B2">
      <w:start w:val="1"/>
      <w:numFmt w:val="lowerRoman"/>
      <w:lvlText w:val="%9"/>
      <w:lvlJc w:val="left"/>
      <w:pPr>
        <w:ind w:left="6132" w:firstLine="0"/>
      </w:pPr>
      <w:rPr>
        <w:rFonts w:ascii="Courier New" w:eastAsia="Courier New" w:hAnsi="Courier New" w:cs="Courier New"/>
        <w:b w:val="0"/>
        <w:i w:val="0"/>
        <w:strike w:val="0"/>
        <w:dstrike w:val="0"/>
        <w:color w:val="000000"/>
        <w:sz w:val="24"/>
        <w:szCs w:val="24"/>
        <w:u w:val="none" w:color="000000"/>
        <w:effect w:val="none"/>
        <w:bdr w:val="none" w:sz="0" w:space="0" w:color="auto" w:frame="1"/>
        <w:vertAlign w:val="baseline"/>
      </w:rPr>
    </w:lvl>
  </w:abstractNum>
  <w:abstractNum w:abstractNumId="23" w15:restartNumberingAfterBreak="0">
    <w:nsid w:val="58EE7A4C"/>
    <w:multiLevelType w:val="hybridMultilevel"/>
    <w:tmpl w:val="6A3ABFE2"/>
    <w:lvl w:ilvl="0" w:tplc="ECCE6254">
      <w:start w:val="1"/>
      <w:numFmt w:val="upperRoman"/>
      <w:lvlText w:val="%1."/>
      <w:lvlJc w:val="right"/>
      <w:pPr>
        <w:ind w:left="72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D1F2A75"/>
    <w:multiLevelType w:val="hybridMultilevel"/>
    <w:tmpl w:val="75B87234"/>
    <w:lvl w:ilvl="0" w:tplc="9F642A20">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E082345"/>
    <w:multiLevelType w:val="hybridMultilevel"/>
    <w:tmpl w:val="7D663372"/>
    <w:lvl w:ilvl="0" w:tplc="D0921A04">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6" w15:restartNumberingAfterBreak="0">
    <w:nsid w:val="65164002"/>
    <w:multiLevelType w:val="hybridMultilevel"/>
    <w:tmpl w:val="71B6E1B0"/>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6BA4D67"/>
    <w:multiLevelType w:val="hybridMultilevel"/>
    <w:tmpl w:val="38547ED8"/>
    <w:lvl w:ilvl="0" w:tplc="B366C960">
      <w:start w:val="1"/>
      <w:numFmt w:val="lowerRoman"/>
      <w:lvlText w:val="%1."/>
      <w:lvlJc w:val="left"/>
      <w:pPr>
        <w:ind w:left="1429" w:hanging="360"/>
      </w:pPr>
      <w:rPr>
        <w:rFonts w:hint="default"/>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8" w15:restartNumberingAfterBreak="0">
    <w:nsid w:val="69425BBA"/>
    <w:multiLevelType w:val="hybridMultilevel"/>
    <w:tmpl w:val="A6F8E8AE"/>
    <w:lvl w:ilvl="0" w:tplc="ED86B712">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9" w15:restartNumberingAfterBreak="0">
    <w:nsid w:val="6B804B2E"/>
    <w:multiLevelType w:val="hybridMultilevel"/>
    <w:tmpl w:val="29B421C4"/>
    <w:lvl w:ilvl="0" w:tplc="FFFFFFFF">
      <w:start w:val="1"/>
      <w:numFmt w:val="upperRoman"/>
      <w:lvlText w:val="%1."/>
      <w:lvlJc w:val="left"/>
      <w:pPr>
        <w:ind w:left="1080" w:hanging="72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BA017C4"/>
    <w:multiLevelType w:val="hybridMultilevel"/>
    <w:tmpl w:val="DA84BDF8"/>
    <w:lvl w:ilvl="0" w:tplc="CFF443B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BCB29CB"/>
    <w:multiLevelType w:val="hybridMultilevel"/>
    <w:tmpl w:val="490237C8"/>
    <w:lvl w:ilvl="0" w:tplc="BFC09F7E">
      <w:start w:val="1"/>
      <w:numFmt w:val="lowerLetter"/>
      <w:lvlText w:val="%1."/>
      <w:lvlJc w:val="left"/>
      <w:pPr>
        <w:ind w:left="2061" w:hanging="360"/>
      </w:pPr>
      <w:rPr>
        <w:rFonts w:hint="default"/>
      </w:rPr>
    </w:lvl>
    <w:lvl w:ilvl="1" w:tplc="080A0019" w:tentative="1">
      <w:start w:val="1"/>
      <w:numFmt w:val="lowerLetter"/>
      <w:lvlText w:val="%2."/>
      <w:lvlJc w:val="left"/>
      <w:pPr>
        <w:ind w:left="2781" w:hanging="360"/>
      </w:pPr>
    </w:lvl>
    <w:lvl w:ilvl="2" w:tplc="080A001B" w:tentative="1">
      <w:start w:val="1"/>
      <w:numFmt w:val="lowerRoman"/>
      <w:lvlText w:val="%3."/>
      <w:lvlJc w:val="right"/>
      <w:pPr>
        <w:ind w:left="3501" w:hanging="180"/>
      </w:pPr>
    </w:lvl>
    <w:lvl w:ilvl="3" w:tplc="080A000F" w:tentative="1">
      <w:start w:val="1"/>
      <w:numFmt w:val="decimal"/>
      <w:lvlText w:val="%4."/>
      <w:lvlJc w:val="left"/>
      <w:pPr>
        <w:ind w:left="4221" w:hanging="360"/>
      </w:pPr>
    </w:lvl>
    <w:lvl w:ilvl="4" w:tplc="080A0019" w:tentative="1">
      <w:start w:val="1"/>
      <w:numFmt w:val="lowerLetter"/>
      <w:lvlText w:val="%5."/>
      <w:lvlJc w:val="left"/>
      <w:pPr>
        <w:ind w:left="4941" w:hanging="360"/>
      </w:pPr>
    </w:lvl>
    <w:lvl w:ilvl="5" w:tplc="080A001B" w:tentative="1">
      <w:start w:val="1"/>
      <w:numFmt w:val="lowerRoman"/>
      <w:lvlText w:val="%6."/>
      <w:lvlJc w:val="right"/>
      <w:pPr>
        <w:ind w:left="5661" w:hanging="180"/>
      </w:pPr>
    </w:lvl>
    <w:lvl w:ilvl="6" w:tplc="080A000F" w:tentative="1">
      <w:start w:val="1"/>
      <w:numFmt w:val="decimal"/>
      <w:lvlText w:val="%7."/>
      <w:lvlJc w:val="left"/>
      <w:pPr>
        <w:ind w:left="6381" w:hanging="360"/>
      </w:pPr>
    </w:lvl>
    <w:lvl w:ilvl="7" w:tplc="080A0019" w:tentative="1">
      <w:start w:val="1"/>
      <w:numFmt w:val="lowerLetter"/>
      <w:lvlText w:val="%8."/>
      <w:lvlJc w:val="left"/>
      <w:pPr>
        <w:ind w:left="7101" w:hanging="360"/>
      </w:pPr>
    </w:lvl>
    <w:lvl w:ilvl="8" w:tplc="080A001B" w:tentative="1">
      <w:start w:val="1"/>
      <w:numFmt w:val="lowerRoman"/>
      <w:lvlText w:val="%9."/>
      <w:lvlJc w:val="right"/>
      <w:pPr>
        <w:ind w:left="7821" w:hanging="180"/>
      </w:pPr>
    </w:lvl>
  </w:abstractNum>
  <w:abstractNum w:abstractNumId="32" w15:restartNumberingAfterBreak="0">
    <w:nsid w:val="6C5C4745"/>
    <w:multiLevelType w:val="hybridMultilevel"/>
    <w:tmpl w:val="F9FE3F02"/>
    <w:lvl w:ilvl="0" w:tplc="8D0A4026">
      <w:start w:val="1"/>
      <w:numFmt w:val="decimal"/>
      <w:lvlText w:val="%1."/>
      <w:lvlJc w:val="left"/>
      <w:pPr>
        <w:ind w:left="720" w:hanging="360"/>
      </w:pPr>
      <w:rPr>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FEA284A"/>
    <w:multiLevelType w:val="hybridMultilevel"/>
    <w:tmpl w:val="11FE92C4"/>
    <w:lvl w:ilvl="0" w:tplc="BC443566">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21026D2"/>
    <w:multiLevelType w:val="hybridMultilevel"/>
    <w:tmpl w:val="1A5EFED8"/>
    <w:lvl w:ilvl="0" w:tplc="AC2CC70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35" w15:restartNumberingAfterBreak="0">
    <w:nsid w:val="75340C31"/>
    <w:multiLevelType w:val="hybridMultilevel"/>
    <w:tmpl w:val="81B2E6D8"/>
    <w:lvl w:ilvl="0" w:tplc="B366C960">
      <w:start w:val="1"/>
      <w:numFmt w:val="lowerRoman"/>
      <w:lvlText w:val="%1."/>
      <w:lvlJc w:val="left"/>
      <w:pPr>
        <w:ind w:left="1713" w:hanging="720"/>
      </w:pPr>
      <w:rPr>
        <w:rFonts w:hint="default"/>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36" w15:restartNumberingAfterBreak="0">
    <w:nsid w:val="76BF5116"/>
    <w:multiLevelType w:val="hybridMultilevel"/>
    <w:tmpl w:val="0DE2E200"/>
    <w:lvl w:ilvl="0" w:tplc="30CEDCA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AD34831"/>
    <w:multiLevelType w:val="hybridMultilevel"/>
    <w:tmpl w:val="D1482D12"/>
    <w:lvl w:ilvl="0" w:tplc="78FE1326">
      <w:start w:val="1"/>
      <w:numFmt w:val="decimal"/>
      <w:lvlText w:val="%1."/>
      <w:lvlJc w:val="left"/>
      <w:pPr>
        <w:ind w:left="221" w:hanging="281"/>
      </w:pPr>
      <w:rPr>
        <w:rFonts w:ascii="Arial" w:eastAsia="Arial" w:hAnsi="Arial" w:cs="Arial" w:hint="default"/>
        <w:b w:val="0"/>
        <w:bCs w:val="0"/>
        <w:i/>
        <w:iCs/>
        <w:w w:val="100"/>
        <w:sz w:val="22"/>
        <w:szCs w:val="22"/>
        <w:lang w:val="es-ES" w:eastAsia="en-US" w:bidi="ar-SA"/>
      </w:rPr>
    </w:lvl>
    <w:lvl w:ilvl="1" w:tplc="C93A6774">
      <w:numFmt w:val="bullet"/>
      <w:lvlText w:val=""/>
      <w:lvlJc w:val="left"/>
      <w:pPr>
        <w:ind w:left="929" w:hanging="281"/>
      </w:pPr>
      <w:rPr>
        <w:rFonts w:ascii="Symbol" w:eastAsia="Symbol" w:hAnsi="Symbol" w:cs="Symbol" w:hint="default"/>
        <w:b/>
        <w:bCs/>
        <w:i w:val="0"/>
        <w:iCs w:val="0"/>
        <w:w w:val="100"/>
        <w:sz w:val="24"/>
        <w:szCs w:val="24"/>
        <w:lang w:val="es-ES" w:eastAsia="en-US" w:bidi="ar-SA"/>
      </w:rPr>
    </w:lvl>
    <w:lvl w:ilvl="2" w:tplc="B9C66004">
      <w:numFmt w:val="bullet"/>
      <w:lvlText w:val="•"/>
      <w:lvlJc w:val="left"/>
      <w:pPr>
        <w:ind w:left="1873" w:hanging="281"/>
      </w:pPr>
      <w:rPr>
        <w:rFonts w:hint="default"/>
        <w:lang w:val="es-ES" w:eastAsia="en-US" w:bidi="ar-SA"/>
      </w:rPr>
    </w:lvl>
    <w:lvl w:ilvl="3" w:tplc="CF1AB0BA">
      <w:numFmt w:val="bullet"/>
      <w:lvlText w:val="•"/>
      <w:lvlJc w:val="left"/>
      <w:pPr>
        <w:ind w:left="2826" w:hanging="281"/>
      </w:pPr>
      <w:rPr>
        <w:rFonts w:hint="default"/>
        <w:lang w:val="es-ES" w:eastAsia="en-US" w:bidi="ar-SA"/>
      </w:rPr>
    </w:lvl>
    <w:lvl w:ilvl="4" w:tplc="7F4609DE">
      <w:numFmt w:val="bullet"/>
      <w:lvlText w:val="•"/>
      <w:lvlJc w:val="left"/>
      <w:pPr>
        <w:ind w:left="3780" w:hanging="281"/>
      </w:pPr>
      <w:rPr>
        <w:rFonts w:hint="default"/>
        <w:lang w:val="es-ES" w:eastAsia="en-US" w:bidi="ar-SA"/>
      </w:rPr>
    </w:lvl>
    <w:lvl w:ilvl="5" w:tplc="00425542">
      <w:numFmt w:val="bullet"/>
      <w:lvlText w:val="•"/>
      <w:lvlJc w:val="left"/>
      <w:pPr>
        <w:ind w:left="4733" w:hanging="281"/>
      </w:pPr>
      <w:rPr>
        <w:rFonts w:hint="default"/>
        <w:lang w:val="es-ES" w:eastAsia="en-US" w:bidi="ar-SA"/>
      </w:rPr>
    </w:lvl>
    <w:lvl w:ilvl="6" w:tplc="46E4EB26">
      <w:numFmt w:val="bullet"/>
      <w:lvlText w:val="•"/>
      <w:lvlJc w:val="left"/>
      <w:pPr>
        <w:ind w:left="5686" w:hanging="281"/>
      </w:pPr>
      <w:rPr>
        <w:rFonts w:hint="default"/>
        <w:lang w:val="es-ES" w:eastAsia="en-US" w:bidi="ar-SA"/>
      </w:rPr>
    </w:lvl>
    <w:lvl w:ilvl="7" w:tplc="91C00972">
      <w:numFmt w:val="bullet"/>
      <w:lvlText w:val="•"/>
      <w:lvlJc w:val="left"/>
      <w:pPr>
        <w:ind w:left="6640" w:hanging="281"/>
      </w:pPr>
      <w:rPr>
        <w:rFonts w:hint="default"/>
        <w:lang w:val="es-ES" w:eastAsia="en-US" w:bidi="ar-SA"/>
      </w:rPr>
    </w:lvl>
    <w:lvl w:ilvl="8" w:tplc="9C68E274">
      <w:numFmt w:val="bullet"/>
      <w:lvlText w:val="•"/>
      <w:lvlJc w:val="left"/>
      <w:pPr>
        <w:ind w:left="7593" w:hanging="281"/>
      </w:pPr>
      <w:rPr>
        <w:rFonts w:hint="default"/>
        <w:lang w:val="es-ES" w:eastAsia="en-US" w:bidi="ar-SA"/>
      </w:rPr>
    </w:lvl>
  </w:abstractNum>
  <w:num w:numId="1" w16cid:durableId="2118867447">
    <w:abstractNumId w:val="30"/>
  </w:num>
  <w:num w:numId="2" w16cid:durableId="835801197">
    <w:abstractNumId w:val="32"/>
  </w:num>
  <w:num w:numId="3" w16cid:durableId="2125728478">
    <w:abstractNumId w:val="17"/>
  </w:num>
  <w:num w:numId="4" w16cid:durableId="1180317202">
    <w:abstractNumId w:val="36"/>
  </w:num>
  <w:num w:numId="5" w16cid:durableId="1359426482">
    <w:abstractNumId w:val="24"/>
  </w:num>
  <w:num w:numId="6" w16cid:durableId="172652948">
    <w:abstractNumId w:val="12"/>
  </w:num>
  <w:num w:numId="7" w16cid:durableId="700135222">
    <w:abstractNumId w:val="4"/>
  </w:num>
  <w:num w:numId="8" w16cid:durableId="194463729">
    <w:abstractNumId w:val="9"/>
  </w:num>
  <w:num w:numId="9" w16cid:durableId="1659646720">
    <w:abstractNumId w:val="10"/>
  </w:num>
  <w:num w:numId="10" w16cid:durableId="1048186661">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11" w16cid:durableId="128288426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24819507">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2068472">
    <w:abstractNumId w:val="15"/>
  </w:num>
  <w:num w:numId="14" w16cid:durableId="1296834548">
    <w:abstractNumId w:val="19"/>
  </w:num>
  <w:num w:numId="15" w16cid:durableId="1190680270">
    <w:abstractNumId w:val="16"/>
  </w:num>
  <w:num w:numId="16" w16cid:durableId="2079206193">
    <w:abstractNumId w:val="11"/>
  </w:num>
  <w:num w:numId="17" w16cid:durableId="1738241707">
    <w:abstractNumId w:val="37"/>
  </w:num>
  <w:num w:numId="18" w16cid:durableId="728380544">
    <w:abstractNumId w:val="35"/>
  </w:num>
  <w:num w:numId="19" w16cid:durableId="1981038002">
    <w:abstractNumId w:val="2"/>
  </w:num>
  <w:num w:numId="20" w16cid:durableId="359207358">
    <w:abstractNumId w:val="31"/>
  </w:num>
  <w:num w:numId="21" w16cid:durableId="1888296222">
    <w:abstractNumId w:val="5"/>
  </w:num>
  <w:num w:numId="22" w16cid:durableId="267542646">
    <w:abstractNumId w:val="21"/>
  </w:num>
  <w:num w:numId="23" w16cid:durableId="1318611432">
    <w:abstractNumId w:val="20"/>
  </w:num>
  <w:num w:numId="24" w16cid:durableId="1660962578">
    <w:abstractNumId w:val="14"/>
  </w:num>
  <w:num w:numId="25" w16cid:durableId="1175532046">
    <w:abstractNumId w:val="7"/>
  </w:num>
  <w:num w:numId="26" w16cid:durableId="36007459">
    <w:abstractNumId w:val="1"/>
  </w:num>
  <w:num w:numId="27" w16cid:durableId="1716469370">
    <w:abstractNumId w:val="29"/>
  </w:num>
  <w:num w:numId="28" w16cid:durableId="955020750">
    <w:abstractNumId w:val="8"/>
  </w:num>
  <w:num w:numId="29" w16cid:durableId="1419673454">
    <w:abstractNumId w:val="0"/>
  </w:num>
  <w:num w:numId="30" w16cid:durableId="27995387">
    <w:abstractNumId w:val="23"/>
  </w:num>
  <w:num w:numId="31" w16cid:durableId="843857452">
    <w:abstractNumId w:val="6"/>
  </w:num>
  <w:num w:numId="32" w16cid:durableId="175732251">
    <w:abstractNumId w:val="13"/>
  </w:num>
  <w:num w:numId="33" w16cid:durableId="1548756920">
    <w:abstractNumId w:val="27"/>
  </w:num>
  <w:num w:numId="34" w16cid:durableId="822894908">
    <w:abstractNumId w:val="28"/>
  </w:num>
  <w:num w:numId="35" w16cid:durableId="341393224">
    <w:abstractNumId w:val="25"/>
  </w:num>
  <w:num w:numId="36" w16cid:durableId="86924049">
    <w:abstractNumId w:val="34"/>
  </w:num>
  <w:num w:numId="37" w16cid:durableId="517935865">
    <w:abstractNumId w:val="3"/>
  </w:num>
  <w:num w:numId="38" w16cid:durableId="1101409765">
    <w:abstractNumId w:val="26"/>
  </w:num>
  <w:num w:numId="39" w16cid:durableId="48432139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7F5"/>
    <w:rsid w:val="00001054"/>
    <w:rsid w:val="00005FD0"/>
    <w:rsid w:val="000122FA"/>
    <w:rsid w:val="00013F6E"/>
    <w:rsid w:val="00023E22"/>
    <w:rsid w:val="00030405"/>
    <w:rsid w:val="00032A9C"/>
    <w:rsid w:val="00034700"/>
    <w:rsid w:val="00035C44"/>
    <w:rsid w:val="00037AEC"/>
    <w:rsid w:val="00043637"/>
    <w:rsid w:val="00046698"/>
    <w:rsid w:val="00050E93"/>
    <w:rsid w:val="00050EB7"/>
    <w:rsid w:val="000512AF"/>
    <w:rsid w:val="00051622"/>
    <w:rsid w:val="00053B67"/>
    <w:rsid w:val="00060E74"/>
    <w:rsid w:val="00064133"/>
    <w:rsid w:val="00073030"/>
    <w:rsid w:val="00075973"/>
    <w:rsid w:val="0008001E"/>
    <w:rsid w:val="00081E85"/>
    <w:rsid w:val="000857DE"/>
    <w:rsid w:val="0009164A"/>
    <w:rsid w:val="00091B12"/>
    <w:rsid w:val="00095B1E"/>
    <w:rsid w:val="00095BF8"/>
    <w:rsid w:val="00096B47"/>
    <w:rsid w:val="000A23B0"/>
    <w:rsid w:val="000A2CB8"/>
    <w:rsid w:val="000A5EA1"/>
    <w:rsid w:val="000B4CCB"/>
    <w:rsid w:val="000B5579"/>
    <w:rsid w:val="000B7CBB"/>
    <w:rsid w:val="000C2306"/>
    <w:rsid w:val="000C3E28"/>
    <w:rsid w:val="000D01CB"/>
    <w:rsid w:val="000D1D8B"/>
    <w:rsid w:val="000D1E9E"/>
    <w:rsid w:val="000D76C8"/>
    <w:rsid w:val="000E15C7"/>
    <w:rsid w:val="000E24ED"/>
    <w:rsid w:val="000E602C"/>
    <w:rsid w:val="000F1A99"/>
    <w:rsid w:val="000F3951"/>
    <w:rsid w:val="000F3FA4"/>
    <w:rsid w:val="00102FBD"/>
    <w:rsid w:val="0010332A"/>
    <w:rsid w:val="00104B17"/>
    <w:rsid w:val="00107641"/>
    <w:rsid w:val="00115073"/>
    <w:rsid w:val="00120F19"/>
    <w:rsid w:val="00121440"/>
    <w:rsid w:val="00124037"/>
    <w:rsid w:val="001256C7"/>
    <w:rsid w:val="001257E6"/>
    <w:rsid w:val="00126223"/>
    <w:rsid w:val="00126D44"/>
    <w:rsid w:val="00130392"/>
    <w:rsid w:val="001312B8"/>
    <w:rsid w:val="001314A7"/>
    <w:rsid w:val="001316A8"/>
    <w:rsid w:val="00132F74"/>
    <w:rsid w:val="001375CA"/>
    <w:rsid w:val="00143179"/>
    <w:rsid w:val="001515C1"/>
    <w:rsid w:val="0015681F"/>
    <w:rsid w:val="00156DBA"/>
    <w:rsid w:val="00157CBE"/>
    <w:rsid w:val="001649A3"/>
    <w:rsid w:val="0016722D"/>
    <w:rsid w:val="00171074"/>
    <w:rsid w:val="00171965"/>
    <w:rsid w:val="001720FA"/>
    <w:rsid w:val="0017285C"/>
    <w:rsid w:val="001764D8"/>
    <w:rsid w:val="00177399"/>
    <w:rsid w:val="00177708"/>
    <w:rsid w:val="00181C20"/>
    <w:rsid w:val="00181D97"/>
    <w:rsid w:val="001823D2"/>
    <w:rsid w:val="00182BFF"/>
    <w:rsid w:val="00190F08"/>
    <w:rsid w:val="001921B1"/>
    <w:rsid w:val="001A7F4C"/>
    <w:rsid w:val="001C0CD9"/>
    <w:rsid w:val="001C536F"/>
    <w:rsid w:val="001D3D82"/>
    <w:rsid w:val="001E1039"/>
    <w:rsid w:val="001E23FE"/>
    <w:rsid w:val="001E379A"/>
    <w:rsid w:val="001F14C2"/>
    <w:rsid w:val="001F1FDB"/>
    <w:rsid w:val="001F4C3F"/>
    <w:rsid w:val="00201ECA"/>
    <w:rsid w:val="00205389"/>
    <w:rsid w:val="00210D49"/>
    <w:rsid w:val="00211C44"/>
    <w:rsid w:val="002142F0"/>
    <w:rsid w:val="002146AE"/>
    <w:rsid w:val="0022366B"/>
    <w:rsid w:val="00230220"/>
    <w:rsid w:val="00243516"/>
    <w:rsid w:val="002444D7"/>
    <w:rsid w:val="00245ECD"/>
    <w:rsid w:val="002540AD"/>
    <w:rsid w:val="00255898"/>
    <w:rsid w:val="002661D0"/>
    <w:rsid w:val="002673CC"/>
    <w:rsid w:val="002707EE"/>
    <w:rsid w:val="00275344"/>
    <w:rsid w:val="002766AE"/>
    <w:rsid w:val="00283B3C"/>
    <w:rsid w:val="00286A06"/>
    <w:rsid w:val="002923A7"/>
    <w:rsid w:val="0029267A"/>
    <w:rsid w:val="00294AA1"/>
    <w:rsid w:val="00294D50"/>
    <w:rsid w:val="00296F48"/>
    <w:rsid w:val="002A43FC"/>
    <w:rsid w:val="002A6662"/>
    <w:rsid w:val="002A6973"/>
    <w:rsid w:val="002B37F0"/>
    <w:rsid w:val="002B5C12"/>
    <w:rsid w:val="002B6F5A"/>
    <w:rsid w:val="002B7F53"/>
    <w:rsid w:val="002C1749"/>
    <w:rsid w:val="002C473E"/>
    <w:rsid w:val="002D713E"/>
    <w:rsid w:val="002E0209"/>
    <w:rsid w:val="002E0A1A"/>
    <w:rsid w:val="002E0FBA"/>
    <w:rsid w:val="002E1BAF"/>
    <w:rsid w:val="002E3185"/>
    <w:rsid w:val="002E69B3"/>
    <w:rsid w:val="002F2F26"/>
    <w:rsid w:val="002F373C"/>
    <w:rsid w:val="002F426B"/>
    <w:rsid w:val="002F5EA3"/>
    <w:rsid w:val="002F69AA"/>
    <w:rsid w:val="0030135B"/>
    <w:rsid w:val="003116E3"/>
    <w:rsid w:val="00315EBB"/>
    <w:rsid w:val="00326808"/>
    <w:rsid w:val="00326A9F"/>
    <w:rsid w:val="0032719C"/>
    <w:rsid w:val="00330415"/>
    <w:rsid w:val="003406B3"/>
    <w:rsid w:val="00343ACD"/>
    <w:rsid w:val="00360805"/>
    <w:rsid w:val="00364368"/>
    <w:rsid w:val="003655D8"/>
    <w:rsid w:val="003658B4"/>
    <w:rsid w:val="0037048F"/>
    <w:rsid w:val="003739AE"/>
    <w:rsid w:val="00375F38"/>
    <w:rsid w:val="00377DA8"/>
    <w:rsid w:val="00381BD3"/>
    <w:rsid w:val="00387BB3"/>
    <w:rsid w:val="00396072"/>
    <w:rsid w:val="003971B1"/>
    <w:rsid w:val="003A0AD1"/>
    <w:rsid w:val="003A39CB"/>
    <w:rsid w:val="003A7E70"/>
    <w:rsid w:val="003B1742"/>
    <w:rsid w:val="003B24A3"/>
    <w:rsid w:val="003B3921"/>
    <w:rsid w:val="003B6D79"/>
    <w:rsid w:val="003C1AD5"/>
    <w:rsid w:val="003C2302"/>
    <w:rsid w:val="003D0925"/>
    <w:rsid w:val="003D3140"/>
    <w:rsid w:val="003E0039"/>
    <w:rsid w:val="003E2E36"/>
    <w:rsid w:val="003F35FF"/>
    <w:rsid w:val="003F5D95"/>
    <w:rsid w:val="004032C5"/>
    <w:rsid w:val="0040452A"/>
    <w:rsid w:val="00405C6D"/>
    <w:rsid w:val="00411395"/>
    <w:rsid w:val="004130DC"/>
    <w:rsid w:val="004138A2"/>
    <w:rsid w:val="004147F8"/>
    <w:rsid w:val="00415155"/>
    <w:rsid w:val="00416085"/>
    <w:rsid w:val="004162EA"/>
    <w:rsid w:val="00420FEC"/>
    <w:rsid w:val="004219B3"/>
    <w:rsid w:val="00421A3B"/>
    <w:rsid w:val="004239CD"/>
    <w:rsid w:val="00424C08"/>
    <w:rsid w:val="004272A2"/>
    <w:rsid w:val="0043061A"/>
    <w:rsid w:val="00437D8A"/>
    <w:rsid w:val="004404D7"/>
    <w:rsid w:val="0044095C"/>
    <w:rsid w:val="0044139D"/>
    <w:rsid w:val="0044738E"/>
    <w:rsid w:val="00461C9C"/>
    <w:rsid w:val="00462771"/>
    <w:rsid w:val="0046552F"/>
    <w:rsid w:val="00470BD2"/>
    <w:rsid w:val="0047270E"/>
    <w:rsid w:val="00475D50"/>
    <w:rsid w:val="0047729C"/>
    <w:rsid w:val="00480BD8"/>
    <w:rsid w:val="00490C26"/>
    <w:rsid w:val="00494304"/>
    <w:rsid w:val="00495EA7"/>
    <w:rsid w:val="004A05B7"/>
    <w:rsid w:val="004A2BCD"/>
    <w:rsid w:val="004A2CEB"/>
    <w:rsid w:val="004A3C22"/>
    <w:rsid w:val="004A3CD8"/>
    <w:rsid w:val="004A3F6A"/>
    <w:rsid w:val="004B1C76"/>
    <w:rsid w:val="004B5B04"/>
    <w:rsid w:val="004B7241"/>
    <w:rsid w:val="004C76C7"/>
    <w:rsid w:val="004D2E5F"/>
    <w:rsid w:val="004D5A7C"/>
    <w:rsid w:val="004D7105"/>
    <w:rsid w:val="004E216B"/>
    <w:rsid w:val="004E24CE"/>
    <w:rsid w:val="004E2E13"/>
    <w:rsid w:val="004E3186"/>
    <w:rsid w:val="004E4974"/>
    <w:rsid w:val="004F1844"/>
    <w:rsid w:val="004F65DE"/>
    <w:rsid w:val="004F7E13"/>
    <w:rsid w:val="005025D7"/>
    <w:rsid w:val="0050560A"/>
    <w:rsid w:val="00505DF7"/>
    <w:rsid w:val="00512CD4"/>
    <w:rsid w:val="00516652"/>
    <w:rsid w:val="00525D9E"/>
    <w:rsid w:val="00533505"/>
    <w:rsid w:val="00533CAB"/>
    <w:rsid w:val="005346CF"/>
    <w:rsid w:val="00542C8F"/>
    <w:rsid w:val="00544547"/>
    <w:rsid w:val="00545EB0"/>
    <w:rsid w:val="005537D0"/>
    <w:rsid w:val="0058013D"/>
    <w:rsid w:val="0058123F"/>
    <w:rsid w:val="00581795"/>
    <w:rsid w:val="0058572B"/>
    <w:rsid w:val="00585A6B"/>
    <w:rsid w:val="00585C32"/>
    <w:rsid w:val="00585CB6"/>
    <w:rsid w:val="00586F6C"/>
    <w:rsid w:val="005901F1"/>
    <w:rsid w:val="00592EFC"/>
    <w:rsid w:val="005B12BB"/>
    <w:rsid w:val="005B3FAD"/>
    <w:rsid w:val="005B5263"/>
    <w:rsid w:val="005B70CF"/>
    <w:rsid w:val="005B72A8"/>
    <w:rsid w:val="005C4F96"/>
    <w:rsid w:val="005D0E58"/>
    <w:rsid w:val="005D1AA3"/>
    <w:rsid w:val="005D3069"/>
    <w:rsid w:val="005D3303"/>
    <w:rsid w:val="005F026D"/>
    <w:rsid w:val="005F53DB"/>
    <w:rsid w:val="005F68C2"/>
    <w:rsid w:val="005F780A"/>
    <w:rsid w:val="005F7FEB"/>
    <w:rsid w:val="006055C3"/>
    <w:rsid w:val="00611D53"/>
    <w:rsid w:val="00632B1A"/>
    <w:rsid w:val="00632DCA"/>
    <w:rsid w:val="006368F4"/>
    <w:rsid w:val="0064482D"/>
    <w:rsid w:val="00652003"/>
    <w:rsid w:val="00653ECE"/>
    <w:rsid w:val="00655B98"/>
    <w:rsid w:val="00672B79"/>
    <w:rsid w:val="006776CF"/>
    <w:rsid w:val="00680D2D"/>
    <w:rsid w:val="00680EFA"/>
    <w:rsid w:val="0068530C"/>
    <w:rsid w:val="0068704B"/>
    <w:rsid w:val="006A15B9"/>
    <w:rsid w:val="006A2FD7"/>
    <w:rsid w:val="006A4782"/>
    <w:rsid w:val="006A5F30"/>
    <w:rsid w:val="006A64AB"/>
    <w:rsid w:val="006A66B4"/>
    <w:rsid w:val="006A6AD2"/>
    <w:rsid w:val="006B169E"/>
    <w:rsid w:val="006B5882"/>
    <w:rsid w:val="006C5D9C"/>
    <w:rsid w:val="006C67F0"/>
    <w:rsid w:val="006D0001"/>
    <w:rsid w:val="006D67BC"/>
    <w:rsid w:val="006E139F"/>
    <w:rsid w:val="006E547B"/>
    <w:rsid w:val="006E5913"/>
    <w:rsid w:val="006E6534"/>
    <w:rsid w:val="006F00DC"/>
    <w:rsid w:val="006F45E0"/>
    <w:rsid w:val="006F635A"/>
    <w:rsid w:val="00702953"/>
    <w:rsid w:val="00717320"/>
    <w:rsid w:val="007173AE"/>
    <w:rsid w:val="007200E8"/>
    <w:rsid w:val="00722D67"/>
    <w:rsid w:val="00725DB5"/>
    <w:rsid w:val="00734C0D"/>
    <w:rsid w:val="0073520A"/>
    <w:rsid w:val="00735861"/>
    <w:rsid w:val="00736AF7"/>
    <w:rsid w:val="00740383"/>
    <w:rsid w:val="00741D53"/>
    <w:rsid w:val="00742A47"/>
    <w:rsid w:val="00752B93"/>
    <w:rsid w:val="007537D2"/>
    <w:rsid w:val="00754E62"/>
    <w:rsid w:val="00760556"/>
    <w:rsid w:val="00762C66"/>
    <w:rsid w:val="00770CAF"/>
    <w:rsid w:val="007742AD"/>
    <w:rsid w:val="00774DCA"/>
    <w:rsid w:val="0077650C"/>
    <w:rsid w:val="00776AC2"/>
    <w:rsid w:val="007822D0"/>
    <w:rsid w:val="00782ACA"/>
    <w:rsid w:val="0079114F"/>
    <w:rsid w:val="00791F74"/>
    <w:rsid w:val="007A2999"/>
    <w:rsid w:val="007A3309"/>
    <w:rsid w:val="007A549A"/>
    <w:rsid w:val="007B1887"/>
    <w:rsid w:val="007C1A38"/>
    <w:rsid w:val="007D245A"/>
    <w:rsid w:val="007E1721"/>
    <w:rsid w:val="007E433A"/>
    <w:rsid w:val="007E592A"/>
    <w:rsid w:val="007F0CC8"/>
    <w:rsid w:val="007F0F7A"/>
    <w:rsid w:val="007F1251"/>
    <w:rsid w:val="0080245F"/>
    <w:rsid w:val="0080289E"/>
    <w:rsid w:val="00811782"/>
    <w:rsid w:val="00814A3C"/>
    <w:rsid w:val="008157F5"/>
    <w:rsid w:val="008236B6"/>
    <w:rsid w:val="008261DF"/>
    <w:rsid w:val="008411B1"/>
    <w:rsid w:val="00841755"/>
    <w:rsid w:val="00851BB5"/>
    <w:rsid w:val="00856F72"/>
    <w:rsid w:val="008634B2"/>
    <w:rsid w:val="00864C73"/>
    <w:rsid w:val="0087347B"/>
    <w:rsid w:val="00877E24"/>
    <w:rsid w:val="00884FE7"/>
    <w:rsid w:val="0088640D"/>
    <w:rsid w:val="00886450"/>
    <w:rsid w:val="0089116A"/>
    <w:rsid w:val="0089584D"/>
    <w:rsid w:val="008A6219"/>
    <w:rsid w:val="008B1831"/>
    <w:rsid w:val="008B2AF0"/>
    <w:rsid w:val="008B51D0"/>
    <w:rsid w:val="008B59C5"/>
    <w:rsid w:val="008B7357"/>
    <w:rsid w:val="008C54C0"/>
    <w:rsid w:val="008C5FF1"/>
    <w:rsid w:val="008C7FD6"/>
    <w:rsid w:val="008D1DB5"/>
    <w:rsid w:val="008D2C06"/>
    <w:rsid w:val="008E2F44"/>
    <w:rsid w:val="008F37D6"/>
    <w:rsid w:val="008F4E16"/>
    <w:rsid w:val="008F7600"/>
    <w:rsid w:val="0090131E"/>
    <w:rsid w:val="00901B47"/>
    <w:rsid w:val="00902CE1"/>
    <w:rsid w:val="00910AAB"/>
    <w:rsid w:val="00910EE1"/>
    <w:rsid w:val="00914291"/>
    <w:rsid w:val="009151DE"/>
    <w:rsid w:val="00916595"/>
    <w:rsid w:val="00922DE1"/>
    <w:rsid w:val="0092427D"/>
    <w:rsid w:val="009253EC"/>
    <w:rsid w:val="0093110F"/>
    <w:rsid w:val="009339DD"/>
    <w:rsid w:val="009341D7"/>
    <w:rsid w:val="00936FCF"/>
    <w:rsid w:val="00937211"/>
    <w:rsid w:val="00937C07"/>
    <w:rsid w:val="00940900"/>
    <w:rsid w:val="009422CC"/>
    <w:rsid w:val="00950B3F"/>
    <w:rsid w:val="0095409B"/>
    <w:rsid w:val="00957F79"/>
    <w:rsid w:val="00960B3E"/>
    <w:rsid w:val="00962BF3"/>
    <w:rsid w:val="009636F3"/>
    <w:rsid w:val="009646EB"/>
    <w:rsid w:val="00966F81"/>
    <w:rsid w:val="00967FF2"/>
    <w:rsid w:val="00972F46"/>
    <w:rsid w:val="0097476C"/>
    <w:rsid w:val="00984C13"/>
    <w:rsid w:val="00986762"/>
    <w:rsid w:val="00986CAC"/>
    <w:rsid w:val="009914D5"/>
    <w:rsid w:val="0099240E"/>
    <w:rsid w:val="00992DEC"/>
    <w:rsid w:val="00995886"/>
    <w:rsid w:val="00995CFC"/>
    <w:rsid w:val="00997C9A"/>
    <w:rsid w:val="009A76ED"/>
    <w:rsid w:val="009B0695"/>
    <w:rsid w:val="009B1B03"/>
    <w:rsid w:val="009B6516"/>
    <w:rsid w:val="009C07D8"/>
    <w:rsid w:val="009C0BD0"/>
    <w:rsid w:val="009C194C"/>
    <w:rsid w:val="009C6BAC"/>
    <w:rsid w:val="009D11BD"/>
    <w:rsid w:val="009D22EF"/>
    <w:rsid w:val="009D6BCB"/>
    <w:rsid w:val="009D7B0C"/>
    <w:rsid w:val="009E08DD"/>
    <w:rsid w:val="009E282D"/>
    <w:rsid w:val="009E4046"/>
    <w:rsid w:val="009F6379"/>
    <w:rsid w:val="00A03A6B"/>
    <w:rsid w:val="00A1343D"/>
    <w:rsid w:val="00A176D7"/>
    <w:rsid w:val="00A27D27"/>
    <w:rsid w:val="00A342AB"/>
    <w:rsid w:val="00A40EE8"/>
    <w:rsid w:val="00A43002"/>
    <w:rsid w:val="00A50A29"/>
    <w:rsid w:val="00A547E1"/>
    <w:rsid w:val="00A57400"/>
    <w:rsid w:val="00A6118B"/>
    <w:rsid w:val="00A6692F"/>
    <w:rsid w:val="00A67978"/>
    <w:rsid w:val="00A7526A"/>
    <w:rsid w:val="00A7578A"/>
    <w:rsid w:val="00A77B25"/>
    <w:rsid w:val="00A8378B"/>
    <w:rsid w:val="00A85CD7"/>
    <w:rsid w:val="00A8723E"/>
    <w:rsid w:val="00A93BEB"/>
    <w:rsid w:val="00A93EE2"/>
    <w:rsid w:val="00A96752"/>
    <w:rsid w:val="00A96771"/>
    <w:rsid w:val="00A9719E"/>
    <w:rsid w:val="00A971EA"/>
    <w:rsid w:val="00A97ECA"/>
    <w:rsid w:val="00AA06B6"/>
    <w:rsid w:val="00AA4B37"/>
    <w:rsid w:val="00AA52B2"/>
    <w:rsid w:val="00AA6092"/>
    <w:rsid w:val="00AB369E"/>
    <w:rsid w:val="00AB43D4"/>
    <w:rsid w:val="00AC226F"/>
    <w:rsid w:val="00AC2EE3"/>
    <w:rsid w:val="00AD129B"/>
    <w:rsid w:val="00AD3B11"/>
    <w:rsid w:val="00AE1AA8"/>
    <w:rsid w:val="00AF1B54"/>
    <w:rsid w:val="00B0237A"/>
    <w:rsid w:val="00B048D9"/>
    <w:rsid w:val="00B107FF"/>
    <w:rsid w:val="00B2298E"/>
    <w:rsid w:val="00B4198F"/>
    <w:rsid w:val="00B422A4"/>
    <w:rsid w:val="00B45845"/>
    <w:rsid w:val="00B460AC"/>
    <w:rsid w:val="00B52817"/>
    <w:rsid w:val="00B56EC5"/>
    <w:rsid w:val="00B6291A"/>
    <w:rsid w:val="00B630B8"/>
    <w:rsid w:val="00B6649A"/>
    <w:rsid w:val="00B66D8E"/>
    <w:rsid w:val="00B67A6A"/>
    <w:rsid w:val="00B71C53"/>
    <w:rsid w:val="00B731CC"/>
    <w:rsid w:val="00B739AE"/>
    <w:rsid w:val="00B8038F"/>
    <w:rsid w:val="00B82D44"/>
    <w:rsid w:val="00B82FF9"/>
    <w:rsid w:val="00B84D37"/>
    <w:rsid w:val="00BA1978"/>
    <w:rsid w:val="00BA2143"/>
    <w:rsid w:val="00BA2D04"/>
    <w:rsid w:val="00BA7374"/>
    <w:rsid w:val="00BB366F"/>
    <w:rsid w:val="00BB4D00"/>
    <w:rsid w:val="00BC1B10"/>
    <w:rsid w:val="00BD27AA"/>
    <w:rsid w:val="00BE05F0"/>
    <w:rsid w:val="00BE2BA8"/>
    <w:rsid w:val="00BE3AD2"/>
    <w:rsid w:val="00BE450A"/>
    <w:rsid w:val="00BE5967"/>
    <w:rsid w:val="00BE5E20"/>
    <w:rsid w:val="00BE7599"/>
    <w:rsid w:val="00BF5436"/>
    <w:rsid w:val="00BF6A5F"/>
    <w:rsid w:val="00BF7DD7"/>
    <w:rsid w:val="00C008CB"/>
    <w:rsid w:val="00C02EE2"/>
    <w:rsid w:val="00C12240"/>
    <w:rsid w:val="00C23C4B"/>
    <w:rsid w:val="00C244DA"/>
    <w:rsid w:val="00C27318"/>
    <w:rsid w:val="00C31452"/>
    <w:rsid w:val="00C359DF"/>
    <w:rsid w:val="00C50DAB"/>
    <w:rsid w:val="00C50E41"/>
    <w:rsid w:val="00C53901"/>
    <w:rsid w:val="00C53C60"/>
    <w:rsid w:val="00C601D1"/>
    <w:rsid w:val="00C6274D"/>
    <w:rsid w:val="00C6347F"/>
    <w:rsid w:val="00C75348"/>
    <w:rsid w:val="00C7779C"/>
    <w:rsid w:val="00CA402E"/>
    <w:rsid w:val="00CA4EC9"/>
    <w:rsid w:val="00CA5F19"/>
    <w:rsid w:val="00CB10CC"/>
    <w:rsid w:val="00CB169D"/>
    <w:rsid w:val="00CB4E84"/>
    <w:rsid w:val="00CB51D5"/>
    <w:rsid w:val="00CC4070"/>
    <w:rsid w:val="00CC695C"/>
    <w:rsid w:val="00CD2602"/>
    <w:rsid w:val="00CD55A1"/>
    <w:rsid w:val="00CE06E4"/>
    <w:rsid w:val="00CE1875"/>
    <w:rsid w:val="00CE58B8"/>
    <w:rsid w:val="00CE7355"/>
    <w:rsid w:val="00CF6A9A"/>
    <w:rsid w:val="00D0089F"/>
    <w:rsid w:val="00D00CC0"/>
    <w:rsid w:val="00D01826"/>
    <w:rsid w:val="00D06103"/>
    <w:rsid w:val="00D07A41"/>
    <w:rsid w:val="00D10E31"/>
    <w:rsid w:val="00D2566F"/>
    <w:rsid w:val="00D30014"/>
    <w:rsid w:val="00D33BA2"/>
    <w:rsid w:val="00D34337"/>
    <w:rsid w:val="00D34720"/>
    <w:rsid w:val="00D44E46"/>
    <w:rsid w:val="00D6020F"/>
    <w:rsid w:val="00D61C81"/>
    <w:rsid w:val="00D640CD"/>
    <w:rsid w:val="00D647F2"/>
    <w:rsid w:val="00D71392"/>
    <w:rsid w:val="00D71D22"/>
    <w:rsid w:val="00D77EF6"/>
    <w:rsid w:val="00D854EE"/>
    <w:rsid w:val="00D91591"/>
    <w:rsid w:val="00DA117E"/>
    <w:rsid w:val="00DA3661"/>
    <w:rsid w:val="00DA661A"/>
    <w:rsid w:val="00DA6B8A"/>
    <w:rsid w:val="00DA6D1D"/>
    <w:rsid w:val="00DA7B2B"/>
    <w:rsid w:val="00DB0641"/>
    <w:rsid w:val="00DB0ABF"/>
    <w:rsid w:val="00DB12E7"/>
    <w:rsid w:val="00DB2001"/>
    <w:rsid w:val="00DB21AB"/>
    <w:rsid w:val="00DB257D"/>
    <w:rsid w:val="00DB5ACE"/>
    <w:rsid w:val="00DC22C9"/>
    <w:rsid w:val="00DC5D57"/>
    <w:rsid w:val="00DC6774"/>
    <w:rsid w:val="00DC6D9D"/>
    <w:rsid w:val="00DD0AF0"/>
    <w:rsid w:val="00DD2A2D"/>
    <w:rsid w:val="00DD3883"/>
    <w:rsid w:val="00DD51D3"/>
    <w:rsid w:val="00DD6B17"/>
    <w:rsid w:val="00DE2803"/>
    <w:rsid w:val="00DE33AF"/>
    <w:rsid w:val="00DE7750"/>
    <w:rsid w:val="00DF6748"/>
    <w:rsid w:val="00E026BF"/>
    <w:rsid w:val="00E05331"/>
    <w:rsid w:val="00E075D3"/>
    <w:rsid w:val="00E210F2"/>
    <w:rsid w:val="00E24D4B"/>
    <w:rsid w:val="00E2519B"/>
    <w:rsid w:val="00E326E8"/>
    <w:rsid w:val="00E32F58"/>
    <w:rsid w:val="00E3558A"/>
    <w:rsid w:val="00E35A09"/>
    <w:rsid w:val="00E372D4"/>
    <w:rsid w:val="00E440EE"/>
    <w:rsid w:val="00E527F9"/>
    <w:rsid w:val="00E5450E"/>
    <w:rsid w:val="00E54C4C"/>
    <w:rsid w:val="00E5633A"/>
    <w:rsid w:val="00E57981"/>
    <w:rsid w:val="00E61F88"/>
    <w:rsid w:val="00E711BB"/>
    <w:rsid w:val="00E71577"/>
    <w:rsid w:val="00E8494B"/>
    <w:rsid w:val="00E85AB8"/>
    <w:rsid w:val="00E8678A"/>
    <w:rsid w:val="00E94374"/>
    <w:rsid w:val="00E95643"/>
    <w:rsid w:val="00EA05C0"/>
    <w:rsid w:val="00EA0C8E"/>
    <w:rsid w:val="00EA4F31"/>
    <w:rsid w:val="00EA5498"/>
    <w:rsid w:val="00EB03F5"/>
    <w:rsid w:val="00EB07A7"/>
    <w:rsid w:val="00EB5FF1"/>
    <w:rsid w:val="00EB78EF"/>
    <w:rsid w:val="00ED3D17"/>
    <w:rsid w:val="00ED470B"/>
    <w:rsid w:val="00ED51EE"/>
    <w:rsid w:val="00ED7E36"/>
    <w:rsid w:val="00EE13D8"/>
    <w:rsid w:val="00EE18F4"/>
    <w:rsid w:val="00EE6E7F"/>
    <w:rsid w:val="00EE75F5"/>
    <w:rsid w:val="00F03FCB"/>
    <w:rsid w:val="00F04F25"/>
    <w:rsid w:val="00F05ACA"/>
    <w:rsid w:val="00F117B0"/>
    <w:rsid w:val="00F21ECE"/>
    <w:rsid w:val="00F240EE"/>
    <w:rsid w:val="00F307BF"/>
    <w:rsid w:val="00F32702"/>
    <w:rsid w:val="00F332FE"/>
    <w:rsid w:val="00F362A7"/>
    <w:rsid w:val="00F44750"/>
    <w:rsid w:val="00F466CF"/>
    <w:rsid w:val="00F545D3"/>
    <w:rsid w:val="00F55732"/>
    <w:rsid w:val="00F5795D"/>
    <w:rsid w:val="00F603F9"/>
    <w:rsid w:val="00F622F9"/>
    <w:rsid w:val="00F66309"/>
    <w:rsid w:val="00F667E5"/>
    <w:rsid w:val="00F66D40"/>
    <w:rsid w:val="00F71374"/>
    <w:rsid w:val="00F72D0B"/>
    <w:rsid w:val="00F74F2A"/>
    <w:rsid w:val="00F76541"/>
    <w:rsid w:val="00F819D3"/>
    <w:rsid w:val="00F94F1A"/>
    <w:rsid w:val="00F97571"/>
    <w:rsid w:val="00FA38A1"/>
    <w:rsid w:val="00FB022F"/>
    <w:rsid w:val="00FC17FC"/>
    <w:rsid w:val="00FD1C50"/>
    <w:rsid w:val="00FD1C6B"/>
    <w:rsid w:val="00FD4A3A"/>
    <w:rsid w:val="00FD6726"/>
    <w:rsid w:val="00FE1529"/>
    <w:rsid w:val="00FE2B5F"/>
    <w:rsid w:val="00FE7633"/>
    <w:rsid w:val="00FF1234"/>
    <w:rsid w:val="00FF3A00"/>
    <w:rsid w:val="00FF4AF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72758FB6"/>
  <w15:chartTrackingRefBased/>
  <w15:docId w15:val="{E7C3585F-A84E-4D4E-9C1C-84CAFA7C8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6">
    <w:name w:val="heading 6"/>
    <w:basedOn w:val="Normal"/>
    <w:next w:val="Normal"/>
    <w:link w:val="Ttulo6Car"/>
    <w:uiPriority w:val="9"/>
    <w:unhideWhenUsed/>
    <w:qFormat/>
    <w:rsid w:val="00FF3A00"/>
    <w:pPr>
      <w:keepNext/>
      <w:keepLines/>
      <w:spacing w:before="40" w:line="259" w:lineRule="auto"/>
      <w:outlineLvl w:val="5"/>
    </w:pPr>
    <w:rPr>
      <w:rFonts w:asciiTheme="majorHAnsi" w:eastAsiaTheme="majorEastAsia" w:hAnsiTheme="majorHAnsi" w:cstheme="majorBidi"/>
      <w:color w:val="1F3763" w:themeColor="accent1" w:themeShade="7F"/>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157F5"/>
    <w:pPr>
      <w:tabs>
        <w:tab w:val="center" w:pos="4419"/>
        <w:tab w:val="right" w:pos="8838"/>
      </w:tabs>
    </w:pPr>
  </w:style>
  <w:style w:type="character" w:customStyle="1" w:styleId="EncabezadoCar">
    <w:name w:val="Encabezado Car"/>
    <w:basedOn w:val="Fuentedeprrafopredeter"/>
    <w:link w:val="Encabezado"/>
    <w:uiPriority w:val="99"/>
    <w:rsid w:val="008157F5"/>
  </w:style>
  <w:style w:type="paragraph" w:styleId="Piedepgina">
    <w:name w:val="footer"/>
    <w:basedOn w:val="Normal"/>
    <w:link w:val="PiedepginaCar"/>
    <w:uiPriority w:val="99"/>
    <w:unhideWhenUsed/>
    <w:rsid w:val="008157F5"/>
    <w:pPr>
      <w:tabs>
        <w:tab w:val="center" w:pos="4419"/>
        <w:tab w:val="right" w:pos="8838"/>
      </w:tabs>
    </w:pPr>
  </w:style>
  <w:style w:type="character" w:customStyle="1" w:styleId="PiedepginaCar">
    <w:name w:val="Pie de página Car"/>
    <w:basedOn w:val="Fuentedeprrafopredeter"/>
    <w:link w:val="Piedepgina"/>
    <w:uiPriority w:val="99"/>
    <w:rsid w:val="008157F5"/>
  </w:style>
  <w:style w:type="paragraph" w:styleId="Textosinformato">
    <w:name w:val="Plain Text"/>
    <w:basedOn w:val="Normal"/>
    <w:link w:val="TextosinformatoCar"/>
    <w:uiPriority w:val="99"/>
    <w:unhideWhenUsed/>
    <w:rsid w:val="008157F5"/>
    <w:rPr>
      <w:rFonts w:ascii="Consolas" w:hAnsi="Consolas" w:cs="Consolas"/>
      <w:sz w:val="21"/>
      <w:szCs w:val="21"/>
    </w:rPr>
  </w:style>
  <w:style w:type="character" w:customStyle="1" w:styleId="TextosinformatoCar">
    <w:name w:val="Texto sin formato Car"/>
    <w:basedOn w:val="Fuentedeprrafopredeter"/>
    <w:link w:val="Textosinformato"/>
    <w:uiPriority w:val="99"/>
    <w:rsid w:val="008157F5"/>
    <w:rPr>
      <w:rFonts w:ascii="Consolas" w:hAnsi="Consolas" w:cs="Consolas"/>
      <w:sz w:val="21"/>
      <w:szCs w:val="21"/>
    </w:rPr>
  </w:style>
  <w:style w:type="paragraph" w:styleId="Sinespaciado">
    <w:name w:val="No Spacing"/>
    <w:uiPriority w:val="1"/>
    <w:qFormat/>
    <w:rsid w:val="00525D9E"/>
    <w:rPr>
      <w:rFonts w:ascii="Calibri" w:eastAsia="Times New Roman" w:hAnsi="Calibri" w:cs="Times New Roman"/>
      <w:sz w:val="22"/>
      <w:szCs w:val="22"/>
      <w:lang w:eastAsia="es-MX"/>
    </w:rPr>
  </w:style>
  <w:style w:type="paragraph" w:styleId="Prrafodelista">
    <w:name w:val="List Paragraph"/>
    <w:aliases w:val="Listas,Lista vistosa - Énfasis 11,Cita texto,Footnote"/>
    <w:basedOn w:val="Normal"/>
    <w:link w:val="PrrafodelistaCar"/>
    <w:uiPriority w:val="34"/>
    <w:qFormat/>
    <w:rsid w:val="00525D9E"/>
    <w:pPr>
      <w:spacing w:after="160" w:line="259" w:lineRule="auto"/>
      <w:ind w:left="720"/>
      <w:contextualSpacing/>
    </w:pPr>
    <w:rPr>
      <w:sz w:val="22"/>
      <w:szCs w:val="22"/>
    </w:rPr>
  </w:style>
  <w:style w:type="paragraph" w:styleId="Textoindependiente">
    <w:name w:val="Body Text"/>
    <w:basedOn w:val="Normal"/>
    <w:link w:val="TextoindependienteCar"/>
    <w:uiPriority w:val="1"/>
    <w:qFormat/>
    <w:rsid w:val="00525D9E"/>
    <w:pPr>
      <w:widowControl w:val="0"/>
      <w:autoSpaceDE w:val="0"/>
      <w:autoSpaceDN w:val="0"/>
      <w:adjustRightInd w:val="0"/>
    </w:pPr>
    <w:rPr>
      <w:rFonts w:ascii="Arial" w:eastAsiaTheme="minorEastAsia" w:hAnsi="Arial" w:cs="Arial"/>
      <w:sz w:val="25"/>
      <w:szCs w:val="25"/>
      <w:lang w:eastAsia="es-MX"/>
    </w:rPr>
  </w:style>
  <w:style w:type="character" w:customStyle="1" w:styleId="TextoindependienteCar">
    <w:name w:val="Texto independiente Car"/>
    <w:basedOn w:val="Fuentedeprrafopredeter"/>
    <w:link w:val="Textoindependiente"/>
    <w:uiPriority w:val="99"/>
    <w:rsid w:val="00525D9E"/>
    <w:rPr>
      <w:rFonts w:ascii="Arial" w:eastAsiaTheme="minorEastAsia" w:hAnsi="Arial" w:cs="Arial"/>
      <w:sz w:val="25"/>
      <w:szCs w:val="25"/>
      <w:lang w:eastAsia="es-MX"/>
    </w:rPr>
  </w:style>
  <w:style w:type="character" w:styleId="Textoennegrita">
    <w:name w:val="Strong"/>
    <w:basedOn w:val="Fuentedeprrafopredeter"/>
    <w:uiPriority w:val="22"/>
    <w:qFormat/>
    <w:rsid w:val="00525D9E"/>
    <w:rPr>
      <w:b/>
      <w:bCs/>
    </w:rPr>
  </w:style>
  <w:style w:type="character" w:customStyle="1" w:styleId="PrrafodelistaCar">
    <w:name w:val="Párrafo de lista Car"/>
    <w:aliases w:val="Listas Car,Lista vistosa - Énfasis 11 Car,Cita texto Car,Footnote Car"/>
    <w:link w:val="Prrafodelista"/>
    <w:uiPriority w:val="34"/>
    <w:rsid w:val="00525D9E"/>
    <w:rPr>
      <w:sz w:val="22"/>
      <w:szCs w:val="22"/>
    </w:rPr>
  </w:style>
  <w:style w:type="paragraph" w:styleId="Textonotapie">
    <w:name w:val="footnote text"/>
    <w:basedOn w:val="Normal"/>
    <w:link w:val="TextonotapieCar"/>
    <w:uiPriority w:val="99"/>
    <w:semiHidden/>
    <w:unhideWhenUsed/>
    <w:rsid w:val="00525D9E"/>
    <w:rPr>
      <w:sz w:val="20"/>
      <w:szCs w:val="20"/>
    </w:rPr>
  </w:style>
  <w:style w:type="character" w:customStyle="1" w:styleId="TextonotapieCar">
    <w:name w:val="Texto nota pie Car"/>
    <w:basedOn w:val="Fuentedeprrafopredeter"/>
    <w:link w:val="Textonotapie"/>
    <w:uiPriority w:val="99"/>
    <w:semiHidden/>
    <w:rsid w:val="00525D9E"/>
    <w:rPr>
      <w:sz w:val="20"/>
      <w:szCs w:val="20"/>
    </w:rPr>
  </w:style>
  <w:style w:type="character" w:styleId="Refdenotaalpie">
    <w:name w:val="footnote reference"/>
    <w:basedOn w:val="Fuentedeprrafopredeter"/>
    <w:uiPriority w:val="99"/>
    <w:semiHidden/>
    <w:unhideWhenUsed/>
    <w:rsid w:val="00525D9E"/>
    <w:rPr>
      <w:vertAlign w:val="superscript"/>
    </w:rPr>
  </w:style>
  <w:style w:type="paragraph" w:customStyle="1" w:styleId="Default">
    <w:name w:val="Default"/>
    <w:rsid w:val="002707EE"/>
    <w:pPr>
      <w:autoSpaceDE w:val="0"/>
      <w:autoSpaceDN w:val="0"/>
      <w:adjustRightInd w:val="0"/>
    </w:pPr>
    <w:rPr>
      <w:rFonts w:ascii="Helvetica Neue" w:hAnsi="Helvetica Neue" w:cs="Helvetica Neue"/>
      <w:color w:val="000000"/>
    </w:rPr>
  </w:style>
  <w:style w:type="paragraph" w:styleId="Textodeglobo">
    <w:name w:val="Balloon Text"/>
    <w:basedOn w:val="Normal"/>
    <w:link w:val="TextodegloboCar"/>
    <w:uiPriority w:val="99"/>
    <w:semiHidden/>
    <w:unhideWhenUsed/>
    <w:rsid w:val="002707E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707EE"/>
    <w:rPr>
      <w:rFonts w:ascii="Segoe UI" w:hAnsi="Segoe UI" w:cs="Segoe UI"/>
      <w:sz w:val="18"/>
      <w:szCs w:val="18"/>
    </w:rPr>
  </w:style>
  <w:style w:type="character" w:styleId="Hipervnculo">
    <w:name w:val="Hyperlink"/>
    <w:basedOn w:val="Fuentedeprrafopredeter"/>
    <w:uiPriority w:val="99"/>
    <w:unhideWhenUsed/>
    <w:rsid w:val="002E0A1A"/>
    <w:rPr>
      <w:color w:val="0000FF"/>
      <w:u w:val="single"/>
    </w:rPr>
  </w:style>
  <w:style w:type="paragraph" w:styleId="Textonotaalfinal">
    <w:name w:val="endnote text"/>
    <w:basedOn w:val="Normal"/>
    <w:link w:val="TextonotaalfinalCar"/>
    <w:uiPriority w:val="99"/>
    <w:semiHidden/>
    <w:unhideWhenUsed/>
    <w:rsid w:val="008C54C0"/>
    <w:rPr>
      <w:sz w:val="20"/>
      <w:szCs w:val="20"/>
    </w:rPr>
  </w:style>
  <w:style w:type="character" w:customStyle="1" w:styleId="TextonotaalfinalCar">
    <w:name w:val="Texto nota al final Car"/>
    <w:basedOn w:val="Fuentedeprrafopredeter"/>
    <w:link w:val="Textonotaalfinal"/>
    <w:uiPriority w:val="99"/>
    <w:semiHidden/>
    <w:rsid w:val="008C54C0"/>
    <w:rPr>
      <w:sz w:val="20"/>
      <w:szCs w:val="20"/>
    </w:rPr>
  </w:style>
  <w:style w:type="character" w:styleId="Refdenotaalfinal">
    <w:name w:val="endnote reference"/>
    <w:basedOn w:val="Fuentedeprrafopredeter"/>
    <w:uiPriority w:val="99"/>
    <w:semiHidden/>
    <w:unhideWhenUsed/>
    <w:rsid w:val="008C54C0"/>
    <w:rPr>
      <w:vertAlign w:val="superscript"/>
    </w:rPr>
  </w:style>
  <w:style w:type="character" w:styleId="Mencinsinresolver">
    <w:name w:val="Unresolved Mention"/>
    <w:basedOn w:val="Fuentedeprrafopredeter"/>
    <w:uiPriority w:val="99"/>
    <w:semiHidden/>
    <w:unhideWhenUsed/>
    <w:rsid w:val="008C54C0"/>
    <w:rPr>
      <w:color w:val="605E5C"/>
      <w:shd w:val="clear" w:color="auto" w:fill="E1DFDD"/>
    </w:rPr>
  </w:style>
  <w:style w:type="paragraph" w:styleId="NormalWeb">
    <w:name w:val="Normal (Web)"/>
    <w:basedOn w:val="Normal"/>
    <w:uiPriority w:val="99"/>
    <w:semiHidden/>
    <w:unhideWhenUsed/>
    <w:rsid w:val="00AA06B6"/>
    <w:pPr>
      <w:spacing w:before="100" w:beforeAutospacing="1" w:after="100" w:afterAutospacing="1"/>
    </w:pPr>
    <w:rPr>
      <w:rFonts w:ascii="Times New Roman" w:eastAsia="Times New Roman" w:hAnsi="Times New Roman" w:cs="Times New Roman"/>
      <w:lang w:eastAsia="es-MX"/>
    </w:rPr>
  </w:style>
  <w:style w:type="paragraph" w:customStyle="1" w:styleId="footnotedescription">
    <w:name w:val="footnote description"/>
    <w:next w:val="Normal"/>
    <w:link w:val="footnotedescriptionChar"/>
    <w:hidden/>
    <w:rsid w:val="002766AE"/>
    <w:pPr>
      <w:spacing w:line="259" w:lineRule="auto"/>
    </w:pPr>
    <w:rPr>
      <w:rFonts w:ascii="Arial" w:eastAsia="Arial" w:hAnsi="Arial" w:cs="Arial"/>
      <w:color w:val="000000"/>
      <w:sz w:val="20"/>
      <w:szCs w:val="22"/>
      <w:lang w:eastAsia="es-MX"/>
    </w:rPr>
  </w:style>
  <w:style w:type="character" w:customStyle="1" w:styleId="footnotedescriptionChar">
    <w:name w:val="footnote description Char"/>
    <w:link w:val="footnotedescription"/>
    <w:rsid w:val="002766AE"/>
    <w:rPr>
      <w:rFonts w:ascii="Arial" w:eastAsia="Arial" w:hAnsi="Arial" w:cs="Arial"/>
      <w:color w:val="000000"/>
      <w:sz w:val="20"/>
      <w:szCs w:val="22"/>
      <w:lang w:eastAsia="es-MX"/>
    </w:rPr>
  </w:style>
  <w:style w:type="character" w:customStyle="1" w:styleId="footnotemark">
    <w:name w:val="footnote mark"/>
    <w:hidden/>
    <w:rsid w:val="002766AE"/>
    <w:rPr>
      <w:rFonts w:ascii="Arial" w:eastAsia="Arial" w:hAnsi="Arial" w:cs="Arial"/>
      <w:color w:val="000000"/>
      <w:sz w:val="20"/>
      <w:vertAlign w:val="superscript"/>
    </w:rPr>
  </w:style>
  <w:style w:type="character" w:customStyle="1" w:styleId="Ttulo6Car">
    <w:name w:val="Título 6 Car"/>
    <w:basedOn w:val="Fuentedeprrafopredeter"/>
    <w:link w:val="Ttulo6"/>
    <w:uiPriority w:val="9"/>
    <w:rsid w:val="00FF3A00"/>
    <w:rPr>
      <w:rFonts w:asciiTheme="majorHAnsi" w:eastAsiaTheme="majorEastAsia" w:hAnsiTheme="majorHAnsi" w:cstheme="majorBidi"/>
      <w:color w:val="1F3763" w:themeColor="accent1" w:themeShade="7F"/>
      <w:sz w:val="22"/>
      <w:szCs w:val="22"/>
    </w:rPr>
  </w:style>
  <w:style w:type="paragraph" w:customStyle="1" w:styleId="Texto">
    <w:name w:val="Texto"/>
    <w:basedOn w:val="Normal"/>
    <w:rsid w:val="00DC6774"/>
    <w:pPr>
      <w:spacing w:after="101" w:line="216" w:lineRule="exact"/>
      <w:ind w:firstLine="288"/>
      <w:jc w:val="both"/>
    </w:pPr>
    <w:rPr>
      <w:rFonts w:ascii="Arial" w:eastAsia="Times New Roman"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202425">
      <w:bodyDiv w:val="1"/>
      <w:marLeft w:val="0"/>
      <w:marRight w:val="0"/>
      <w:marTop w:val="0"/>
      <w:marBottom w:val="0"/>
      <w:divBdr>
        <w:top w:val="none" w:sz="0" w:space="0" w:color="auto"/>
        <w:left w:val="none" w:sz="0" w:space="0" w:color="auto"/>
        <w:bottom w:val="none" w:sz="0" w:space="0" w:color="auto"/>
        <w:right w:val="none" w:sz="0" w:space="0" w:color="auto"/>
      </w:divBdr>
    </w:div>
    <w:div w:id="393890944">
      <w:bodyDiv w:val="1"/>
      <w:marLeft w:val="0"/>
      <w:marRight w:val="0"/>
      <w:marTop w:val="0"/>
      <w:marBottom w:val="0"/>
      <w:divBdr>
        <w:top w:val="none" w:sz="0" w:space="0" w:color="auto"/>
        <w:left w:val="none" w:sz="0" w:space="0" w:color="auto"/>
        <w:bottom w:val="none" w:sz="0" w:space="0" w:color="auto"/>
        <w:right w:val="none" w:sz="0" w:space="0" w:color="auto"/>
      </w:divBdr>
    </w:div>
    <w:div w:id="439842281">
      <w:bodyDiv w:val="1"/>
      <w:marLeft w:val="0"/>
      <w:marRight w:val="0"/>
      <w:marTop w:val="0"/>
      <w:marBottom w:val="0"/>
      <w:divBdr>
        <w:top w:val="none" w:sz="0" w:space="0" w:color="auto"/>
        <w:left w:val="none" w:sz="0" w:space="0" w:color="auto"/>
        <w:bottom w:val="none" w:sz="0" w:space="0" w:color="auto"/>
        <w:right w:val="none" w:sz="0" w:space="0" w:color="auto"/>
      </w:divBdr>
    </w:div>
    <w:div w:id="479231395">
      <w:bodyDiv w:val="1"/>
      <w:marLeft w:val="0"/>
      <w:marRight w:val="0"/>
      <w:marTop w:val="0"/>
      <w:marBottom w:val="0"/>
      <w:divBdr>
        <w:top w:val="none" w:sz="0" w:space="0" w:color="auto"/>
        <w:left w:val="none" w:sz="0" w:space="0" w:color="auto"/>
        <w:bottom w:val="none" w:sz="0" w:space="0" w:color="auto"/>
        <w:right w:val="none" w:sz="0" w:space="0" w:color="auto"/>
      </w:divBdr>
    </w:div>
    <w:div w:id="601957601">
      <w:bodyDiv w:val="1"/>
      <w:marLeft w:val="0"/>
      <w:marRight w:val="0"/>
      <w:marTop w:val="0"/>
      <w:marBottom w:val="0"/>
      <w:divBdr>
        <w:top w:val="none" w:sz="0" w:space="0" w:color="auto"/>
        <w:left w:val="none" w:sz="0" w:space="0" w:color="auto"/>
        <w:bottom w:val="none" w:sz="0" w:space="0" w:color="auto"/>
        <w:right w:val="none" w:sz="0" w:space="0" w:color="auto"/>
      </w:divBdr>
    </w:div>
    <w:div w:id="766658289">
      <w:bodyDiv w:val="1"/>
      <w:marLeft w:val="0"/>
      <w:marRight w:val="0"/>
      <w:marTop w:val="0"/>
      <w:marBottom w:val="0"/>
      <w:divBdr>
        <w:top w:val="none" w:sz="0" w:space="0" w:color="auto"/>
        <w:left w:val="none" w:sz="0" w:space="0" w:color="auto"/>
        <w:bottom w:val="none" w:sz="0" w:space="0" w:color="auto"/>
        <w:right w:val="none" w:sz="0" w:space="0" w:color="auto"/>
      </w:divBdr>
    </w:div>
    <w:div w:id="777987197">
      <w:bodyDiv w:val="1"/>
      <w:marLeft w:val="0"/>
      <w:marRight w:val="0"/>
      <w:marTop w:val="0"/>
      <w:marBottom w:val="0"/>
      <w:divBdr>
        <w:top w:val="none" w:sz="0" w:space="0" w:color="auto"/>
        <w:left w:val="none" w:sz="0" w:space="0" w:color="auto"/>
        <w:bottom w:val="none" w:sz="0" w:space="0" w:color="auto"/>
        <w:right w:val="none" w:sz="0" w:space="0" w:color="auto"/>
      </w:divBdr>
    </w:div>
    <w:div w:id="786504403">
      <w:bodyDiv w:val="1"/>
      <w:marLeft w:val="0"/>
      <w:marRight w:val="0"/>
      <w:marTop w:val="0"/>
      <w:marBottom w:val="0"/>
      <w:divBdr>
        <w:top w:val="none" w:sz="0" w:space="0" w:color="auto"/>
        <w:left w:val="none" w:sz="0" w:space="0" w:color="auto"/>
        <w:bottom w:val="none" w:sz="0" w:space="0" w:color="auto"/>
        <w:right w:val="none" w:sz="0" w:space="0" w:color="auto"/>
      </w:divBdr>
    </w:div>
    <w:div w:id="919679783">
      <w:bodyDiv w:val="1"/>
      <w:marLeft w:val="0"/>
      <w:marRight w:val="0"/>
      <w:marTop w:val="0"/>
      <w:marBottom w:val="0"/>
      <w:divBdr>
        <w:top w:val="none" w:sz="0" w:space="0" w:color="auto"/>
        <w:left w:val="none" w:sz="0" w:space="0" w:color="auto"/>
        <w:bottom w:val="none" w:sz="0" w:space="0" w:color="auto"/>
        <w:right w:val="none" w:sz="0" w:space="0" w:color="auto"/>
      </w:divBdr>
    </w:div>
    <w:div w:id="1052075489">
      <w:bodyDiv w:val="1"/>
      <w:marLeft w:val="0"/>
      <w:marRight w:val="0"/>
      <w:marTop w:val="0"/>
      <w:marBottom w:val="0"/>
      <w:divBdr>
        <w:top w:val="none" w:sz="0" w:space="0" w:color="auto"/>
        <w:left w:val="none" w:sz="0" w:space="0" w:color="auto"/>
        <w:bottom w:val="none" w:sz="0" w:space="0" w:color="auto"/>
        <w:right w:val="none" w:sz="0" w:space="0" w:color="auto"/>
      </w:divBdr>
    </w:div>
    <w:div w:id="1061709288">
      <w:bodyDiv w:val="1"/>
      <w:marLeft w:val="0"/>
      <w:marRight w:val="0"/>
      <w:marTop w:val="0"/>
      <w:marBottom w:val="0"/>
      <w:divBdr>
        <w:top w:val="none" w:sz="0" w:space="0" w:color="auto"/>
        <w:left w:val="none" w:sz="0" w:space="0" w:color="auto"/>
        <w:bottom w:val="none" w:sz="0" w:space="0" w:color="auto"/>
        <w:right w:val="none" w:sz="0" w:space="0" w:color="auto"/>
      </w:divBdr>
    </w:div>
    <w:div w:id="1097166937">
      <w:bodyDiv w:val="1"/>
      <w:marLeft w:val="0"/>
      <w:marRight w:val="0"/>
      <w:marTop w:val="0"/>
      <w:marBottom w:val="0"/>
      <w:divBdr>
        <w:top w:val="none" w:sz="0" w:space="0" w:color="auto"/>
        <w:left w:val="none" w:sz="0" w:space="0" w:color="auto"/>
        <w:bottom w:val="none" w:sz="0" w:space="0" w:color="auto"/>
        <w:right w:val="none" w:sz="0" w:space="0" w:color="auto"/>
      </w:divBdr>
    </w:div>
    <w:div w:id="1305159859">
      <w:bodyDiv w:val="1"/>
      <w:marLeft w:val="0"/>
      <w:marRight w:val="0"/>
      <w:marTop w:val="0"/>
      <w:marBottom w:val="0"/>
      <w:divBdr>
        <w:top w:val="none" w:sz="0" w:space="0" w:color="auto"/>
        <w:left w:val="none" w:sz="0" w:space="0" w:color="auto"/>
        <w:bottom w:val="none" w:sz="0" w:space="0" w:color="auto"/>
        <w:right w:val="none" w:sz="0" w:space="0" w:color="auto"/>
      </w:divBdr>
      <w:divsChild>
        <w:div w:id="1891644278">
          <w:marLeft w:val="0"/>
          <w:marRight w:val="0"/>
          <w:marTop w:val="0"/>
          <w:marBottom w:val="0"/>
          <w:divBdr>
            <w:top w:val="none" w:sz="0" w:space="0" w:color="auto"/>
            <w:left w:val="none" w:sz="0" w:space="0" w:color="auto"/>
            <w:bottom w:val="none" w:sz="0" w:space="0" w:color="auto"/>
            <w:right w:val="none" w:sz="0" w:space="0" w:color="auto"/>
          </w:divBdr>
          <w:divsChild>
            <w:div w:id="1044718517">
              <w:marLeft w:val="0"/>
              <w:marRight w:val="0"/>
              <w:marTop w:val="0"/>
              <w:marBottom w:val="0"/>
              <w:divBdr>
                <w:top w:val="none" w:sz="0" w:space="0" w:color="auto"/>
                <w:left w:val="none" w:sz="0" w:space="0" w:color="auto"/>
                <w:bottom w:val="none" w:sz="0" w:space="0" w:color="auto"/>
                <w:right w:val="none" w:sz="0" w:space="0" w:color="auto"/>
              </w:divBdr>
              <w:divsChild>
                <w:div w:id="176083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636346">
          <w:marLeft w:val="0"/>
          <w:marRight w:val="0"/>
          <w:marTop w:val="0"/>
          <w:marBottom w:val="0"/>
          <w:divBdr>
            <w:top w:val="none" w:sz="0" w:space="0" w:color="auto"/>
            <w:left w:val="none" w:sz="0" w:space="0" w:color="auto"/>
            <w:bottom w:val="none" w:sz="0" w:space="0" w:color="auto"/>
            <w:right w:val="none" w:sz="0" w:space="0" w:color="auto"/>
          </w:divBdr>
          <w:divsChild>
            <w:div w:id="1828787178">
              <w:marLeft w:val="0"/>
              <w:marRight w:val="0"/>
              <w:marTop w:val="390"/>
              <w:marBottom w:val="0"/>
              <w:divBdr>
                <w:top w:val="single" w:sz="6" w:space="0" w:color="FFFFFF"/>
                <w:left w:val="single" w:sz="6" w:space="0" w:color="FFFFFF"/>
                <w:bottom w:val="none" w:sz="0" w:space="0" w:color="auto"/>
                <w:right w:val="single" w:sz="6" w:space="0" w:color="FFFFFF"/>
              </w:divBdr>
              <w:divsChild>
                <w:div w:id="1748765836">
                  <w:marLeft w:val="-225"/>
                  <w:marRight w:val="-225"/>
                  <w:marTop w:val="0"/>
                  <w:marBottom w:val="0"/>
                  <w:divBdr>
                    <w:top w:val="none" w:sz="0" w:space="0" w:color="auto"/>
                    <w:left w:val="none" w:sz="0" w:space="0" w:color="auto"/>
                    <w:bottom w:val="none" w:sz="0" w:space="0" w:color="auto"/>
                    <w:right w:val="none" w:sz="0" w:space="0" w:color="auto"/>
                  </w:divBdr>
                  <w:divsChild>
                    <w:div w:id="792943638">
                      <w:marLeft w:val="0"/>
                      <w:marRight w:val="0"/>
                      <w:marTop w:val="0"/>
                      <w:marBottom w:val="270"/>
                      <w:divBdr>
                        <w:top w:val="none" w:sz="0" w:space="0" w:color="auto"/>
                        <w:left w:val="none" w:sz="0" w:space="0" w:color="auto"/>
                        <w:bottom w:val="none" w:sz="0" w:space="0" w:color="auto"/>
                        <w:right w:val="none" w:sz="0" w:space="0" w:color="auto"/>
                      </w:divBdr>
                      <w:divsChild>
                        <w:div w:id="2067216055">
                          <w:marLeft w:val="0"/>
                          <w:marRight w:val="0"/>
                          <w:marTop w:val="0"/>
                          <w:marBottom w:val="0"/>
                          <w:divBdr>
                            <w:top w:val="none" w:sz="0" w:space="0" w:color="auto"/>
                            <w:left w:val="none" w:sz="0" w:space="0" w:color="auto"/>
                            <w:bottom w:val="none" w:sz="0" w:space="0" w:color="auto"/>
                            <w:right w:val="none" w:sz="0" w:space="0" w:color="auto"/>
                          </w:divBdr>
                          <w:divsChild>
                            <w:div w:id="1583370812">
                              <w:marLeft w:val="-225"/>
                              <w:marRight w:val="-225"/>
                              <w:marTop w:val="0"/>
                              <w:marBottom w:val="0"/>
                              <w:divBdr>
                                <w:top w:val="none" w:sz="0" w:space="0" w:color="auto"/>
                                <w:left w:val="none" w:sz="0" w:space="0" w:color="auto"/>
                                <w:bottom w:val="none" w:sz="0" w:space="0" w:color="auto"/>
                                <w:right w:val="none" w:sz="0" w:space="0" w:color="auto"/>
                              </w:divBdr>
                              <w:divsChild>
                                <w:div w:id="1243107528">
                                  <w:marLeft w:val="0"/>
                                  <w:marRight w:val="0"/>
                                  <w:marTop w:val="0"/>
                                  <w:marBottom w:val="0"/>
                                  <w:divBdr>
                                    <w:top w:val="none" w:sz="0" w:space="0" w:color="auto"/>
                                    <w:left w:val="none" w:sz="0" w:space="0" w:color="auto"/>
                                    <w:bottom w:val="none" w:sz="0" w:space="0" w:color="auto"/>
                                    <w:right w:val="none" w:sz="0" w:space="0" w:color="auto"/>
                                  </w:divBdr>
                                </w:div>
                                <w:div w:id="452135757">
                                  <w:marLeft w:val="0"/>
                                  <w:marRight w:val="0"/>
                                  <w:marTop w:val="0"/>
                                  <w:marBottom w:val="0"/>
                                  <w:divBdr>
                                    <w:top w:val="none" w:sz="0" w:space="0" w:color="auto"/>
                                    <w:left w:val="none" w:sz="0" w:space="0" w:color="auto"/>
                                    <w:bottom w:val="none" w:sz="0" w:space="0" w:color="auto"/>
                                    <w:right w:val="none" w:sz="0" w:space="0" w:color="auto"/>
                                  </w:divBdr>
                                </w:div>
                                <w:div w:id="37639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3966097">
      <w:bodyDiv w:val="1"/>
      <w:marLeft w:val="0"/>
      <w:marRight w:val="0"/>
      <w:marTop w:val="0"/>
      <w:marBottom w:val="0"/>
      <w:divBdr>
        <w:top w:val="none" w:sz="0" w:space="0" w:color="auto"/>
        <w:left w:val="none" w:sz="0" w:space="0" w:color="auto"/>
        <w:bottom w:val="none" w:sz="0" w:space="0" w:color="auto"/>
        <w:right w:val="none" w:sz="0" w:space="0" w:color="auto"/>
      </w:divBdr>
    </w:div>
    <w:div w:id="1417165281">
      <w:bodyDiv w:val="1"/>
      <w:marLeft w:val="0"/>
      <w:marRight w:val="0"/>
      <w:marTop w:val="0"/>
      <w:marBottom w:val="0"/>
      <w:divBdr>
        <w:top w:val="none" w:sz="0" w:space="0" w:color="auto"/>
        <w:left w:val="none" w:sz="0" w:space="0" w:color="auto"/>
        <w:bottom w:val="none" w:sz="0" w:space="0" w:color="auto"/>
        <w:right w:val="none" w:sz="0" w:space="0" w:color="auto"/>
      </w:divBdr>
    </w:div>
    <w:div w:id="1479566473">
      <w:bodyDiv w:val="1"/>
      <w:marLeft w:val="0"/>
      <w:marRight w:val="0"/>
      <w:marTop w:val="0"/>
      <w:marBottom w:val="0"/>
      <w:divBdr>
        <w:top w:val="none" w:sz="0" w:space="0" w:color="auto"/>
        <w:left w:val="none" w:sz="0" w:space="0" w:color="auto"/>
        <w:bottom w:val="none" w:sz="0" w:space="0" w:color="auto"/>
        <w:right w:val="none" w:sz="0" w:space="0" w:color="auto"/>
      </w:divBdr>
    </w:div>
    <w:div w:id="1542404015">
      <w:bodyDiv w:val="1"/>
      <w:marLeft w:val="0"/>
      <w:marRight w:val="0"/>
      <w:marTop w:val="0"/>
      <w:marBottom w:val="0"/>
      <w:divBdr>
        <w:top w:val="none" w:sz="0" w:space="0" w:color="auto"/>
        <w:left w:val="none" w:sz="0" w:space="0" w:color="auto"/>
        <w:bottom w:val="none" w:sz="0" w:space="0" w:color="auto"/>
        <w:right w:val="none" w:sz="0" w:space="0" w:color="auto"/>
      </w:divBdr>
    </w:div>
    <w:div w:id="1877693865">
      <w:bodyDiv w:val="1"/>
      <w:marLeft w:val="0"/>
      <w:marRight w:val="0"/>
      <w:marTop w:val="0"/>
      <w:marBottom w:val="0"/>
      <w:divBdr>
        <w:top w:val="none" w:sz="0" w:space="0" w:color="auto"/>
        <w:left w:val="none" w:sz="0" w:space="0" w:color="auto"/>
        <w:bottom w:val="none" w:sz="0" w:space="0" w:color="auto"/>
        <w:right w:val="none" w:sz="0" w:space="0" w:color="auto"/>
      </w:divBdr>
    </w:div>
    <w:div w:id="2034457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06405-EB99-425D-8A0A-407A35B70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2993</Words>
  <Characters>16463</Characters>
  <Application>Microsoft Office Word</Application>
  <DocSecurity>4</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JL</dc:creator>
  <cp:keywords/>
  <dc:description/>
  <cp:lastModifiedBy>Mayra Alejandra Rodríguez Vázquez</cp:lastModifiedBy>
  <cp:revision>2</cp:revision>
  <cp:lastPrinted>2023-10-23T14:09:00Z</cp:lastPrinted>
  <dcterms:created xsi:type="dcterms:W3CDTF">2024-02-13T17:37:00Z</dcterms:created>
  <dcterms:modified xsi:type="dcterms:W3CDTF">2024-02-13T17:37:00Z</dcterms:modified>
</cp:coreProperties>
</file>