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74E47" w14:textId="77777777" w:rsidR="00E94374" w:rsidRPr="003A7E70" w:rsidRDefault="00E94374" w:rsidP="00E94374">
      <w:pPr>
        <w:spacing w:line="276" w:lineRule="auto"/>
        <w:jc w:val="both"/>
        <w:rPr>
          <w:rFonts w:ascii="Century Gothic" w:hAnsi="Century Gothic" w:cs="Arial"/>
          <w:b/>
          <w:lang w:val="pt-PT"/>
        </w:rPr>
      </w:pPr>
      <w:r w:rsidRPr="003A7E70">
        <w:rPr>
          <w:rFonts w:ascii="Century Gothic" w:hAnsi="Century Gothic" w:cs="Arial"/>
          <w:b/>
          <w:lang w:val="pt-PT"/>
        </w:rPr>
        <w:t>Presidencia del Congreso del Estado</w:t>
      </w:r>
    </w:p>
    <w:p w14:paraId="5CE2BB5B" w14:textId="77777777" w:rsidR="00E94374" w:rsidRPr="003A7E70" w:rsidRDefault="00E94374" w:rsidP="00E94374">
      <w:pPr>
        <w:spacing w:line="276" w:lineRule="auto"/>
        <w:jc w:val="both"/>
        <w:rPr>
          <w:rFonts w:ascii="Century Gothic" w:hAnsi="Century Gothic" w:cs="Arial"/>
          <w:b/>
          <w:lang w:val="pt-PT"/>
        </w:rPr>
      </w:pPr>
      <w:r w:rsidRPr="003A7E70">
        <w:rPr>
          <w:rFonts w:ascii="Century Gothic" w:hAnsi="Century Gothic" w:cs="Arial"/>
          <w:b/>
          <w:lang w:val="pt-PT"/>
        </w:rPr>
        <w:t>P r e s e n t e.</w:t>
      </w:r>
    </w:p>
    <w:p w14:paraId="013A696E" w14:textId="77777777" w:rsidR="00E94374" w:rsidRPr="003A7E70" w:rsidRDefault="00E94374" w:rsidP="00E94374">
      <w:pPr>
        <w:spacing w:line="276" w:lineRule="auto"/>
        <w:jc w:val="both"/>
        <w:rPr>
          <w:rFonts w:ascii="Century Gothic" w:hAnsi="Century Gothic" w:cs="Arial"/>
          <w:lang w:val="pt-PT"/>
        </w:rPr>
      </w:pPr>
    </w:p>
    <w:p w14:paraId="38EB4C7F" w14:textId="77777777" w:rsidR="00E94374" w:rsidRPr="003A7E70" w:rsidRDefault="00E94374" w:rsidP="00E94374">
      <w:pPr>
        <w:spacing w:line="276" w:lineRule="auto"/>
        <w:ind w:firstLine="851"/>
        <w:jc w:val="both"/>
        <w:rPr>
          <w:rFonts w:ascii="Century Gothic" w:hAnsi="Century Gothic" w:cs="Arial"/>
          <w:lang w:val="pt-PT"/>
        </w:rPr>
      </w:pPr>
    </w:p>
    <w:p w14:paraId="4A58BBDD" w14:textId="3D1132BC" w:rsidR="00E94374" w:rsidRPr="00772FFB" w:rsidRDefault="00E94374" w:rsidP="00906944">
      <w:pPr>
        <w:autoSpaceDE w:val="0"/>
        <w:autoSpaceDN w:val="0"/>
        <w:adjustRightInd w:val="0"/>
        <w:spacing w:line="276" w:lineRule="auto"/>
        <w:jc w:val="both"/>
        <w:rPr>
          <w:rFonts w:ascii="Century Gothic" w:hAnsi="Century Gothic" w:cs="Arial"/>
        </w:rPr>
      </w:pPr>
      <w:r w:rsidRPr="00772FFB">
        <w:rPr>
          <w:rFonts w:ascii="Century Gothic" w:hAnsi="Century Gothic" w:cs="Arial"/>
        </w:rPr>
        <w:t xml:space="preserve">A la Comisión de Desarrollo Económico y Social de la Sexagésima Quinta Legislatura del Congreso del Estado de Guanajuato, le fue turnada </w:t>
      </w:r>
      <w:bookmarkStart w:id="0" w:name="_Hlk63767858"/>
      <w:r w:rsidRPr="00772FFB">
        <w:rPr>
          <w:rFonts w:ascii="Century Gothic" w:hAnsi="Century Gothic" w:cs="Arial"/>
        </w:rPr>
        <w:t>la propuesta de punto de acuerdo formulada por</w:t>
      </w:r>
      <w:r>
        <w:rPr>
          <w:rFonts w:ascii="Century Gothic" w:hAnsi="Century Gothic" w:cs="Arial"/>
        </w:rPr>
        <w:t xml:space="preserve"> el diputado </w:t>
      </w:r>
      <w:r w:rsidR="00906944">
        <w:rPr>
          <w:rFonts w:ascii="Century Gothic" w:hAnsi="Century Gothic" w:cs="Arial"/>
        </w:rPr>
        <w:t>David Martínez Mendizábal</w:t>
      </w:r>
      <w:r>
        <w:rPr>
          <w:rFonts w:ascii="Century Gothic" w:hAnsi="Century Gothic" w:cs="Arial"/>
        </w:rPr>
        <w:t>, integrante del Grupo Parlamentario del Partido MORENA</w:t>
      </w:r>
      <w:r w:rsidRPr="009F0DDB">
        <w:rPr>
          <w:rFonts w:ascii="Century Gothic" w:hAnsi="Century Gothic" w:cs="Arial"/>
        </w:rPr>
        <w:t>, para exhortar</w:t>
      </w:r>
      <w:r>
        <w:rPr>
          <w:rFonts w:ascii="Century Gothic" w:hAnsi="Century Gothic" w:cs="Arial"/>
        </w:rPr>
        <w:t xml:space="preserve"> </w:t>
      </w:r>
      <w:r w:rsidRPr="00C07E99">
        <w:rPr>
          <w:rFonts w:ascii="Century Gothic" w:hAnsi="Century Gothic" w:cs="Arial"/>
        </w:rPr>
        <w:t xml:space="preserve">al </w:t>
      </w:r>
      <w:r w:rsidR="00906944" w:rsidRPr="00906944">
        <w:rPr>
          <w:rFonts w:ascii="Century Gothic" w:hAnsi="Century Gothic" w:cs="Arial"/>
        </w:rPr>
        <w:t>a la Secretar</w:t>
      </w:r>
      <w:r w:rsidR="00906944">
        <w:rPr>
          <w:rFonts w:ascii="Century Gothic" w:hAnsi="Century Gothic" w:cs="Arial"/>
        </w:rPr>
        <w:t>í</w:t>
      </w:r>
      <w:r w:rsidR="00906944" w:rsidRPr="00906944">
        <w:rPr>
          <w:rFonts w:ascii="Century Gothic" w:hAnsi="Century Gothic" w:cs="Arial"/>
        </w:rPr>
        <w:t>a de</w:t>
      </w:r>
      <w:r w:rsidR="00906944">
        <w:rPr>
          <w:rFonts w:ascii="Century Gothic" w:hAnsi="Century Gothic" w:cs="Arial"/>
        </w:rPr>
        <w:t xml:space="preserve"> </w:t>
      </w:r>
      <w:r w:rsidR="00906944" w:rsidRPr="00906944">
        <w:rPr>
          <w:rFonts w:ascii="Century Gothic" w:hAnsi="Century Gothic" w:cs="Arial"/>
        </w:rPr>
        <w:t>Desarrollo Social y Humano del Estado de Guanajuato, para que lleve a cabo la evaluación del impacto que ha tenido la política de</w:t>
      </w:r>
      <w:r w:rsidR="00906944">
        <w:rPr>
          <w:rFonts w:ascii="Century Gothic" w:hAnsi="Century Gothic" w:cs="Arial"/>
        </w:rPr>
        <w:t xml:space="preserve"> </w:t>
      </w:r>
      <w:r w:rsidR="00906944" w:rsidRPr="00906944">
        <w:rPr>
          <w:rFonts w:ascii="Century Gothic" w:hAnsi="Century Gothic" w:cs="Arial"/>
        </w:rPr>
        <w:t>desarrollo social estatal en el combate a la pobreza en Guanajuato, determinando la</w:t>
      </w:r>
      <w:r w:rsidR="00906944">
        <w:rPr>
          <w:rFonts w:ascii="Century Gothic" w:hAnsi="Century Gothic" w:cs="Arial"/>
        </w:rPr>
        <w:t xml:space="preserve"> </w:t>
      </w:r>
      <w:r w:rsidR="00906944" w:rsidRPr="00906944">
        <w:rPr>
          <w:rFonts w:ascii="Century Gothic" w:hAnsi="Century Gothic" w:cs="Arial"/>
        </w:rPr>
        <w:t>contribución y peso específico de los diferentes factores y políticas concurrentes en</w:t>
      </w:r>
      <w:r w:rsidR="00906944">
        <w:rPr>
          <w:rFonts w:ascii="Century Gothic" w:hAnsi="Century Gothic" w:cs="Arial"/>
        </w:rPr>
        <w:t xml:space="preserve"> </w:t>
      </w:r>
      <w:r w:rsidR="00906944" w:rsidRPr="00906944">
        <w:rPr>
          <w:rFonts w:ascii="Century Gothic" w:hAnsi="Century Gothic" w:cs="Arial"/>
        </w:rPr>
        <w:t>el territorio guanajuatense que explican la reducción de pobreza en la entidad.</w:t>
      </w:r>
    </w:p>
    <w:bookmarkEnd w:id="0"/>
    <w:p w14:paraId="7835A53E" w14:textId="77777777" w:rsidR="00906944" w:rsidRDefault="00906944" w:rsidP="00906944">
      <w:pPr>
        <w:spacing w:line="276" w:lineRule="auto"/>
        <w:ind w:firstLine="714"/>
        <w:jc w:val="both"/>
        <w:rPr>
          <w:rFonts w:ascii="Century Gothic" w:hAnsi="Century Gothic" w:cs="Arial"/>
        </w:rPr>
      </w:pPr>
    </w:p>
    <w:p w14:paraId="492BF882" w14:textId="5B3E1843" w:rsidR="00E94374" w:rsidRPr="00772FFB" w:rsidRDefault="00E94374" w:rsidP="00906944">
      <w:pPr>
        <w:spacing w:line="276" w:lineRule="auto"/>
        <w:ind w:firstLine="714"/>
        <w:jc w:val="both"/>
        <w:rPr>
          <w:rFonts w:ascii="Century Gothic" w:hAnsi="Century Gothic" w:cs="Arial"/>
        </w:rPr>
      </w:pPr>
      <w:r w:rsidRPr="00772FFB">
        <w:rPr>
          <w:rFonts w:ascii="Century Gothic" w:hAnsi="Century Gothic" w:cs="Arial"/>
        </w:rPr>
        <w:t xml:space="preserve">De conformidad con los artículos 89, fracción V; 107, fracción </w:t>
      </w:r>
      <w:r>
        <w:rPr>
          <w:rFonts w:ascii="Century Gothic" w:hAnsi="Century Gothic" w:cs="Arial"/>
        </w:rPr>
        <w:t>I</w:t>
      </w:r>
      <w:r w:rsidRPr="00772FFB">
        <w:rPr>
          <w:rFonts w:ascii="Century Gothic" w:hAnsi="Century Gothic" w:cs="Arial"/>
        </w:rPr>
        <w:t>V y 171 de la Ley Orgánica del Poder Legislativo del Estado de Guanajuato, sometemos a la consideración de la Asamblea el presente dictamen, con base en las siguientes:</w:t>
      </w:r>
    </w:p>
    <w:p w14:paraId="36E96A4B" w14:textId="77777777" w:rsidR="00E94374" w:rsidRPr="00772FFB" w:rsidRDefault="00E94374" w:rsidP="00E94374">
      <w:pPr>
        <w:pStyle w:val="Sinespaciado"/>
        <w:spacing w:line="276" w:lineRule="auto"/>
        <w:jc w:val="both"/>
        <w:rPr>
          <w:rFonts w:ascii="Century Gothic" w:hAnsi="Century Gothic" w:cs="Arial"/>
          <w:szCs w:val="24"/>
        </w:rPr>
      </w:pPr>
    </w:p>
    <w:p w14:paraId="339F9BA2" w14:textId="77777777" w:rsidR="00E94374" w:rsidRPr="00772FFB" w:rsidRDefault="00E94374" w:rsidP="00E94374">
      <w:pPr>
        <w:pStyle w:val="Sinespaciado"/>
        <w:spacing w:line="276" w:lineRule="auto"/>
        <w:jc w:val="center"/>
        <w:rPr>
          <w:rFonts w:ascii="Century Gothic" w:hAnsi="Century Gothic" w:cs="Arial"/>
          <w:b/>
          <w:sz w:val="24"/>
          <w:szCs w:val="24"/>
        </w:rPr>
      </w:pPr>
      <w:r w:rsidRPr="00772FFB">
        <w:rPr>
          <w:rFonts w:ascii="Century Gothic" w:hAnsi="Century Gothic" w:cs="Arial"/>
          <w:b/>
          <w:sz w:val="24"/>
          <w:szCs w:val="24"/>
        </w:rPr>
        <w:t>Consideraciones</w:t>
      </w:r>
    </w:p>
    <w:p w14:paraId="0D226E45" w14:textId="77777777" w:rsidR="00E94374" w:rsidRPr="00772FFB" w:rsidRDefault="00E94374" w:rsidP="00E94374">
      <w:pPr>
        <w:pStyle w:val="Sinespaciado"/>
        <w:spacing w:line="276" w:lineRule="auto"/>
        <w:jc w:val="both"/>
        <w:rPr>
          <w:rFonts w:ascii="Century Gothic" w:hAnsi="Century Gothic" w:cs="Arial"/>
          <w:sz w:val="24"/>
          <w:szCs w:val="24"/>
        </w:rPr>
      </w:pPr>
    </w:p>
    <w:p w14:paraId="7CED0D6D" w14:textId="77777777" w:rsidR="00E94374" w:rsidRPr="00772FFB" w:rsidRDefault="00E94374" w:rsidP="00E94374">
      <w:pPr>
        <w:pStyle w:val="Sinespaciado"/>
        <w:numPr>
          <w:ilvl w:val="0"/>
          <w:numId w:val="8"/>
        </w:numPr>
        <w:spacing w:line="276" w:lineRule="auto"/>
        <w:ind w:left="720"/>
        <w:jc w:val="both"/>
        <w:rPr>
          <w:rFonts w:ascii="Century Gothic" w:hAnsi="Century Gothic" w:cs="Arial"/>
          <w:b/>
          <w:sz w:val="24"/>
          <w:szCs w:val="24"/>
        </w:rPr>
      </w:pPr>
      <w:r w:rsidRPr="00772FFB">
        <w:rPr>
          <w:rFonts w:ascii="Century Gothic" w:hAnsi="Century Gothic" w:cs="Arial"/>
          <w:b/>
          <w:sz w:val="24"/>
          <w:szCs w:val="24"/>
        </w:rPr>
        <w:t>Antecedentes</w:t>
      </w:r>
    </w:p>
    <w:p w14:paraId="2D290FED" w14:textId="77777777" w:rsidR="00E94374" w:rsidRPr="00772FFB" w:rsidRDefault="00E94374" w:rsidP="00E94374">
      <w:pPr>
        <w:pStyle w:val="Sinespaciado"/>
        <w:spacing w:line="276" w:lineRule="auto"/>
        <w:jc w:val="both"/>
        <w:rPr>
          <w:rFonts w:ascii="Century Gothic" w:hAnsi="Century Gothic" w:cs="Arial"/>
          <w:sz w:val="24"/>
          <w:szCs w:val="24"/>
        </w:rPr>
      </w:pPr>
    </w:p>
    <w:p w14:paraId="1B54BE5B" w14:textId="120B2E2A" w:rsidR="00E94374" w:rsidRPr="00772FFB" w:rsidRDefault="00E94374" w:rsidP="00C359DF">
      <w:pPr>
        <w:pStyle w:val="Sinespaciado"/>
        <w:spacing w:line="276" w:lineRule="auto"/>
        <w:ind w:firstLine="709"/>
        <w:jc w:val="both"/>
        <w:rPr>
          <w:rFonts w:ascii="Century Gothic" w:hAnsi="Century Gothic" w:cs="Arial"/>
          <w:sz w:val="24"/>
          <w:szCs w:val="24"/>
        </w:rPr>
      </w:pPr>
      <w:r w:rsidRPr="00772FFB">
        <w:rPr>
          <w:rFonts w:ascii="Century Gothic" w:hAnsi="Century Gothic" w:cs="Arial"/>
          <w:sz w:val="24"/>
          <w:szCs w:val="24"/>
        </w:rPr>
        <w:t xml:space="preserve">En sesión ordinaria de </w:t>
      </w:r>
      <w:r w:rsidR="00906944">
        <w:rPr>
          <w:rFonts w:ascii="Century Gothic" w:hAnsi="Century Gothic" w:cs="Arial"/>
          <w:sz w:val="24"/>
          <w:szCs w:val="24"/>
        </w:rPr>
        <w:t>16 de noviembre de</w:t>
      </w:r>
      <w:r>
        <w:rPr>
          <w:rFonts w:ascii="Century Gothic" w:hAnsi="Century Gothic" w:cs="Arial"/>
          <w:sz w:val="24"/>
          <w:szCs w:val="24"/>
        </w:rPr>
        <w:t xml:space="preserve"> 202</w:t>
      </w:r>
      <w:r w:rsidR="00906944">
        <w:rPr>
          <w:rFonts w:ascii="Century Gothic" w:hAnsi="Century Gothic" w:cs="Arial"/>
          <w:sz w:val="24"/>
          <w:szCs w:val="24"/>
        </w:rPr>
        <w:t>3</w:t>
      </w:r>
      <w:r w:rsidRPr="00772FFB">
        <w:rPr>
          <w:rFonts w:ascii="Century Gothic" w:hAnsi="Century Gothic" w:cs="Arial"/>
          <w:sz w:val="24"/>
          <w:szCs w:val="24"/>
        </w:rPr>
        <w:t xml:space="preserve">, la presidencia de la Mesa Directiva turnó a la Comisión de Desarrollo Económico y Social, para </w:t>
      </w:r>
      <w:r w:rsidRPr="00772FFB">
        <w:rPr>
          <w:rFonts w:ascii="Century Gothic" w:hAnsi="Century Gothic" w:cs="Arial"/>
          <w:sz w:val="24"/>
          <w:szCs w:val="24"/>
        </w:rPr>
        <w:lastRenderedPageBreak/>
        <w:t>efectos de su estudio y dictamen, la propuesta de punto de acuerdo referido en el proemio del presente dictamen</w:t>
      </w:r>
      <w:r>
        <w:rPr>
          <w:rFonts w:ascii="Century Gothic" w:hAnsi="Century Gothic" w:cs="Arial"/>
          <w:sz w:val="24"/>
          <w:szCs w:val="24"/>
        </w:rPr>
        <w:t xml:space="preserve"> con número de Expediente Legislativo Digital </w:t>
      </w:r>
      <w:r w:rsidR="00906944">
        <w:rPr>
          <w:rFonts w:ascii="Century Gothic" w:hAnsi="Century Gothic" w:cs="Arial"/>
          <w:sz w:val="24"/>
          <w:szCs w:val="24"/>
        </w:rPr>
        <w:t>360/LXV-PPA</w:t>
      </w:r>
      <w:r>
        <w:rPr>
          <w:rFonts w:ascii="Century Gothic" w:hAnsi="Century Gothic" w:cs="Arial"/>
          <w:sz w:val="24"/>
          <w:szCs w:val="24"/>
        </w:rPr>
        <w:t xml:space="preserve">. Lo anterior </w:t>
      </w:r>
      <w:r w:rsidRPr="00772FFB">
        <w:rPr>
          <w:rFonts w:ascii="Century Gothic" w:hAnsi="Century Gothic" w:cs="Arial"/>
          <w:sz w:val="24"/>
          <w:szCs w:val="24"/>
        </w:rPr>
        <w:t xml:space="preserve">con fundamento en el artículo 107 fracción </w:t>
      </w:r>
      <w:r>
        <w:rPr>
          <w:rFonts w:ascii="Century Gothic" w:hAnsi="Century Gothic" w:cs="Arial"/>
          <w:sz w:val="24"/>
          <w:szCs w:val="24"/>
        </w:rPr>
        <w:t>I</w:t>
      </w:r>
      <w:r w:rsidRPr="00772FFB">
        <w:rPr>
          <w:rFonts w:ascii="Century Gothic" w:hAnsi="Century Gothic" w:cs="Arial"/>
          <w:sz w:val="24"/>
          <w:szCs w:val="24"/>
        </w:rPr>
        <w:t>V de la Ley Orgánica del Poder Legislativo del Estado de Guanajuato.</w:t>
      </w:r>
    </w:p>
    <w:p w14:paraId="1D1778EF" w14:textId="77777777" w:rsidR="00E94374" w:rsidRPr="00772FFB" w:rsidRDefault="00E94374" w:rsidP="00E94374">
      <w:pPr>
        <w:pStyle w:val="Sinespaciado"/>
        <w:spacing w:line="276" w:lineRule="auto"/>
        <w:ind w:firstLine="851"/>
        <w:jc w:val="both"/>
        <w:rPr>
          <w:rFonts w:ascii="Century Gothic" w:hAnsi="Century Gothic" w:cs="Arial"/>
          <w:szCs w:val="24"/>
        </w:rPr>
      </w:pPr>
    </w:p>
    <w:p w14:paraId="3AD2CF20" w14:textId="56BA123B" w:rsidR="00E94374" w:rsidRPr="00906944" w:rsidRDefault="00E94374" w:rsidP="00906944">
      <w:pPr>
        <w:pStyle w:val="Sinespaciado"/>
        <w:spacing w:line="276" w:lineRule="auto"/>
        <w:ind w:firstLine="709"/>
        <w:jc w:val="both"/>
        <w:rPr>
          <w:rFonts w:ascii="Century Gothic" w:hAnsi="Century Gothic" w:cs="Arial"/>
          <w:sz w:val="24"/>
          <w:szCs w:val="24"/>
        </w:rPr>
      </w:pPr>
      <w:r w:rsidRPr="00906944">
        <w:rPr>
          <w:rFonts w:ascii="Century Gothic" w:hAnsi="Century Gothic" w:cs="Arial"/>
          <w:sz w:val="24"/>
          <w:szCs w:val="24"/>
        </w:rPr>
        <w:t xml:space="preserve">El </w:t>
      </w:r>
      <w:r w:rsidR="00906944" w:rsidRPr="00906944">
        <w:rPr>
          <w:rFonts w:ascii="Century Gothic" w:hAnsi="Century Gothic" w:cs="Arial"/>
          <w:sz w:val="24"/>
          <w:szCs w:val="24"/>
        </w:rPr>
        <w:t xml:space="preserve">06 de diciembre de </w:t>
      </w:r>
      <w:r w:rsidRPr="00906944">
        <w:rPr>
          <w:rFonts w:ascii="Century Gothic" w:hAnsi="Century Gothic" w:cs="Arial"/>
          <w:sz w:val="24"/>
          <w:szCs w:val="24"/>
        </w:rPr>
        <w:t>2023</w:t>
      </w:r>
      <w:r w:rsidRPr="00772FFB">
        <w:rPr>
          <w:rFonts w:ascii="Century Gothic" w:hAnsi="Century Gothic" w:cs="Arial"/>
          <w:sz w:val="24"/>
          <w:szCs w:val="24"/>
        </w:rPr>
        <w:t xml:space="preserve">, </w:t>
      </w:r>
      <w:r w:rsidRPr="002E7D71">
        <w:rPr>
          <w:rFonts w:ascii="Century Gothic" w:hAnsi="Century Gothic" w:cs="Arial"/>
          <w:sz w:val="24"/>
          <w:szCs w:val="24"/>
        </w:rPr>
        <w:t>la comisión dictaminadora radicó la propuesta de punto de acuerdo</w:t>
      </w:r>
      <w:r w:rsidR="00744639">
        <w:rPr>
          <w:rFonts w:ascii="Century Gothic" w:hAnsi="Century Gothic" w:cs="Arial"/>
          <w:sz w:val="24"/>
          <w:szCs w:val="24"/>
        </w:rPr>
        <w:t>.</w:t>
      </w:r>
    </w:p>
    <w:p w14:paraId="4460D265" w14:textId="77777777" w:rsidR="00E94374" w:rsidRPr="00906944" w:rsidRDefault="00E94374" w:rsidP="00C359DF">
      <w:pPr>
        <w:pStyle w:val="Sinespaciado"/>
        <w:spacing w:line="276" w:lineRule="auto"/>
        <w:ind w:firstLine="709"/>
        <w:jc w:val="both"/>
        <w:rPr>
          <w:rFonts w:ascii="Century Gothic" w:hAnsi="Century Gothic" w:cs="Arial"/>
          <w:sz w:val="24"/>
          <w:szCs w:val="24"/>
        </w:rPr>
      </w:pPr>
    </w:p>
    <w:p w14:paraId="51744961" w14:textId="64CA0F3A" w:rsidR="00E94374" w:rsidRPr="00772FFB" w:rsidRDefault="00E94374" w:rsidP="00C359DF">
      <w:pPr>
        <w:pStyle w:val="Sinespaciado"/>
        <w:spacing w:line="276" w:lineRule="auto"/>
        <w:ind w:firstLine="709"/>
        <w:jc w:val="both"/>
        <w:rPr>
          <w:rFonts w:ascii="Century Gothic" w:hAnsi="Century Gothic" w:cs="Arial"/>
          <w:sz w:val="24"/>
          <w:szCs w:val="24"/>
        </w:rPr>
      </w:pPr>
      <w:r>
        <w:rPr>
          <w:rFonts w:ascii="Century Gothic" w:hAnsi="Century Gothic" w:cs="Arial"/>
          <w:sz w:val="24"/>
          <w:szCs w:val="24"/>
        </w:rPr>
        <w:t xml:space="preserve"> </w:t>
      </w:r>
      <w:r w:rsidR="00906944">
        <w:rPr>
          <w:rFonts w:ascii="Century Gothic" w:hAnsi="Century Gothic" w:cs="Arial"/>
          <w:sz w:val="24"/>
          <w:szCs w:val="24"/>
        </w:rPr>
        <w:t>P</w:t>
      </w:r>
      <w:r>
        <w:rPr>
          <w:rFonts w:ascii="Century Gothic" w:hAnsi="Century Gothic" w:cs="Arial"/>
          <w:sz w:val="24"/>
          <w:szCs w:val="24"/>
        </w:rPr>
        <w:t>or facultad de la presidencia, con fundamento en los artículos 94 fracción VII y 272 fracción VIII, inciso e) de la Ley Orgánica del Poder Legislativo del Estado de Guanajuato, se instruyó para la elaboración del dictamen.</w:t>
      </w:r>
    </w:p>
    <w:p w14:paraId="752FDC29" w14:textId="77777777" w:rsidR="00E94374" w:rsidRPr="00772FFB" w:rsidRDefault="00E94374" w:rsidP="00E94374">
      <w:pPr>
        <w:pStyle w:val="Sinespaciado"/>
        <w:spacing w:line="276" w:lineRule="auto"/>
        <w:jc w:val="both"/>
        <w:rPr>
          <w:rFonts w:ascii="Century Gothic" w:hAnsi="Century Gothic" w:cs="Arial"/>
          <w:sz w:val="24"/>
          <w:szCs w:val="24"/>
        </w:rPr>
      </w:pPr>
      <w:r w:rsidRPr="00772FFB">
        <w:rPr>
          <w:rFonts w:ascii="Century Gothic" w:hAnsi="Century Gothic" w:cs="Arial"/>
          <w:sz w:val="24"/>
          <w:szCs w:val="24"/>
        </w:rPr>
        <w:t xml:space="preserve"> </w:t>
      </w:r>
    </w:p>
    <w:p w14:paraId="481E0D80" w14:textId="77777777" w:rsidR="00E94374" w:rsidRPr="00772FFB" w:rsidRDefault="00E94374" w:rsidP="00E94374">
      <w:pPr>
        <w:pStyle w:val="Sinespaciado"/>
        <w:numPr>
          <w:ilvl w:val="0"/>
          <w:numId w:val="8"/>
        </w:numPr>
        <w:spacing w:line="276" w:lineRule="auto"/>
        <w:ind w:left="720"/>
        <w:jc w:val="both"/>
        <w:rPr>
          <w:rFonts w:ascii="Century Gothic" w:hAnsi="Century Gothic" w:cs="Arial"/>
          <w:b/>
          <w:sz w:val="24"/>
          <w:szCs w:val="24"/>
        </w:rPr>
      </w:pPr>
      <w:r w:rsidRPr="00772FFB">
        <w:rPr>
          <w:rFonts w:ascii="Century Gothic" w:hAnsi="Century Gothic" w:cs="Arial"/>
          <w:b/>
          <w:sz w:val="24"/>
          <w:szCs w:val="24"/>
        </w:rPr>
        <w:t>Valoración de la propuesta.</w:t>
      </w:r>
    </w:p>
    <w:p w14:paraId="43F8C409" w14:textId="77777777" w:rsidR="00E94374" w:rsidRPr="00772FFB" w:rsidRDefault="00E94374" w:rsidP="00E94374">
      <w:pPr>
        <w:pStyle w:val="Sinespaciado"/>
        <w:spacing w:line="276" w:lineRule="auto"/>
        <w:ind w:left="720"/>
        <w:jc w:val="both"/>
        <w:rPr>
          <w:rFonts w:ascii="Century Gothic" w:hAnsi="Century Gothic" w:cs="Arial"/>
          <w:b/>
          <w:sz w:val="24"/>
          <w:szCs w:val="24"/>
        </w:rPr>
      </w:pPr>
      <w:r w:rsidRPr="00772FFB">
        <w:rPr>
          <w:rFonts w:ascii="Century Gothic" w:hAnsi="Century Gothic" w:cs="Arial"/>
          <w:b/>
          <w:sz w:val="24"/>
          <w:szCs w:val="24"/>
        </w:rPr>
        <w:t xml:space="preserve"> </w:t>
      </w:r>
    </w:p>
    <w:p w14:paraId="420D363E" w14:textId="19E6BEB2" w:rsidR="00EE6E7F" w:rsidRDefault="00E94374" w:rsidP="00EE6E7F">
      <w:pPr>
        <w:pStyle w:val="Sinespaciado"/>
        <w:spacing w:line="276" w:lineRule="auto"/>
        <w:ind w:firstLine="709"/>
        <w:jc w:val="both"/>
        <w:rPr>
          <w:rFonts w:ascii="Century Gothic" w:hAnsi="Century Gothic" w:cs="Arial"/>
          <w:bCs/>
          <w:sz w:val="24"/>
          <w:szCs w:val="24"/>
        </w:rPr>
      </w:pPr>
      <w:r w:rsidRPr="00772FFB">
        <w:rPr>
          <w:rFonts w:ascii="Century Gothic" w:hAnsi="Century Gothic" w:cs="Arial"/>
          <w:bCs/>
          <w:sz w:val="24"/>
          <w:szCs w:val="24"/>
        </w:rPr>
        <w:t xml:space="preserve">De la exposición de motivos de la propuesta de punto de acuerdo se resalta lo siguiente: </w:t>
      </w:r>
    </w:p>
    <w:p w14:paraId="48D3801C" w14:textId="77777777" w:rsidR="00744639" w:rsidRDefault="00744639" w:rsidP="00EE6E7F">
      <w:pPr>
        <w:pStyle w:val="Sinespaciado"/>
        <w:spacing w:line="276" w:lineRule="auto"/>
        <w:ind w:firstLine="709"/>
        <w:jc w:val="both"/>
        <w:rPr>
          <w:rFonts w:ascii="Century Gothic" w:hAnsi="Century Gothic" w:cs="Arial"/>
          <w:bCs/>
          <w:sz w:val="24"/>
          <w:szCs w:val="24"/>
        </w:rPr>
      </w:pPr>
    </w:p>
    <w:p w14:paraId="74E69680" w14:textId="77777777" w:rsidR="00744639" w:rsidRPr="00B35C60" w:rsidRDefault="00EE6E7F" w:rsidP="008E69BC">
      <w:pPr>
        <w:pStyle w:val="Textoindependiente"/>
        <w:spacing w:before="156"/>
        <w:ind w:left="1182" w:right="333"/>
        <w:jc w:val="both"/>
        <w:rPr>
          <w:rFonts w:ascii="Century Gothic" w:eastAsia="Times New Roman" w:hAnsi="Century Gothic"/>
          <w:i/>
          <w:iCs/>
          <w:sz w:val="22"/>
          <w:szCs w:val="22"/>
        </w:rPr>
      </w:pPr>
      <w:r w:rsidRPr="00B35C60">
        <w:rPr>
          <w:rFonts w:ascii="Century Gothic" w:eastAsia="Times New Roman" w:hAnsi="Century Gothic"/>
          <w:i/>
          <w:iCs/>
          <w:sz w:val="22"/>
          <w:szCs w:val="22"/>
        </w:rPr>
        <w:t>“</w:t>
      </w:r>
      <w:r w:rsidR="00E94374" w:rsidRPr="00B35C60">
        <w:rPr>
          <w:rFonts w:ascii="Century Gothic" w:eastAsia="Times New Roman" w:hAnsi="Century Gothic"/>
          <w:i/>
          <w:iCs/>
          <w:sz w:val="22"/>
          <w:szCs w:val="22"/>
        </w:rPr>
        <w:t>…</w:t>
      </w:r>
      <w:r w:rsidR="00744639" w:rsidRPr="00B35C60">
        <w:rPr>
          <w:rFonts w:ascii="Century Gothic" w:eastAsia="Times New Roman" w:hAnsi="Century Gothic"/>
          <w:i/>
          <w:iCs/>
          <w:sz w:val="22"/>
          <w:szCs w:val="22"/>
        </w:rPr>
        <w:t>De 2018 al 2022, en 30 de las 32 entidades federativas disminuyó la pobreza, calculada por el método oficial de medición, denominado multidimensional, instituido en la Ley General de Desarrollo Social.</w:t>
      </w:r>
    </w:p>
    <w:p w14:paraId="4D28A5A9" w14:textId="77777777" w:rsidR="00744639" w:rsidRPr="00B35C60" w:rsidRDefault="00744639" w:rsidP="008E69BC">
      <w:pPr>
        <w:pStyle w:val="Textoindependiente"/>
        <w:spacing w:before="236"/>
        <w:ind w:left="1182" w:right="333"/>
        <w:jc w:val="both"/>
        <w:rPr>
          <w:rFonts w:ascii="Century Gothic" w:eastAsia="Times New Roman" w:hAnsi="Century Gothic"/>
          <w:i/>
          <w:iCs/>
          <w:sz w:val="22"/>
          <w:szCs w:val="22"/>
        </w:rPr>
      </w:pPr>
      <w:r w:rsidRPr="00B35C60">
        <w:rPr>
          <w:rFonts w:ascii="Century Gothic" w:eastAsia="Times New Roman" w:hAnsi="Century Gothic"/>
          <w:i/>
          <w:iCs/>
          <w:sz w:val="22"/>
          <w:szCs w:val="22"/>
        </w:rPr>
        <w:t xml:space="preserve">Los resultados a escala nacional son producidos e interpretados por el mismo CONEVAL, organismo que por ley hace sus cálculos sobre pobreza sin que los avale el poder ejecutivo y se pueden citar como </w:t>
      </w:r>
      <w:r w:rsidRPr="00B35C60">
        <w:rPr>
          <w:rFonts w:ascii="Century Gothic" w:eastAsia="Times New Roman" w:hAnsi="Century Gothic"/>
          <w:i/>
          <w:iCs/>
          <w:sz w:val="22"/>
          <w:szCs w:val="22"/>
        </w:rPr>
        <w:lastRenderedPageBreak/>
        <w:t>factores explicativos en la reducción de la pobreza nacional, además de las remesas, los siguientes: aumento de salario mínimo, elevación de su poder adquisitivo, control del precio de la gasolina y el gas; política laboral (libertad sindical, modificación del outsourcing), los programas sociales, inflación moderada, finanzas públicas sanas, crecimiento del PIB, recaudación efectiva de impuestos e inversión directa extranjera y nacional.</w:t>
      </w:r>
    </w:p>
    <w:p w14:paraId="538D87D2" w14:textId="77777777" w:rsidR="00744639" w:rsidRPr="00B35C60" w:rsidRDefault="00744639" w:rsidP="008E69BC">
      <w:pPr>
        <w:pStyle w:val="Textoindependiente"/>
        <w:spacing w:before="232"/>
        <w:ind w:left="1182" w:right="333"/>
        <w:jc w:val="both"/>
        <w:rPr>
          <w:rFonts w:ascii="Century Gothic" w:eastAsia="Times New Roman" w:hAnsi="Century Gothic"/>
          <w:i/>
          <w:iCs/>
          <w:sz w:val="22"/>
          <w:szCs w:val="22"/>
        </w:rPr>
      </w:pPr>
      <w:r w:rsidRPr="00B35C60">
        <w:rPr>
          <w:rFonts w:ascii="Century Gothic" w:eastAsia="Times New Roman" w:hAnsi="Century Gothic"/>
          <w:i/>
          <w:iCs/>
          <w:sz w:val="22"/>
          <w:szCs w:val="22"/>
        </w:rPr>
        <w:t>La evaluación Coneval 2023, sostiene que para Guanajuato lo mismo que 30 de las 32 entidades federativas: los resultados son positivos en el lapso comprendido entre 2018 al 2022 pues 446 mil personas salieron de la situación de pobreza.</w:t>
      </w:r>
    </w:p>
    <w:p w14:paraId="7F1E1747" w14:textId="77777777" w:rsidR="00744639" w:rsidRPr="00B35C60" w:rsidRDefault="00744639" w:rsidP="008E69BC">
      <w:pPr>
        <w:pStyle w:val="Textoindependiente"/>
        <w:spacing w:before="152"/>
        <w:ind w:left="1182" w:right="333"/>
        <w:jc w:val="both"/>
        <w:rPr>
          <w:rFonts w:ascii="Century Gothic" w:eastAsia="Times New Roman" w:hAnsi="Century Gothic"/>
          <w:i/>
          <w:iCs/>
          <w:sz w:val="22"/>
          <w:szCs w:val="22"/>
        </w:rPr>
      </w:pPr>
      <w:r w:rsidRPr="00B35C60">
        <w:rPr>
          <w:rFonts w:ascii="Century Gothic" w:eastAsia="Times New Roman" w:hAnsi="Century Gothic"/>
          <w:i/>
          <w:iCs/>
          <w:sz w:val="22"/>
          <w:szCs w:val="22"/>
        </w:rPr>
        <w:t>Se necesitan precisar las razones que explican la trayectoria de la pobreza en Guanajuato por medio de estudios e investigaciones con colaboración de un organismo autónomo, como lo es el Coneval o en su defecto de organismos académicos. En tanto llega la explicación que solicitamos, en este Punto de Acuerdo repito un par de cuestiones que hemos sostenido en esta misma tribuna.</w:t>
      </w:r>
    </w:p>
    <w:p w14:paraId="23A5D82E" w14:textId="77777777" w:rsidR="00D16089" w:rsidRPr="00B35C60" w:rsidRDefault="00744639" w:rsidP="008E69BC">
      <w:pPr>
        <w:pStyle w:val="Textoindependiente"/>
        <w:spacing w:before="152"/>
        <w:ind w:left="1182" w:right="333"/>
        <w:jc w:val="both"/>
        <w:rPr>
          <w:rFonts w:ascii="Century Gothic" w:eastAsia="Times New Roman" w:hAnsi="Century Gothic"/>
          <w:i/>
          <w:iCs/>
          <w:sz w:val="22"/>
          <w:szCs w:val="22"/>
        </w:rPr>
      </w:pPr>
      <w:r w:rsidRPr="00B35C60">
        <w:rPr>
          <w:rFonts w:ascii="Century Gothic" w:eastAsia="Times New Roman" w:hAnsi="Century Gothic"/>
          <w:i/>
          <w:iCs/>
          <w:sz w:val="22"/>
          <w:szCs w:val="22"/>
        </w:rPr>
        <w:t>La disminución de la pobreza tiene factores locales, pero también de las remesas enviadas por la población guanajuatense migrante y una fuerte influencia de la política social y laboral a nivel nacional que permea en Guanajuato.</w:t>
      </w:r>
    </w:p>
    <w:p w14:paraId="5F84CF8F" w14:textId="77777777" w:rsidR="00D16089" w:rsidRPr="00B35C60" w:rsidRDefault="00D16089" w:rsidP="008E69BC">
      <w:pPr>
        <w:pStyle w:val="Textoindependiente"/>
        <w:spacing w:before="152"/>
        <w:ind w:left="1182" w:right="333"/>
        <w:jc w:val="both"/>
        <w:rPr>
          <w:rFonts w:ascii="Century Gothic" w:eastAsia="Times New Roman" w:hAnsi="Century Gothic"/>
          <w:i/>
          <w:iCs/>
          <w:sz w:val="22"/>
          <w:szCs w:val="22"/>
        </w:rPr>
      </w:pPr>
      <w:r w:rsidRPr="00B35C60">
        <w:rPr>
          <w:rFonts w:ascii="Century Gothic" w:hAnsi="Century Gothic"/>
          <w:i/>
          <w:iCs/>
          <w:spacing w:val="-6"/>
          <w:sz w:val="22"/>
          <w:szCs w:val="22"/>
        </w:rPr>
        <w:t>… para</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fortalecer</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aún</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más</w:t>
      </w:r>
      <w:r w:rsidRPr="00B35C60">
        <w:rPr>
          <w:rFonts w:ascii="Century Gothic" w:hAnsi="Century Gothic"/>
          <w:i/>
          <w:iCs/>
          <w:spacing w:val="-7"/>
          <w:sz w:val="22"/>
          <w:szCs w:val="22"/>
        </w:rPr>
        <w:t xml:space="preserve"> </w:t>
      </w:r>
      <w:r w:rsidRPr="00B35C60">
        <w:rPr>
          <w:rFonts w:ascii="Century Gothic" w:hAnsi="Century Gothic"/>
          <w:i/>
          <w:iCs/>
          <w:spacing w:val="-6"/>
          <w:sz w:val="22"/>
          <w:szCs w:val="22"/>
        </w:rPr>
        <w:t>la</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petición</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de</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este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Punto</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de</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Acuerdo</w:t>
      </w:r>
      <w:r w:rsidRPr="00B35C60">
        <w:rPr>
          <w:rFonts w:ascii="Century Gothic" w:hAnsi="Century Gothic"/>
          <w:i/>
          <w:iCs/>
          <w:spacing w:val="-5"/>
          <w:sz w:val="22"/>
          <w:szCs w:val="22"/>
        </w:rPr>
        <w:t xml:space="preserve"> </w:t>
      </w:r>
      <w:r w:rsidRPr="00B35C60">
        <w:rPr>
          <w:rFonts w:ascii="Century Gothic" w:hAnsi="Century Gothic"/>
          <w:i/>
          <w:iCs/>
          <w:spacing w:val="-6"/>
          <w:sz w:val="22"/>
          <w:szCs w:val="22"/>
        </w:rPr>
        <w:t>se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 xml:space="preserve">puede </w:t>
      </w:r>
      <w:r w:rsidRPr="00B35C60">
        <w:rPr>
          <w:rFonts w:ascii="Century Gothic" w:hAnsi="Century Gothic"/>
          <w:i/>
          <w:iCs/>
          <w:sz w:val="22"/>
          <w:szCs w:val="22"/>
        </w:rPr>
        <w:t>encontrar</w:t>
      </w:r>
      <w:r w:rsidRPr="00B35C60">
        <w:rPr>
          <w:rFonts w:ascii="Century Gothic" w:hAnsi="Century Gothic"/>
          <w:i/>
          <w:iCs/>
          <w:spacing w:val="-11"/>
          <w:sz w:val="22"/>
          <w:szCs w:val="22"/>
        </w:rPr>
        <w:t xml:space="preserve"> </w:t>
      </w:r>
      <w:r w:rsidRPr="00B35C60">
        <w:rPr>
          <w:rFonts w:ascii="Century Gothic" w:hAnsi="Century Gothic"/>
          <w:i/>
          <w:iCs/>
          <w:sz w:val="22"/>
          <w:szCs w:val="22"/>
        </w:rPr>
        <w:t>en</w:t>
      </w:r>
      <w:r w:rsidRPr="00B35C60">
        <w:rPr>
          <w:rFonts w:ascii="Century Gothic" w:hAnsi="Century Gothic"/>
          <w:i/>
          <w:iCs/>
          <w:spacing w:val="-11"/>
          <w:sz w:val="22"/>
          <w:szCs w:val="22"/>
        </w:rPr>
        <w:t xml:space="preserve"> </w:t>
      </w:r>
      <w:r w:rsidRPr="00B35C60">
        <w:rPr>
          <w:rFonts w:ascii="Century Gothic" w:hAnsi="Century Gothic"/>
          <w:i/>
          <w:iCs/>
          <w:sz w:val="22"/>
          <w:szCs w:val="22"/>
        </w:rPr>
        <w:t>la</w:t>
      </w:r>
      <w:r w:rsidRPr="00B35C60">
        <w:rPr>
          <w:rFonts w:ascii="Century Gothic" w:hAnsi="Century Gothic"/>
          <w:i/>
          <w:iCs/>
          <w:spacing w:val="-11"/>
          <w:sz w:val="22"/>
          <w:szCs w:val="22"/>
        </w:rPr>
        <w:t xml:space="preserve"> </w:t>
      </w:r>
      <w:r w:rsidRPr="00B35C60">
        <w:rPr>
          <w:rFonts w:ascii="Century Gothic" w:hAnsi="Century Gothic"/>
          <w:i/>
          <w:iCs/>
          <w:sz w:val="22"/>
          <w:szCs w:val="22"/>
        </w:rPr>
        <w:t>página</w:t>
      </w:r>
      <w:r w:rsidRPr="00B35C60">
        <w:rPr>
          <w:rFonts w:ascii="Century Gothic" w:hAnsi="Century Gothic"/>
          <w:i/>
          <w:iCs/>
          <w:spacing w:val="-11"/>
          <w:sz w:val="22"/>
          <w:szCs w:val="22"/>
        </w:rPr>
        <w:t xml:space="preserve"> </w:t>
      </w:r>
      <w:r w:rsidRPr="00B35C60">
        <w:rPr>
          <w:rFonts w:ascii="Century Gothic" w:hAnsi="Century Gothic"/>
          <w:i/>
          <w:iCs/>
          <w:sz w:val="22"/>
          <w:szCs w:val="22"/>
        </w:rPr>
        <w:t>de</w:t>
      </w:r>
      <w:r w:rsidRPr="00B35C60">
        <w:rPr>
          <w:rFonts w:ascii="Century Gothic" w:hAnsi="Century Gothic"/>
          <w:i/>
          <w:iCs/>
          <w:spacing w:val="-11"/>
          <w:sz w:val="22"/>
          <w:szCs w:val="22"/>
        </w:rPr>
        <w:t xml:space="preserve"> </w:t>
      </w:r>
      <w:r w:rsidRPr="00B35C60">
        <w:rPr>
          <w:rFonts w:ascii="Century Gothic" w:hAnsi="Century Gothic"/>
          <w:i/>
          <w:iCs/>
          <w:sz w:val="22"/>
          <w:szCs w:val="22"/>
        </w:rPr>
        <w:t>la</w:t>
      </w:r>
      <w:r w:rsidRPr="00B35C60">
        <w:rPr>
          <w:rFonts w:ascii="Century Gothic" w:hAnsi="Century Gothic"/>
          <w:i/>
          <w:iCs/>
          <w:spacing w:val="-11"/>
          <w:sz w:val="22"/>
          <w:szCs w:val="22"/>
        </w:rPr>
        <w:t xml:space="preserve"> </w:t>
      </w:r>
      <w:r w:rsidRPr="00B35C60">
        <w:rPr>
          <w:rFonts w:ascii="Century Gothic" w:hAnsi="Century Gothic"/>
          <w:i/>
          <w:iCs/>
          <w:sz w:val="22"/>
          <w:szCs w:val="22"/>
        </w:rPr>
        <w:t>Secretaría</w:t>
      </w:r>
      <w:r w:rsidRPr="00B35C60">
        <w:rPr>
          <w:rFonts w:ascii="Century Gothic" w:hAnsi="Century Gothic"/>
          <w:i/>
          <w:iCs/>
          <w:spacing w:val="-11"/>
          <w:sz w:val="22"/>
          <w:szCs w:val="22"/>
        </w:rPr>
        <w:t xml:space="preserve"> </w:t>
      </w:r>
      <w:r w:rsidRPr="00B35C60">
        <w:rPr>
          <w:rFonts w:ascii="Century Gothic" w:hAnsi="Century Gothic"/>
          <w:i/>
          <w:iCs/>
          <w:sz w:val="22"/>
          <w:szCs w:val="22"/>
        </w:rPr>
        <w:t>de</w:t>
      </w:r>
      <w:r w:rsidRPr="00B35C60">
        <w:rPr>
          <w:rFonts w:ascii="Century Gothic" w:hAnsi="Century Gothic"/>
          <w:i/>
          <w:iCs/>
          <w:spacing w:val="-11"/>
          <w:sz w:val="22"/>
          <w:szCs w:val="22"/>
        </w:rPr>
        <w:t xml:space="preserve"> </w:t>
      </w:r>
      <w:r w:rsidRPr="00B35C60">
        <w:rPr>
          <w:rFonts w:ascii="Century Gothic" w:hAnsi="Century Gothic"/>
          <w:i/>
          <w:iCs/>
          <w:sz w:val="22"/>
          <w:szCs w:val="22"/>
        </w:rPr>
        <w:t>Desarrollo</w:t>
      </w:r>
      <w:r w:rsidRPr="00B35C60">
        <w:rPr>
          <w:rFonts w:ascii="Century Gothic" w:hAnsi="Century Gothic"/>
          <w:i/>
          <w:iCs/>
          <w:spacing w:val="-12"/>
          <w:sz w:val="22"/>
          <w:szCs w:val="22"/>
        </w:rPr>
        <w:t xml:space="preserve"> </w:t>
      </w:r>
      <w:r w:rsidRPr="00B35C60">
        <w:rPr>
          <w:rFonts w:ascii="Century Gothic" w:hAnsi="Century Gothic"/>
          <w:i/>
          <w:iCs/>
          <w:sz w:val="22"/>
          <w:szCs w:val="22"/>
        </w:rPr>
        <w:t>Social</w:t>
      </w:r>
      <w:r w:rsidRPr="00B35C60">
        <w:rPr>
          <w:rFonts w:ascii="Century Gothic" w:hAnsi="Century Gothic"/>
          <w:i/>
          <w:iCs/>
          <w:spacing w:val="-11"/>
          <w:sz w:val="22"/>
          <w:szCs w:val="22"/>
        </w:rPr>
        <w:t xml:space="preserve"> </w:t>
      </w:r>
      <w:r w:rsidRPr="00B35C60">
        <w:rPr>
          <w:rFonts w:ascii="Century Gothic" w:hAnsi="Century Gothic"/>
          <w:i/>
          <w:iCs/>
          <w:sz w:val="22"/>
          <w:szCs w:val="22"/>
        </w:rPr>
        <w:t>y</w:t>
      </w:r>
      <w:r w:rsidRPr="00B35C60">
        <w:rPr>
          <w:rFonts w:ascii="Century Gothic" w:hAnsi="Century Gothic"/>
          <w:i/>
          <w:iCs/>
          <w:spacing w:val="-11"/>
          <w:sz w:val="22"/>
          <w:szCs w:val="22"/>
        </w:rPr>
        <w:t xml:space="preserve"> </w:t>
      </w:r>
      <w:r w:rsidRPr="00B35C60">
        <w:rPr>
          <w:rFonts w:ascii="Century Gothic" w:hAnsi="Century Gothic"/>
          <w:i/>
          <w:iCs/>
          <w:sz w:val="22"/>
          <w:szCs w:val="22"/>
        </w:rPr>
        <w:t>Humano</w:t>
      </w:r>
      <w:r w:rsidRPr="00B35C60">
        <w:rPr>
          <w:rFonts w:ascii="Century Gothic" w:hAnsi="Century Gothic"/>
          <w:i/>
          <w:iCs/>
          <w:spacing w:val="-11"/>
          <w:sz w:val="22"/>
          <w:szCs w:val="22"/>
        </w:rPr>
        <w:t xml:space="preserve"> </w:t>
      </w:r>
      <w:r w:rsidRPr="00B35C60">
        <w:rPr>
          <w:rFonts w:ascii="Century Gothic" w:hAnsi="Century Gothic"/>
          <w:i/>
          <w:iCs/>
          <w:sz w:val="22"/>
          <w:szCs w:val="22"/>
        </w:rPr>
        <w:t>un</w:t>
      </w:r>
      <w:r w:rsidRPr="00B35C60">
        <w:rPr>
          <w:rFonts w:ascii="Century Gothic" w:hAnsi="Century Gothic"/>
          <w:i/>
          <w:iCs/>
          <w:spacing w:val="-11"/>
          <w:sz w:val="22"/>
          <w:szCs w:val="22"/>
        </w:rPr>
        <w:t xml:space="preserve"> </w:t>
      </w:r>
      <w:r w:rsidRPr="00B35C60">
        <w:rPr>
          <w:rFonts w:ascii="Century Gothic" w:hAnsi="Century Gothic"/>
          <w:i/>
          <w:iCs/>
          <w:sz w:val="22"/>
          <w:szCs w:val="22"/>
        </w:rPr>
        <w:t xml:space="preserve">estudio </w:t>
      </w:r>
      <w:r w:rsidRPr="00B35C60">
        <w:rPr>
          <w:rFonts w:ascii="Century Gothic" w:hAnsi="Century Gothic"/>
          <w:i/>
          <w:iCs/>
          <w:spacing w:val="-2"/>
          <w:sz w:val="22"/>
          <w:szCs w:val="22"/>
        </w:rPr>
        <w:t>reciente</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-de</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mayo</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de</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2023-</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denominado</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“Evaluación</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de</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consistencia,</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resultados</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 xml:space="preserve">y </w:t>
      </w:r>
      <w:r w:rsidRPr="00B35C60">
        <w:rPr>
          <w:rFonts w:ascii="Century Gothic" w:hAnsi="Century Gothic"/>
          <w:i/>
          <w:iCs/>
          <w:sz w:val="22"/>
          <w:szCs w:val="22"/>
        </w:rPr>
        <w:t>percepción</w:t>
      </w:r>
      <w:r w:rsidRPr="00B35C60">
        <w:rPr>
          <w:rFonts w:ascii="Century Gothic" w:hAnsi="Century Gothic"/>
          <w:i/>
          <w:iCs/>
          <w:spacing w:val="-6"/>
          <w:sz w:val="22"/>
          <w:szCs w:val="22"/>
        </w:rPr>
        <w:t xml:space="preserve"> </w:t>
      </w:r>
      <w:r w:rsidRPr="00B35C60">
        <w:rPr>
          <w:rFonts w:ascii="Century Gothic" w:hAnsi="Century Gothic"/>
          <w:i/>
          <w:iCs/>
          <w:sz w:val="22"/>
          <w:szCs w:val="22"/>
        </w:rPr>
        <w:t>de</w:t>
      </w:r>
      <w:r w:rsidRPr="00B35C60">
        <w:rPr>
          <w:rFonts w:ascii="Century Gothic" w:hAnsi="Century Gothic"/>
          <w:i/>
          <w:iCs/>
          <w:spacing w:val="-5"/>
          <w:sz w:val="22"/>
          <w:szCs w:val="22"/>
        </w:rPr>
        <w:t xml:space="preserve"> </w:t>
      </w:r>
      <w:r w:rsidRPr="00B35C60">
        <w:rPr>
          <w:rFonts w:ascii="Century Gothic" w:hAnsi="Century Gothic"/>
          <w:i/>
          <w:iCs/>
          <w:sz w:val="22"/>
          <w:szCs w:val="22"/>
        </w:rPr>
        <w:t>la</w:t>
      </w:r>
      <w:r w:rsidRPr="00B35C60">
        <w:rPr>
          <w:rFonts w:ascii="Century Gothic" w:hAnsi="Century Gothic"/>
          <w:i/>
          <w:iCs/>
          <w:spacing w:val="-4"/>
          <w:sz w:val="22"/>
          <w:szCs w:val="22"/>
        </w:rPr>
        <w:t xml:space="preserve"> </w:t>
      </w:r>
      <w:r w:rsidRPr="00B35C60">
        <w:rPr>
          <w:rFonts w:ascii="Century Gothic" w:hAnsi="Century Gothic"/>
          <w:i/>
          <w:iCs/>
          <w:sz w:val="22"/>
          <w:szCs w:val="22"/>
        </w:rPr>
        <w:t>estrategia</w:t>
      </w:r>
      <w:r w:rsidRPr="00B35C60">
        <w:rPr>
          <w:rFonts w:ascii="Century Gothic" w:hAnsi="Century Gothic"/>
          <w:i/>
          <w:iCs/>
          <w:spacing w:val="-5"/>
          <w:sz w:val="22"/>
          <w:szCs w:val="22"/>
        </w:rPr>
        <w:t xml:space="preserve"> </w:t>
      </w:r>
      <w:r w:rsidRPr="00B35C60">
        <w:rPr>
          <w:rFonts w:ascii="Century Gothic" w:hAnsi="Century Gothic"/>
          <w:i/>
          <w:iCs/>
          <w:sz w:val="22"/>
          <w:szCs w:val="22"/>
        </w:rPr>
        <w:t>Contigo</w:t>
      </w:r>
      <w:r w:rsidRPr="00B35C60">
        <w:rPr>
          <w:rFonts w:ascii="Century Gothic" w:hAnsi="Century Gothic"/>
          <w:i/>
          <w:iCs/>
          <w:spacing w:val="-6"/>
          <w:sz w:val="22"/>
          <w:szCs w:val="22"/>
        </w:rPr>
        <w:t xml:space="preserve"> </w:t>
      </w:r>
      <w:r w:rsidRPr="00B35C60">
        <w:rPr>
          <w:rFonts w:ascii="Century Gothic" w:hAnsi="Century Gothic"/>
          <w:i/>
          <w:iCs/>
          <w:sz w:val="22"/>
          <w:szCs w:val="22"/>
        </w:rPr>
        <w:t>Sí”</w:t>
      </w:r>
      <w:r w:rsidRPr="00B35C60">
        <w:rPr>
          <w:rFonts w:ascii="Century Gothic" w:hAnsi="Century Gothic"/>
          <w:i/>
          <w:iCs/>
          <w:spacing w:val="-4"/>
          <w:sz w:val="22"/>
          <w:szCs w:val="22"/>
        </w:rPr>
        <w:t xml:space="preserve"> </w:t>
      </w:r>
      <w:r w:rsidRPr="00B35C60">
        <w:rPr>
          <w:rFonts w:ascii="Century Gothic" w:hAnsi="Century Gothic"/>
          <w:i/>
          <w:iCs/>
          <w:sz w:val="22"/>
          <w:szCs w:val="22"/>
        </w:rPr>
        <w:t>firmado</w:t>
      </w:r>
      <w:r w:rsidRPr="00B35C60">
        <w:rPr>
          <w:rFonts w:ascii="Century Gothic" w:hAnsi="Century Gothic"/>
          <w:i/>
          <w:iCs/>
          <w:spacing w:val="-6"/>
          <w:sz w:val="22"/>
          <w:szCs w:val="22"/>
        </w:rPr>
        <w:t xml:space="preserve"> </w:t>
      </w:r>
      <w:r w:rsidRPr="00B35C60">
        <w:rPr>
          <w:rFonts w:ascii="Century Gothic" w:hAnsi="Century Gothic"/>
          <w:i/>
          <w:iCs/>
          <w:sz w:val="22"/>
          <w:szCs w:val="22"/>
        </w:rPr>
        <w:t>por</w:t>
      </w:r>
      <w:r w:rsidRPr="00B35C60">
        <w:rPr>
          <w:rFonts w:ascii="Century Gothic" w:hAnsi="Century Gothic"/>
          <w:i/>
          <w:iCs/>
          <w:spacing w:val="-5"/>
          <w:sz w:val="22"/>
          <w:szCs w:val="22"/>
        </w:rPr>
        <w:t xml:space="preserve"> </w:t>
      </w:r>
      <w:r w:rsidRPr="00B35C60">
        <w:rPr>
          <w:rFonts w:ascii="Century Gothic" w:hAnsi="Century Gothic"/>
          <w:i/>
          <w:iCs/>
          <w:sz w:val="22"/>
          <w:szCs w:val="22"/>
        </w:rPr>
        <w:t>el</w:t>
      </w:r>
      <w:r w:rsidRPr="00B35C60">
        <w:rPr>
          <w:rFonts w:ascii="Century Gothic" w:hAnsi="Century Gothic"/>
          <w:i/>
          <w:iCs/>
          <w:spacing w:val="-4"/>
          <w:sz w:val="22"/>
          <w:szCs w:val="22"/>
        </w:rPr>
        <w:t xml:space="preserve"> </w:t>
      </w:r>
      <w:r w:rsidRPr="00B35C60">
        <w:rPr>
          <w:rFonts w:ascii="Century Gothic" w:hAnsi="Century Gothic"/>
          <w:i/>
          <w:iCs/>
          <w:sz w:val="22"/>
          <w:szCs w:val="22"/>
        </w:rPr>
        <w:t>consultor</w:t>
      </w:r>
      <w:r w:rsidRPr="00B35C60">
        <w:rPr>
          <w:rFonts w:ascii="Century Gothic" w:hAnsi="Century Gothic"/>
          <w:i/>
          <w:iCs/>
          <w:spacing w:val="-3"/>
          <w:sz w:val="22"/>
          <w:szCs w:val="22"/>
        </w:rPr>
        <w:t xml:space="preserve"> </w:t>
      </w:r>
      <w:r w:rsidRPr="00B35C60">
        <w:rPr>
          <w:rFonts w:ascii="Century Gothic" w:hAnsi="Century Gothic"/>
          <w:i/>
          <w:iCs/>
          <w:sz w:val="22"/>
          <w:szCs w:val="22"/>
        </w:rPr>
        <w:t>Vicente</w:t>
      </w:r>
      <w:r w:rsidRPr="00B35C60">
        <w:rPr>
          <w:rFonts w:ascii="Century Gothic" w:hAnsi="Century Gothic"/>
          <w:i/>
          <w:iCs/>
          <w:spacing w:val="-5"/>
          <w:sz w:val="22"/>
          <w:szCs w:val="22"/>
        </w:rPr>
        <w:t xml:space="preserve"> </w:t>
      </w:r>
      <w:r w:rsidRPr="00B35C60">
        <w:rPr>
          <w:rFonts w:ascii="Century Gothic" w:hAnsi="Century Gothic"/>
          <w:i/>
          <w:iCs/>
          <w:sz w:val="22"/>
          <w:szCs w:val="22"/>
        </w:rPr>
        <w:t>de</w:t>
      </w:r>
      <w:r w:rsidRPr="00B35C60">
        <w:rPr>
          <w:rFonts w:ascii="Century Gothic" w:hAnsi="Century Gothic"/>
          <w:i/>
          <w:iCs/>
          <w:spacing w:val="-5"/>
          <w:sz w:val="22"/>
          <w:szCs w:val="22"/>
        </w:rPr>
        <w:t xml:space="preserve"> </w:t>
      </w:r>
      <w:r w:rsidRPr="00B35C60">
        <w:rPr>
          <w:rFonts w:ascii="Century Gothic" w:hAnsi="Century Gothic"/>
          <w:i/>
          <w:iCs/>
          <w:sz w:val="22"/>
          <w:szCs w:val="22"/>
        </w:rPr>
        <w:t>Jesús Cell Reyes.</w:t>
      </w:r>
    </w:p>
    <w:p w14:paraId="05FED31A" w14:textId="77777777" w:rsidR="00B35C60" w:rsidRDefault="00D16089" w:rsidP="008E69BC">
      <w:pPr>
        <w:pStyle w:val="Textoindependiente"/>
        <w:spacing w:before="152"/>
        <w:ind w:left="1182" w:right="333"/>
        <w:jc w:val="both"/>
        <w:rPr>
          <w:rFonts w:ascii="Century Gothic" w:hAnsi="Century Gothic"/>
          <w:i/>
          <w:iCs/>
          <w:spacing w:val="-2"/>
          <w:sz w:val="22"/>
          <w:szCs w:val="22"/>
        </w:rPr>
      </w:pPr>
      <w:r w:rsidRPr="00B35C60">
        <w:rPr>
          <w:rFonts w:ascii="Century Gothic" w:hAnsi="Century Gothic"/>
          <w:i/>
          <w:iCs/>
          <w:sz w:val="22"/>
          <w:szCs w:val="22"/>
        </w:rPr>
        <w:t>Es</w:t>
      </w:r>
      <w:r w:rsidRPr="00B35C60">
        <w:rPr>
          <w:rFonts w:ascii="Century Gothic" w:hAnsi="Century Gothic"/>
          <w:i/>
          <w:iCs/>
          <w:spacing w:val="-11"/>
          <w:sz w:val="22"/>
          <w:szCs w:val="22"/>
        </w:rPr>
        <w:t xml:space="preserve"> </w:t>
      </w:r>
      <w:r w:rsidRPr="00B35C60">
        <w:rPr>
          <w:rFonts w:ascii="Century Gothic" w:hAnsi="Century Gothic"/>
          <w:i/>
          <w:iCs/>
          <w:sz w:val="22"/>
          <w:szCs w:val="22"/>
        </w:rPr>
        <w:t>un</w:t>
      </w:r>
      <w:r w:rsidRPr="00B35C60">
        <w:rPr>
          <w:rFonts w:ascii="Century Gothic" w:hAnsi="Century Gothic"/>
          <w:i/>
          <w:iCs/>
          <w:spacing w:val="-10"/>
          <w:sz w:val="22"/>
          <w:szCs w:val="22"/>
        </w:rPr>
        <w:t xml:space="preserve"> </w:t>
      </w:r>
      <w:r w:rsidRPr="00B35C60">
        <w:rPr>
          <w:rFonts w:ascii="Century Gothic" w:hAnsi="Century Gothic"/>
          <w:i/>
          <w:iCs/>
          <w:sz w:val="22"/>
          <w:szCs w:val="22"/>
        </w:rPr>
        <w:t>ejercicio</w:t>
      </w:r>
      <w:r w:rsidRPr="00B35C60">
        <w:rPr>
          <w:rFonts w:ascii="Century Gothic" w:hAnsi="Century Gothic"/>
          <w:i/>
          <w:iCs/>
          <w:spacing w:val="-11"/>
          <w:sz w:val="22"/>
          <w:szCs w:val="22"/>
        </w:rPr>
        <w:t xml:space="preserve"> </w:t>
      </w:r>
      <w:r w:rsidRPr="00B35C60">
        <w:rPr>
          <w:rFonts w:ascii="Century Gothic" w:hAnsi="Century Gothic"/>
          <w:i/>
          <w:iCs/>
          <w:sz w:val="22"/>
          <w:szCs w:val="22"/>
        </w:rPr>
        <w:t>académico</w:t>
      </w:r>
      <w:r w:rsidRPr="00B35C60">
        <w:rPr>
          <w:rFonts w:ascii="Century Gothic" w:hAnsi="Century Gothic"/>
          <w:i/>
          <w:iCs/>
          <w:spacing w:val="-12"/>
          <w:sz w:val="22"/>
          <w:szCs w:val="22"/>
        </w:rPr>
        <w:t xml:space="preserve"> </w:t>
      </w:r>
      <w:r w:rsidRPr="00B35C60">
        <w:rPr>
          <w:rFonts w:ascii="Century Gothic" w:hAnsi="Century Gothic"/>
          <w:i/>
          <w:iCs/>
          <w:sz w:val="22"/>
          <w:szCs w:val="22"/>
        </w:rPr>
        <w:t>interesante,</w:t>
      </w:r>
      <w:r w:rsidRPr="00B35C60">
        <w:rPr>
          <w:rFonts w:ascii="Century Gothic" w:hAnsi="Century Gothic"/>
          <w:i/>
          <w:iCs/>
          <w:spacing w:val="-10"/>
          <w:sz w:val="22"/>
          <w:szCs w:val="22"/>
        </w:rPr>
        <w:t xml:space="preserve"> </w:t>
      </w:r>
      <w:r w:rsidRPr="00B35C60">
        <w:rPr>
          <w:rFonts w:ascii="Century Gothic" w:hAnsi="Century Gothic"/>
          <w:i/>
          <w:iCs/>
          <w:sz w:val="22"/>
          <w:szCs w:val="22"/>
        </w:rPr>
        <w:t>que</w:t>
      </w:r>
      <w:r w:rsidRPr="00B35C60">
        <w:rPr>
          <w:rFonts w:ascii="Century Gothic" w:hAnsi="Century Gothic"/>
          <w:i/>
          <w:iCs/>
          <w:spacing w:val="-11"/>
          <w:sz w:val="22"/>
          <w:szCs w:val="22"/>
        </w:rPr>
        <w:t xml:space="preserve"> </w:t>
      </w:r>
      <w:r w:rsidRPr="00B35C60">
        <w:rPr>
          <w:rFonts w:ascii="Century Gothic" w:hAnsi="Century Gothic"/>
          <w:i/>
          <w:iCs/>
          <w:sz w:val="22"/>
          <w:szCs w:val="22"/>
        </w:rPr>
        <w:t>busca</w:t>
      </w:r>
      <w:r w:rsidRPr="00B35C60">
        <w:rPr>
          <w:rFonts w:ascii="Century Gothic" w:hAnsi="Century Gothic"/>
          <w:i/>
          <w:iCs/>
          <w:spacing w:val="-11"/>
          <w:sz w:val="22"/>
          <w:szCs w:val="22"/>
        </w:rPr>
        <w:t xml:space="preserve"> </w:t>
      </w:r>
      <w:r w:rsidRPr="00B35C60">
        <w:rPr>
          <w:rFonts w:ascii="Century Gothic" w:hAnsi="Century Gothic"/>
          <w:i/>
          <w:iCs/>
          <w:sz w:val="22"/>
          <w:szCs w:val="22"/>
        </w:rPr>
        <w:t>dar</w:t>
      </w:r>
      <w:r w:rsidRPr="00B35C60">
        <w:rPr>
          <w:rFonts w:ascii="Century Gothic" w:hAnsi="Century Gothic"/>
          <w:i/>
          <w:iCs/>
          <w:spacing w:val="-11"/>
          <w:sz w:val="22"/>
          <w:szCs w:val="22"/>
        </w:rPr>
        <w:t xml:space="preserve"> </w:t>
      </w:r>
      <w:r w:rsidRPr="00B35C60">
        <w:rPr>
          <w:rFonts w:ascii="Century Gothic" w:hAnsi="Century Gothic"/>
          <w:i/>
          <w:iCs/>
          <w:sz w:val="22"/>
          <w:szCs w:val="22"/>
        </w:rPr>
        <w:t>soporte</w:t>
      </w:r>
      <w:r w:rsidRPr="00B35C60">
        <w:rPr>
          <w:rFonts w:ascii="Century Gothic" w:hAnsi="Century Gothic"/>
          <w:i/>
          <w:iCs/>
          <w:spacing w:val="-11"/>
          <w:sz w:val="22"/>
          <w:szCs w:val="22"/>
        </w:rPr>
        <w:t xml:space="preserve"> </w:t>
      </w:r>
      <w:r w:rsidRPr="00B35C60">
        <w:rPr>
          <w:rFonts w:ascii="Century Gothic" w:hAnsi="Century Gothic"/>
          <w:i/>
          <w:iCs/>
          <w:sz w:val="22"/>
          <w:szCs w:val="22"/>
        </w:rPr>
        <w:t>a</w:t>
      </w:r>
      <w:r w:rsidRPr="00B35C60">
        <w:rPr>
          <w:rFonts w:ascii="Century Gothic" w:hAnsi="Century Gothic"/>
          <w:i/>
          <w:iCs/>
          <w:spacing w:val="-11"/>
          <w:sz w:val="22"/>
          <w:szCs w:val="22"/>
        </w:rPr>
        <w:t xml:space="preserve"> </w:t>
      </w:r>
      <w:r w:rsidRPr="00B35C60">
        <w:rPr>
          <w:rFonts w:ascii="Century Gothic" w:hAnsi="Century Gothic"/>
          <w:i/>
          <w:iCs/>
          <w:sz w:val="22"/>
          <w:szCs w:val="22"/>
        </w:rPr>
        <w:t>lo</w:t>
      </w:r>
      <w:r w:rsidRPr="00B35C60">
        <w:rPr>
          <w:rFonts w:ascii="Century Gothic" w:hAnsi="Century Gothic"/>
          <w:i/>
          <w:iCs/>
          <w:spacing w:val="-10"/>
          <w:sz w:val="22"/>
          <w:szCs w:val="22"/>
        </w:rPr>
        <w:t xml:space="preserve"> </w:t>
      </w:r>
      <w:r w:rsidRPr="00B35C60">
        <w:rPr>
          <w:rFonts w:ascii="Century Gothic" w:hAnsi="Century Gothic"/>
          <w:i/>
          <w:iCs/>
          <w:sz w:val="22"/>
          <w:szCs w:val="22"/>
        </w:rPr>
        <w:t>que</w:t>
      </w:r>
      <w:r w:rsidRPr="00B35C60">
        <w:rPr>
          <w:rFonts w:ascii="Century Gothic" w:hAnsi="Century Gothic"/>
          <w:i/>
          <w:iCs/>
          <w:spacing w:val="-11"/>
          <w:sz w:val="22"/>
          <w:szCs w:val="22"/>
        </w:rPr>
        <w:t xml:space="preserve"> </w:t>
      </w:r>
      <w:r w:rsidRPr="00B35C60">
        <w:rPr>
          <w:rFonts w:ascii="Century Gothic" w:hAnsi="Century Gothic"/>
          <w:i/>
          <w:iCs/>
          <w:sz w:val="22"/>
          <w:szCs w:val="22"/>
        </w:rPr>
        <w:t>se</w:t>
      </w:r>
      <w:r w:rsidRPr="00B35C60">
        <w:rPr>
          <w:rFonts w:ascii="Century Gothic" w:hAnsi="Century Gothic"/>
          <w:i/>
          <w:iCs/>
          <w:spacing w:val="-10"/>
          <w:sz w:val="22"/>
          <w:szCs w:val="22"/>
        </w:rPr>
        <w:t xml:space="preserve"> </w:t>
      </w:r>
      <w:r w:rsidRPr="00B35C60">
        <w:rPr>
          <w:rFonts w:ascii="Century Gothic" w:hAnsi="Century Gothic"/>
          <w:i/>
          <w:iCs/>
          <w:sz w:val="22"/>
          <w:szCs w:val="22"/>
        </w:rPr>
        <w:t>realiza</w:t>
      </w:r>
      <w:r w:rsidRPr="00B35C60">
        <w:rPr>
          <w:rFonts w:ascii="Century Gothic" w:hAnsi="Century Gothic"/>
          <w:i/>
          <w:iCs/>
          <w:spacing w:val="-10"/>
          <w:sz w:val="22"/>
          <w:szCs w:val="22"/>
        </w:rPr>
        <w:t xml:space="preserve"> </w:t>
      </w:r>
      <w:r w:rsidRPr="00B35C60">
        <w:rPr>
          <w:rFonts w:ascii="Century Gothic" w:hAnsi="Century Gothic"/>
          <w:i/>
          <w:iCs/>
          <w:sz w:val="22"/>
          <w:szCs w:val="22"/>
        </w:rPr>
        <w:t>y que</w:t>
      </w:r>
      <w:r w:rsidRPr="00B35C60">
        <w:rPr>
          <w:rFonts w:ascii="Century Gothic" w:hAnsi="Century Gothic"/>
          <w:i/>
          <w:iCs/>
          <w:spacing w:val="-9"/>
          <w:sz w:val="22"/>
          <w:szCs w:val="22"/>
        </w:rPr>
        <w:t xml:space="preserve"> </w:t>
      </w:r>
      <w:r w:rsidRPr="00B35C60">
        <w:rPr>
          <w:rFonts w:ascii="Century Gothic" w:hAnsi="Century Gothic"/>
          <w:i/>
          <w:iCs/>
          <w:sz w:val="22"/>
          <w:szCs w:val="22"/>
        </w:rPr>
        <w:t>demuestra</w:t>
      </w:r>
      <w:r w:rsidRPr="00B35C60">
        <w:rPr>
          <w:rFonts w:ascii="Century Gothic" w:hAnsi="Century Gothic"/>
          <w:i/>
          <w:iCs/>
          <w:spacing w:val="-8"/>
          <w:sz w:val="22"/>
          <w:szCs w:val="22"/>
        </w:rPr>
        <w:t xml:space="preserve"> </w:t>
      </w:r>
      <w:r w:rsidRPr="00B35C60">
        <w:rPr>
          <w:rFonts w:ascii="Century Gothic" w:hAnsi="Century Gothic"/>
          <w:i/>
          <w:iCs/>
          <w:sz w:val="22"/>
          <w:szCs w:val="22"/>
        </w:rPr>
        <w:t>la</w:t>
      </w:r>
      <w:r w:rsidRPr="00B35C60">
        <w:rPr>
          <w:rFonts w:ascii="Century Gothic" w:hAnsi="Century Gothic"/>
          <w:i/>
          <w:iCs/>
          <w:spacing w:val="-8"/>
          <w:sz w:val="22"/>
          <w:szCs w:val="22"/>
        </w:rPr>
        <w:t xml:space="preserve"> </w:t>
      </w:r>
      <w:r w:rsidRPr="00B35C60">
        <w:rPr>
          <w:rFonts w:ascii="Century Gothic" w:hAnsi="Century Gothic"/>
          <w:i/>
          <w:iCs/>
          <w:sz w:val="22"/>
          <w:szCs w:val="22"/>
        </w:rPr>
        <w:t>inexistencia</w:t>
      </w:r>
      <w:r w:rsidRPr="00B35C60">
        <w:rPr>
          <w:rFonts w:ascii="Century Gothic" w:hAnsi="Century Gothic"/>
          <w:i/>
          <w:iCs/>
          <w:spacing w:val="-8"/>
          <w:sz w:val="22"/>
          <w:szCs w:val="22"/>
        </w:rPr>
        <w:t xml:space="preserve"> </w:t>
      </w:r>
      <w:r w:rsidRPr="00B35C60">
        <w:rPr>
          <w:rFonts w:ascii="Century Gothic" w:hAnsi="Century Gothic"/>
          <w:i/>
          <w:iCs/>
          <w:sz w:val="22"/>
          <w:szCs w:val="22"/>
        </w:rPr>
        <w:t>de</w:t>
      </w:r>
      <w:r w:rsidRPr="00B35C60">
        <w:rPr>
          <w:rFonts w:ascii="Century Gothic" w:hAnsi="Century Gothic"/>
          <w:i/>
          <w:iCs/>
          <w:spacing w:val="-8"/>
          <w:sz w:val="22"/>
          <w:szCs w:val="22"/>
        </w:rPr>
        <w:t xml:space="preserve"> </w:t>
      </w:r>
      <w:r w:rsidRPr="00B35C60">
        <w:rPr>
          <w:rFonts w:ascii="Century Gothic" w:hAnsi="Century Gothic"/>
          <w:i/>
          <w:iCs/>
          <w:sz w:val="22"/>
          <w:szCs w:val="22"/>
        </w:rPr>
        <w:t>un</w:t>
      </w:r>
      <w:r w:rsidRPr="00B35C60">
        <w:rPr>
          <w:rFonts w:ascii="Century Gothic" w:hAnsi="Century Gothic"/>
          <w:i/>
          <w:iCs/>
          <w:spacing w:val="-9"/>
          <w:sz w:val="22"/>
          <w:szCs w:val="22"/>
        </w:rPr>
        <w:t xml:space="preserve"> </w:t>
      </w:r>
      <w:r w:rsidRPr="00B35C60">
        <w:rPr>
          <w:rFonts w:ascii="Century Gothic" w:hAnsi="Century Gothic"/>
          <w:i/>
          <w:iCs/>
          <w:sz w:val="22"/>
          <w:szCs w:val="22"/>
        </w:rPr>
        <w:t>proceso</w:t>
      </w:r>
      <w:r w:rsidRPr="00B35C60">
        <w:rPr>
          <w:rFonts w:ascii="Century Gothic" w:hAnsi="Century Gothic"/>
          <w:i/>
          <w:iCs/>
          <w:spacing w:val="-7"/>
          <w:sz w:val="22"/>
          <w:szCs w:val="22"/>
        </w:rPr>
        <w:t xml:space="preserve"> </w:t>
      </w:r>
      <w:r w:rsidRPr="00B35C60">
        <w:rPr>
          <w:rFonts w:ascii="Century Gothic" w:hAnsi="Century Gothic"/>
          <w:i/>
          <w:iCs/>
          <w:sz w:val="22"/>
          <w:szCs w:val="22"/>
        </w:rPr>
        <w:t>bien</w:t>
      </w:r>
      <w:r w:rsidRPr="00B35C60">
        <w:rPr>
          <w:rFonts w:ascii="Century Gothic" w:hAnsi="Century Gothic"/>
          <w:i/>
          <w:iCs/>
          <w:spacing w:val="-9"/>
          <w:sz w:val="22"/>
          <w:szCs w:val="22"/>
        </w:rPr>
        <w:t xml:space="preserve"> </w:t>
      </w:r>
      <w:r w:rsidRPr="00B35C60">
        <w:rPr>
          <w:rFonts w:ascii="Century Gothic" w:hAnsi="Century Gothic"/>
          <w:i/>
          <w:iCs/>
          <w:sz w:val="22"/>
          <w:szCs w:val="22"/>
        </w:rPr>
        <w:t>pensado</w:t>
      </w:r>
      <w:r w:rsidRPr="00B35C60">
        <w:rPr>
          <w:rFonts w:ascii="Century Gothic" w:hAnsi="Century Gothic"/>
          <w:i/>
          <w:iCs/>
          <w:spacing w:val="-9"/>
          <w:sz w:val="22"/>
          <w:szCs w:val="22"/>
        </w:rPr>
        <w:t xml:space="preserve"> </w:t>
      </w:r>
      <w:r w:rsidRPr="00B35C60">
        <w:rPr>
          <w:rFonts w:ascii="Century Gothic" w:hAnsi="Century Gothic"/>
          <w:i/>
          <w:iCs/>
          <w:sz w:val="22"/>
          <w:szCs w:val="22"/>
        </w:rPr>
        <w:t>para</w:t>
      </w:r>
      <w:r w:rsidRPr="00B35C60">
        <w:rPr>
          <w:rFonts w:ascii="Century Gothic" w:hAnsi="Century Gothic"/>
          <w:i/>
          <w:iCs/>
          <w:spacing w:val="-9"/>
          <w:sz w:val="22"/>
          <w:szCs w:val="22"/>
        </w:rPr>
        <w:t xml:space="preserve"> </w:t>
      </w:r>
      <w:r w:rsidRPr="00B35C60">
        <w:rPr>
          <w:rFonts w:ascii="Century Gothic" w:hAnsi="Century Gothic"/>
          <w:i/>
          <w:iCs/>
          <w:sz w:val="22"/>
          <w:szCs w:val="22"/>
        </w:rPr>
        <w:t>el</w:t>
      </w:r>
      <w:r w:rsidRPr="00B35C60">
        <w:rPr>
          <w:rFonts w:ascii="Century Gothic" w:hAnsi="Century Gothic"/>
          <w:i/>
          <w:iCs/>
          <w:spacing w:val="-7"/>
          <w:sz w:val="22"/>
          <w:szCs w:val="22"/>
        </w:rPr>
        <w:t xml:space="preserve"> </w:t>
      </w:r>
      <w:r w:rsidRPr="00B35C60">
        <w:rPr>
          <w:rFonts w:ascii="Century Gothic" w:hAnsi="Century Gothic"/>
          <w:i/>
          <w:iCs/>
          <w:sz w:val="22"/>
          <w:szCs w:val="22"/>
        </w:rPr>
        <w:t>diseño</w:t>
      </w:r>
      <w:r w:rsidRPr="00B35C60">
        <w:rPr>
          <w:rFonts w:ascii="Century Gothic" w:hAnsi="Century Gothic"/>
          <w:i/>
          <w:iCs/>
          <w:spacing w:val="-8"/>
          <w:sz w:val="22"/>
          <w:szCs w:val="22"/>
        </w:rPr>
        <w:t xml:space="preserve"> </w:t>
      </w:r>
      <w:r w:rsidRPr="00B35C60">
        <w:rPr>
          <w:rFonts w:ascii="Century Gothic" w:hAnsi="Century Gothic"/>
          <w:i/>
          <w:iCs/>
          <w:sz w:val="22"/>
          <w:szCs w:val="22"/>
        </w:rPr>
        <w:t>de</w:t>
      </w:r>
      <w:r w:rsidRPr="00B35C60">
        <w:rPr>
          <w:rFonts w:ascii="Century Gothic" w:hAnsi="Century Gothic"/>
          <w:i/>
          <w:iCs/>
          <w:spacing w:val="-9"/>
          <w:sz w:val="22"/>
          <w:szCs w:val="22"/>
        </w:rPr>
        <w:t xml:space="preserve"> </w:t>
      </w:r>
      <w:r w:rsidRPr="00B35C60">
        <w:rPr>
          <w:rFonts w:ascii="Century Gothic" w:hAnsi="Century Gothic"/>
          <w:i/>
          <w:iCs/>
          <w:sz w:val="22"/>
          <w:szCs w:val="22"/>
        </w:rPr>
        <w:t xml:space="preserve">esta </w:t>
      </w:r>
      <w:r w:rsidRPr="00B35C60">
        <w:rPr>
          <w:rFonts w:ascii="Century Gothic" w:hAnsi="Century Gothic"/>
          <w:i/>
          <w:iCs/>
          <w:spacing w:val="-2"/>
          <w:sz w:val="22"/>
          <w:szCs w:val="22"/>
        </w:rPr>
        <w:t>estrategia</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para</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el</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desarrollo</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social.</w:t>
      </w:r>
    </w:p>
    <w:p w14:paraId="7361335B" w14:textId="1BF53DD3" w:rsidR="00D16089" w:rsidRPr="00B35C60" w:rsidRDefault="00D16089" w:rsidP="008E69BC">
      <w:pPr>
        <w:pStyle w:val="Textoindependiente"/>
        <w:spacing w:before="152"/>
        <w:ind w:left="1182" w:right="333"/>
        <w:jc w:val="both"/>
        <w:rPr>
          <w:rFonts w:ascii="Century Gothic" w:eastAsia="Times New Roman" w:hAnsi="Century Gothic"/>
          <w:i/>
          <w:iCs/>
          <w:sz w:val="22"/>
          <w:szCs w:val="22"/>
        </w:rPr>
      </w:pPr>
      <w:r w:rsidRPr="00B35C60">
        <w:rPr>
          <w:rFonts w:ascii="Century Gothic" w:hAnsi="Century Gothic"/>
          <w:i/>
          <w:iCs/>
          <w:spacing w:val="-2"/>
          <w:sz w:val="22"/>
          <w:szCs w:val="22"/>
        </w:rPr>
        <w:lastRenderedPageBreak/>
        <w:t>Un</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análisis</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somero</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de</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su</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abundante</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 xml:space="preserve">contenido </w:t>
      </w:r>
      <w:r w:rsidRPr="00B35C60">
        <w:rPr>
          <w:rFonts w:ascii="Century Gothic" w:hAnsi="Century Gothic"/>
          <w:i/>
          <w:iCs/>
          <w:spacing w:val="-6"/>
          <w:sz w:val="22"/>
          <w:szCs w:val="22"/>
        </w:rPr>
        <w:t>arroja</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que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GTO</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Contigo</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Sí,</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es</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la</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expresión</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de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una</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inercia</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institucional</w:t>
      </w:r>
      <w:r w:rsidRPr="00B35C60">
        <w:rPr>
          <w:rFonts w:ascii="Century Gothic" w:hAnsi="Century Gothic"/>
          <w:i/>
          <w:iCs/>
          <w:spacing w:val="-8"/>
          <w:sz w:val="22"/>
          <w:szCs w:val="22"/>
        </w:rPr>
        <w:t xml:space="preserve"> </w:t>
      </w:r>
      <w:proofErr w:type="gramStart"/>
      <w:r w:rsidRPr="00B35C60">
        <w:rPr>
          <w:rFonts w:ascii="Century Gothic" w:hAnsi="Century Gothic"/>
          <w:i/>
          <w:iCs/>
          <w:spacing w:val="-6"/>
          <w:sz w:val="22"/>
          <w:szCs w:val="22"/>
        </w:rPr>
        <w:t>y</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w:t>
      </w:r>
      <w:proofErr w:type="gramEnd"/>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por</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 xml:space="preserve">ejemplo, </w:t>
      </w:r>
      <w:r w:rsidRPr="00B35C60">
        <w:rPr>
          <w:rFonts w:ascii="Century Gothic" w:hAnsi="Century Gothic"/>
          <w:i/>
          <w:iCs/>
          <w:sz w:val="22"/>
          <w:szCs w:val="22"/>
        </w:rPr>
        <w:t xml:space="preserve">se destaca la importancia de la participación ciudadana, la elaboración de los </w:t>
      </w:r>
      <w:r w:rsidRPr="00B35C60">
        <w:rPr>
          <w:rFonts w:ascii="Century Gothic" w:hAnsi="Century Gothic"/>
          <w:i/>
          <w:iCs/>
          <w:spacing w:val="-2"/>
          <w:sz w:val="22"/>
          <w:szCs w:val="22"/>
        </w:rPr>
        <w:t>diagnósticos</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comunitarios,</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la</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formación</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de</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comités</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ciudadanos,</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las</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comisiones</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 xml:space="preserve">de </w:t>
      </w:r>
      <w:r w:rsidRPr="00B35C60">
        <w:rPr>
          <w:rFonts w:ascii="Century Gothic" w:hAnsi="Century Gothic"/>
          <w:i/>
          <w:iCs/>
          <w:spacing w:val="-8"/>
          <w:sz w:val="22"/>
          <w:szCs w:val="22"/>
        </w:rPr>
        <w:t>trabajo</w:t>
      </w:r>
      <w:r w:rsidRPr="00B35C60">
        <w:rPr>
          <w:rFonts w:ascii="Century Gothic" w:hAnsi="Century Gothic"/>
          <w:i/>
          <w:iCs/>
          <w:spacing w:val="-1"/>
          <w:sz w:val="22"/>
          <w:szCs w:val="22"/>
        </w:rPr>
        <w:t xml:space="preserve"> </w:t>
      </w:r>
      <w:r w:rsidRPr="00B35C60">
        <w:rPr>
          <w:rFonts w:ascii="Century Gothic" w:hAnsi="Century Gothic"/>
          <w:i/>
          <w:iCs/>
          <w:spacing w:val="-8"/>
          <w:sz w:val="22"/>
          <w:szCs w:val="22"/>
        </w:rPr>
        <w:t>y</w:t>
      </w:r>
      <w:r w:rsidRPr="00B35C60">
        <w:rPr>
          <w:rFonts w:ascii="Century Gothic" w:hAnsi="Century Gothic"/>
          <w:i/>
          <w:iCs/>
          <w:sz w:val="22"/>
          <w:szCs w:val="22"/>
        </w:rPr>
        <w:t xml:space="preserve"> </w:t>
      </w:r>
      <w:r w:rsidRPr="00B35C60">
        <w:rPr>
          <w:rFonts w:ascii="Century Gothic" w:hAnsi="Century Gothic"/>
          <w:i/>
          <w:iCs/>
          <w:spacing w:val="-8"/>
          <w:sz w:val="22"/>
          <w:szCs w:val="22"/>
        </w:rPr>
        <w:t>la</w:t>
      </w:r>
      <w:r w:rsidRPr="00B35C60">
        <w:rPr>
          <w:rFonts w:ascii="Century Gothic" w:hAnsi="Century Gothic"/>
          <w:i/>
          <w:iCs/>
          <w:sz w:val="22"/>
          <w:szCs w:val="22"/>
        </w:rPr>
        <w:t xml:space="preserve"> </w:t>
      </w:r>
      <w:r w:rsidRPr="00B35C60">
        <w:rPr>
          <w:rFonts w:ascii="Century Gothic" w:hAnsi="Century Gothic"/>
          <w:i/>
          <w:iCs/>
          <w:spacing w:val="-8"/>
          <w:sz w:val="22"/>
          <w:szCs w:val="22"/>
        </w:rPr>
        <w:t>planeación</w:t>
      </w:r>
      <w:r w:rsidRPr="00B35C60">
        <w:rPr>
          <w:rFonts w:ascii="Century Gothic" w:hAnsi="Century Gothic"/>
          <w:i/>
          <w:iCs/>
          <w:spacing w:val="-3"/>
          <w:sz w:val="22"/>
          <w:szCs w:val="22"/>
        </w:rPr>
        <w:t xml:space="preserve"> </w:t>
      </w:r>
      <w:r w:rsidRPr="00B35C60">
        <w:rPr>
          <w:rFonts w:ascii="Century Gothic" w:hAnsi="Century Gothic"/>
          <w:i/>
          <w:iCs/>
          <w:spacing w:val="-8"/>
          <w:sz w:val="22"/>
          <w:szCs w:val="22"/>
        </w:rPr>
        <w:t>participativa,</w:t>
      </w:r>
      <w:r w:rsidRPr="00B35C60">
        <w:rPr>
          <w:rFonts w:ascii="Century Gothic" w:hAnsi="Century Gothic"/>
          <w:i/>
          <w:iCs/>
          <w:spacing w:val="-2"/>
          <w:sz w:val="22"/>
          <w:szCs w:val="22"/>
        </w:rPr>
        <w:t xml:space="preserve"> </w:t>
      </w:r>
      <w:r w:rsidRPr="00B35C60">
        <w:rPr>
          <w:rFonts w:ascii="Century Gothic" w:hAnsi="Century Gothic"/>
          <w:i/>
          <w:iCs/>
          <w:spacing w:val="-8"/>
          <w:sz w:val="22"/>
          <w:szCs w:val="22"/>
        </w:rPr>
        <w:t>todo</w:t>
      </w:r>
      <w:r w:rsidRPr="00B35C60">
        <w:rPr>
          <w:rFonts w:ascii="Century Gothic" w:hAnsi="Century Gothic"/>
          <w:i/>
          <w:iCs/>
          <w:spacing w:val="-2"/>
          <w:sz w:val="22"/>
          <w:szCs w:val="22"/>
        </w:rPr>
        <w:t xml:space="preserve"> </w:t>
      </w:r>
      <w:r w:rsidRPr="00B35C60">
        <w:rPr>
          <w:rFonts w:ascii="Century Gothic" w:hAnsi="Century Gothic"/>
          <w:i/>
          <w:iCs/>
          <w:spacing w:val="-8"/>
          <w:sz w:val="22"/>
          <w:szCs w:val="22"/>
        </w:rPr>
        <w:t>ello</w:t>
      </w:r>
      <w:r w:rsidRPr="00B35C60">
        <w:rPr>
          <w:rFonts w:ascii="Century Gothic" w:hAnsi="Century Gothic"/>
          <w:i/>
          <w:iCs/>
          <w:spacing w:val="-1"/>
          <w:sz w:val="22"/>
          <w:szCs w:val="22"/>
        </w:rPr>
        <w:t xml:space="preserve"> </w:t>
      </w:r>
      <w:r w:rsidRPr="00B35C60">
        <w:rPr>
          <w:rFonts w:ascii="Century Gothic" w:hAnsi="Century Gothic"/>
          <w:i/>
          <w:iCs/>
          <w:spacing w:val="-8"/>
          <w:sz w:val="22"/>
          <w:szCs w:val="22"/>
        </w:rPr>
        <w:t>loable,</w:t>
      </w:r>
      <w:r w:rsidRPr="00B35C60">
        <w:rPr>
          <w:rFonts w:ascii="Century Gothic" w:hAnsi="Century Gothic"/>
          <w:i/>
          <w:iCs/>
          <w:sz w:val="22"/>
          <w:szCs w:val="22"/>
        </w:rPr>
        <w:t xml:space="preserve"> </w:t>
      </w:r>
      <w:r w:rsidRPr="00B35C60">
        <w:rPr>
          <w:rFonts w:ascii="Century Gothic" w:hAnsi="Century Gothic"/>
          <w:i/>
          <w:iCs/>
          <w:spacing w:val="-8"/>
          <w:sz w:val="22"/>
          <w:szCs w:val="22"/>
        </w:rPr>
        <w:t>y</w:t>
      </w:r>
      <w:r w:rsidRPr="00B35C60">
        <w:rPr>
          <w:rFonts w:ascii="Century Gothic" w:hAnsi="Century Gothic"/>
          <w:i/>
          <w:iCs/>
          <w:sz w:val="22"/>
          <w:szCs w:val="22"/>
        </w:rPr>
        <w:t xml:space="preserve"> </w:t>
      </w:r>
      <w:r w:rsidRPr="00B35C60">
        <w:rPr>
          <w:rFonts w:ascii="Century Gothic" w:hAnsi="Century Gothic"/>
          <w:i/>
          <w:iCs/>
          <w:spacing w:val="-8"/>
          <w:sz w:val="22"/>
          <w:szCs w:val="22"/>
        </w:rPr>
        <w:t>,</w:t>
      </w:r>
      <w:r w:rsidRPr="00B35C60">
        <w:rPr>
          <w:rFonts w:ascii="Century Gothic" w:hAnsi="Century Gothic"/>
          <w:i/>
          <w:iCs/>
          <w:spacing w:val="-2"/>
          <w:sz w:val="22"/>
          <w:szCs w:val="22"/>
        </w:rPr>
        <w:t xml:space="preserve"> </w:t>
      </w:r>
      <w:r w:rsidRPr="00B35C60">
        <w:rPr>
          <w:rFonts w:ascii="Century Gothic" w:hAnsi="Century Gothic"/>
          <w:i/>
          <w:iCs/>
          <w:spacing w:val="-8"/>
          <w:sz w:val="22"/>
          <w:szCs w:val="22"/>
        </w:rPr>
        <w:t>sin</w:t>
      </w:r>
      <w:r w:rsidRPr="00B35C60">
        <w:rPr>
          <w:rFonts w:ascii="Century Gothic" w:hAnsi="Century Gothic"/>
          <w:i/>
          <w:iCs/>
          <w:spacing w:val="-1"/>
          <w:sz w:val="22"/>
          <w:szCs w:val="22"/>
        </w:rPr>
        <w:t xml:space="preserve"> </w:t>
      </w:r>
      <w:r w:rsidRPr="00B35C60">
        <w:rPr>
          <w:rFonts w:ascii="Century Gothic" w:hAnsi="Century Gothic"/>
          <w:i/>
          <w:iCs/>
          <w:spacing w:val="-8"/>
          <w:sz w:val="22"/>
          <w:szCs w:val="22"/>
        </w:rPr>
        <w:t>embargo,</w:t>
      </w:r>
      <w:r w:rsidRPr="00B35C60">
        <w:rPr>
          <w:rFonts w:ascii="Century Gothic" w:hAnsi="Century Gothic"/>
          <w:i/>
          <w:iCs/>
          <w:spacing w:val="-2"/>
          <w:sz w:val="22"/>
          <w:szCs w:val="22"/>
        </w:rPr>
        <w:t xml:space="preserve"> </w:t>
      </w:r>
      <w:r w:rsidRPr="00B35C60">
        <w:rPr>
          <w:rFonts w:ascii="Century Gothic" w:hAnsi="Century Gothic"/>
          <w:i/>
          <w:iCs/>
          <w:spacing w:val="-8"/>
          <w:sz w:val="22"/>
          <w:szCs w:val="22"/>
        </w:rPr>
        <w:t>no</w:t>
      </w:r>
      <w:r w:rsidRPr="00B35C60">
        <w:rPr>
          <w:rFonts w:ascii="Century Gothic" w:hAnsi="Century Gothic"/>
          <w:i/>
          <w:iCs/>
          <w:spacing w:val="-2"/>
          <w:sz w:val="22"/>
          <w:szCs w:val="22"/>
        </w:rPr>
        <w:t xml:space="preserve"> </w:t>
      </w:r>
      <w:r w:rsidRPr="00B35C60">
        <w:rPr>
          <w:rFonts w:ascii="Century Gothic" w:hAnsi="Century Gothic"/>
          <w:i/>
          <w:iCs/>
          <w:spacing w:val="-8"/>
          <w:sz w:val="22"/>
          <w:szCs w:val="22"/>
        </w:rPr>
        <w:t>hay</w:t>
      </w:r>
      <w:r w:rsidRPr="00B35C60">
        <w:rPr>
          <w:rFonts w:ascii="Century Gothic" w:hAnsi="Century Gothic"/>
          <w:i/>
          <w:iCs/>
          <w:sz w:val="22"/>
          <w:szCs w:val="22"/>
        </w:rPr>
        <w:t xml:space="preserve"> </w:t>
      </w:r>
      <w:r w:rsidRPr="00B35C60">
        <w:rPr>
          <w:rFonts w:ascii="Century Gothic" w:hAnsi="Century Gothic"/>
          <w:i/>
          <w:iCs/>
          <w:spacing w:val="-8"/>
          <w:sz w:val="22"/>
          <w:szCs w:val="22"/>
        </w:rPr>
        <w:t xml:space="preserve">ninguna </w:t>
      </w:r>
      <w:r w:rsidRPr="00B35C60">
        <w:rPr>
          <w:rFonts w:ascii="Century Gothic" w:hAnsi="Century Gothic"/>
          <w:i/>
          <w:iCs/>
          <w:spacing w:val="-6"/>
          <w:sz w:val="22"/>
          <w:szCs w:val="22"/>
        </w:rPr>
        <w:t>evidencia</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o</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registro</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en</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donde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se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ligue</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a</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la</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satisfacción</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de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las</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demandas</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más</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 xml:space="preserve">sentidas </w:t>
      </w:r>
      <w:r w:rsidRPr="00B35C60">
        <w:rPr>
          <w:rFonts w:ascii="Century Gothic" w:hAnsi="Century Gothic"/>
          <w:i/>
          <w:iCs/>
          <w:sz w:val="22"/>
          <w:szCs w:val="22"/>
        </w:rPr>
        <w:t>de la población.</w:t>
      </w:r>
    </w:p>
    <w:p w14:paraId="0EC510E0" w14:textId="77777777" w:rsidR="00D16089" w:rsidRPr="00B35C60" w:rsidRDefault="00D16089" w:rsidP="008E69BC">
      <w:pPr>
        <w:pStyle w:val="Textoindependiente"/>
        <w:spacing w:before="152"/>
        <w:ind w:left="1182" w:right="333"/>
        <w:jc w:val="both"/>
        <w:rPr>
          <w:rFonts w:ascii="Century Gothic" w:eastAsia="Times New Roman" w:hAnsi="Century Gothic"/>
          <w:i/>
          <w:iCs/>
          <w:sz w:val="22"/>
          <w:szCs w:val="22"/>
        </w:rPr>
      </w:pPr>
      <w:r w:rsidRPr="00B35C60">
        <w:rPr>
          <w:rFonts w:ascii="Century Gothic" w:hAnsi="Century Gothic"/>
          <w:i/>
          <w:iCs/>
          <w:sz w:val="22"/>
          <w:szCs w:val="22"/>
        </w:rPr>
        <w:t xml:space="preserve">Lo que devela el estudio es la existencia de una sumatoria de los resultados de </w:t>
      </w:r>
      <w:r w:rsidRPr="00B35C60">
        <w:rPr>
          <w:rFonts w:ascii="Century Gothic" w:hAnsi="Century Gothic"/>
          <w:i/>
          <w:iCs/>
          <w:spacing w:val="-6"/>
          <w:sz w:val="22"/>
          <w:szCs w:val="22"/>
        </w:rPr>
        <w:t>programas y acciones que cada dependencia tiene con lo cual la idea gobernanza no se</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sostiene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y</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en</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la</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parte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final,</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muy</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abundante,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se</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da</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a</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la</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tarea</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de</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alinear</w:t>
      </w:r>
      <w:r w:rsidRPr="00B35C60">
        <w:rPr>
          <w:rFonts w:ascii="Century Gothic" w:hAnsi="Century Gothic"/>
          <w:i/>
          <w:iCs/>
          <w:spacing w:val="-9"/>
          <w:sz w:val="22"/>
          <w:szCs w:val="22"/>
        </w:rPr>
        <w:t xml:space="preserve"> </w:t>
      </w:r>
      <w:r w:rsidRPr="00B35C60">
        <w:rPr>
          <w:rFonts w:ascii="Century Gothic" w:hAnsi="Century Gothic"/>
          <w:i/>
          <w:iCs/>
          <w:spacing w:val="-6"/>
          <w:sz w:val="22"/>
          <w:szCs w:val="22"/>
        </w:rPr>
        <w:t>el</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 xml:space="preserve">contenido </w:t>
      </w:r>
      <w:r w:rsidRPr="00B35C60">
        <w:rPr>
          <w:rFonts w:ascii="Century Gothic" w:hAnsi="Century Gothic"/>
          <w:i/>
          <w:iCs/>
          <w:spacing w:val="-2"/>
          <w:sz w:val="22"/>
          <w:szCs w:val="22"/>
        </w:rPr>
        <w:t>de</w:t>
      </w:r>
      <w:r w:rsidRPr="00B35C60">
        <w:rPr>
          <w:rFonts w:ascii="Century Gothic" w:hAnsi="Century Gothic"/>
          <w:i/>
          <w:iCs/>
          <w:spacing w:val="-9"/>
          <w:sz w:val="22"/>
          <w:szCs w:val="22"/>
        </w:rPr>
        <w:t xml:space="preserve"> </w:t>
      </w:r>
      <w:r w:rsidRPr="00B35C60">
        <w:rPr>
          <w:rFonts w:ascii="Century Gothic" w:hAnsi="Century Gothic"/>
          <w:i/>
          <w:iCs/>
          <w:spacing w:val="-2"/>
          <w:sz w:val="22"/>
          <w:szCs w:val="22"/>
        </w:rPr>
        <w:t>algunos</w:t>
      </w:r>
      <w:r w:rsidRPr="00B35C60">
        <w:rPr>
          <w:rFonts w:ascii="Century Gothic" w:hAnsi="Century Gothic"/>
          <w:i/>
          <w:iCs/>
          <w:spacing w:val="-8"/>
          <w:sz w:val="22"/>
          <w:szCs w:val="22"/>
        </w:rPr>
        <w:t xml:space="preserve"> </w:t>
      </w:r>
      <w:r w:rsidRPr="00B35C60">
        <w:rPr>
          <w:rFonts w:ascii="Century Gothic" w:hAnsi="Century Gothic"/>
          <w:i/>
          <w:iCs/>
          <w:spacing w:val="-2"/>
          <w:sz w:val="22"/>
          <w:szCs w:val="22"/>
        </w:rPr>
        <w:t>de</w:t>
      </w:r>
      <w:r w:rsidRPr="00B35C60">
        <w:rPr>
          <w:rFonts w:ascii="Century Gothic" w:hAnsi="Century Gothic"/>
          <w:i/>
          <w:iCs/>
          <w:spacing w:val="-9"/>
          <w:sz w:val="22"/>
          <w:szCs w:val="22"/>
        </w:rPr>
        <w:t xml:space="preserve"> </w:t>
      </w:r>
      <w:r w:rsidRPr="00B35C60">
        <w:rPr>
          <w:rFonts w:ascii="Century Gothic" w:hAnsi="Century Gothic"/>
          <w:i/>
          <w:iCs/>
          <w:spacing w:val="-2"/>
          <w:sz w:val="22"/>
          <w:szCs w:val="22"/>
        </w:rPr>
        <w:t>los</w:t>
      </w:r>
      <w:r w:rsidRPr="00B35C60">
        <w:rPr>
          <w:rFonts w:ascii="Century Gothic" w:hAnsi="Century Gothic"/>
          <w:i/>
          <w:iCs/>
          <w:spacing w:val="-8"/>
          <w:sz w:val="22"/>
          <w:szCs w:val="22"/>
        </w:rPr>
        <w:t xml:space="preserve"> </w:t>
      </w:r>
      <w:r w:rsidRPr="00B35C60">
        <w:rPr>
          <w:rFonts w:ascii="Century Gothic" w:hAnsi="Century Gothic"/>
          <w:i/>
          <w:iCs/>
          <w:spacing w:val="-2"/>
          <w:sz w:val="22"/>
          <w:szCs w:val="22"/>
        </w:rPr>
        <w:t>documentos</w:t>
      </w:r>
      <w:r w:rsidRPr="00B35C60">
        <w:rPr>
          <w:rFonts w:ascii="Century Gothic" w:hAnsi="Century Gothic"/>
          <w:i/>
          <w:iCs/>
          <w:spacing w:val="-8"/>
          <w:sz w:val="22"/>
          <w:szCs w:val="22"/>
        </w:rPr>
        <w:t xml:space="preserve"> </w:t>
      </w:r>
      <w:r w:rsidRPr="00B35C60">
        <w:rPr>
          <w:rFonts w:ascii="Century Gothic" w:hAnsi="Century Gothic"/>
          <w:i/>
          <w:iCs/>
          <w:spacing w:val="-2"/>
          <w:sz w:val="22"/>
          <w:szCs w:val="22"/>
        </w:rPr>
        <w:t>oficiales</w:t>
      </w:r>
      <w:r w:rsidRPr="00B35C60">
        <w:rPr>
          <w:rFonts w:ascii="Century Gothic" w:hAnsi="Century Gothic"/>
          <w:i/>
          <w:iCs/>
          <w:spacing w:val="-8"/>
          <w:sz w:val="22"/>
          <w:szCs w:val="22"/>
        </w:rPr>
        <w:t xml:space="preserve"> </w:t>
      </w:r>
      <w:r w:rsidRPr="00B35C60">
        <w:rPr>
          <w:rFonts w:ascii="Century Gothic" w:hAnsi="Century Gothic"/>
          <w:i/>
          <w:iCs/>
          <w:spacing w:val="-2"/>
          <w:sz w:val="22"/>
          <w:szCs w:val="22"/>
        </w:rPr>
        <w:t>que</w:t>
      </w:r>
      <w:r w:rsidRPr="00B35C60">
        <w:rPr>
          <w:rFonts w:ascii="Century Gothic" w:hAnsi="Century Gothic"/>
          <w:i/>
          <w:iCs/>
          <w:spacing w:val="-10"/>
          <w:sz w:val="22"/>
          <w:szCs w:val="22"/>
        </w:rPr>
        <w:t xml:space="preserve"> </w:t>
      </w:r>
      <w:r w:rsidRPr="00B35C60">
        <w:rPr>
          <w:rFonts w:ascii="Century Gothic" w:hAnsi="Century Gothic"/>
          <w:i/>
          <w:iCs/>
          <w:spacing w:val="-2"/>
          <w:sz w:val="22"/>
          <w:szCs w:val="22"/>
        </w:rPr>
        <w:t>dan</w:t>
      </w:r>
      <w:r w:rsidRPr="00B35C60">
        <w:rPr>
          <w:rFonts w:ascii="Century Gothic" w:hAnsi="Century Gothic"/>
          <w:i/>
          <w:iCs/>
          <w:spacing w:val="-9"/>
          <w:sz w:val="22"/>
          <w:szCs w:val="22"/>
        </w:rPr>
        <w:t xml:space="preserve"> </w:t>
      </w:r>
      <w:r w:rsidRPr="00B35C60">
        <w:rPr>
          <w:rFonts w:ascii="Century Gothic" w:hAnsi="Century Gothic"/>
          <w:i/>
          <w:iCs/>
          <w:spacing w:val="-2"/>
          <w:sz w:val="22"/>
          <w:szCs w:val="22"/>
        </w:rPr>
        <w:t>operatividad</w:t>
      </w:r>
      <w:r w:rsidRPr="00B35C60">
        <w:rPr>
          <w:rFonts w:ascii="Century Gothic" w:hAnsi="Century Gothic"/>
          <w:i/>
          <w:iCs/>
          <w:spacing w:val="-9"/>
          <w:sz w:val="22"/>
          <w:szCs w:val="22"/>
        </w:rPr>
        <w:t xml:space="preserve"> </w:t>
      </w:r>
      <w:r w:rsidRPr="00B35C60">
        <w:rPr>
          <w:rFonts w:ascii="Century Gothic" w:hAnsi="Century Gothic"/>
          <w:i/>
          <w:iCs/>
          <w:spacing w:val="-2"/>
          <w:sz w:val="22"/>
          <w:szCs w:val="22"/>
        </w:rPr>
        <w:t>a</w:t>
      </w:r>
      <w:r w:rsidRPr="00B35C60">
        <w:rPr>
          <w:rFonts w:ascii="Century Gothic" w:hAnsi="Century Gothic"/>
          <w:i/>
          <w:iCs/>
          <w:spacing w:val="-8"/>
          <w:sz w:val="22"/>
          <w:szCs w:val="22"/>
        </w:rPr>
        <w:t xml:space="preserve"> </w:t>
      </w:r>
      <w:r w:rsidRPr="00B35C60">
        <w:rPr>
          <w:rFonts w:ascii="Century Gothic" w:hAnsi="Century Gothic"/>
          <w:i/>
          <w:iCs/>
          <w:spacing w:val="-2"/>
          <w:sz w:val="22"/>
          <w:szCs w:val="22"/>
        </w:rPr>
        <w:t>la</w:t>
      </w:r>
      <w:r w:rsidRPr="00B35C60">
        <w:rPr>
          <w:rFonts w:ascii="Century Gothic" w:hAnsi="Century Gothic"/>
          <w:i/>
          <w:iCs/>
          <w:spacing w:val="-8"/>
          <w:sz w:val="22"/>
          <w:szCs w:val="22"/>
        </w:rPr>
        <w:t xml:space="preserve"> </w:t>
      </w:r>
      <w:r w:rsidRPr="00B35C60">
        <w:rPr>
          <w:rFonts w:ascii="Century Gothic" w:hAnsi="Century Gothic"/>
          <w:i/>
          <w:iCs/>
          <w:spacing w:val="-2"/>
          <w:sz w:val="22"/>
          <w:szCs w:val="22"/>
        </w:rPr>
        <w:t>estrategia,</w:t>
      </w:r>
      <w:r w:rsidRPr="00B35C60">
        <w:rPr>
          <w:rFonts w:ascii="Century Gothic" w:hAnsi="Century Gothic"/>
          <w:i/>
          <w:iCs/>
          <w:spacing w:val="-8"/>
          <w:sz w:val="22"/>
          <w:szCs w:val="22"/>
        </w:rPr>
        <w:t xml:space="preserve"> </w:t>
      </w:r>
      <w:r w:rsidRPr="00B35C60">
        <w:rPr>
          <w:rFonts w:ascii="Century Gothic" w:hAnsi="Century Gothic"/>
          <w:i/>
          <w:iCs/>
          <w:spacing w:val="-2"/>
          <w:sz w:val="22"/>
          <w:szCs w:val="22"/>
        </w:rPr>
        <w:t xml:space="preserve">como </w:t>
      </w:r>
      <w:r w:rsidRPr="00B35C60">
        <w:rPr>
          <w:rFonts w:ascii="Century Gothic" w:hAnsi="Century Gothic"/>
          <w:i/>
          <w:iCs/>
          <w:spacing w:val="-6"/>
          <w:sz w:val="22"/>
          <w:szCs w:val="22"/>
        </w:rPr>
        <w:t>un</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mero ejercicio</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de retórica.</w:t>
      </w:r>
      <w:r w:rsidRPr="00B35C60">
        <w:rPr>
          <w:rFonts w:ascii="Century Gothic" w:hAnsi="Century Gothic"/>
          <w:i/>
          <w:iCs/>
          <w:spacing w:val="-3"/>
          <w:sz w:val="22"/>
          <w:szCs w:val="22"/>
        </w:rPr>
        <w:t xml:space="preserve"> </w:t>
      </w:r>
      <w:r w:rsidRPr="00B35C60">
        <w:rPr>
          <w:rFonts w:ascii="Century Gothic" w:hAnsi="Century Gothic"/>
          <w:i/>
          <w:iCs/>
          <w:spacing w:val="-6"/>
          <w:sz w:val="22"/>
          <w:szCs w:val="22"/>
        </w:rPr>
        <w:t>Finaliza</w:t>
      </w:r>
      <w:r w:rsidRPr="00B35C60">
        <w:rPr>
          <w:rFonts w:ascii="Century Gothic" w:hAnsi="Century Gothic"/>
          <w:i/>
          <w:iCs/>
          <w:spacing w:val="-7"/>
          <w:sz w:val="22"/>
          <w:szCs w:val="22"/>
        </w:rPr>
        <w:t xml:space="preserve"> </w:t>
      </w:r>
      <w:r w:rsidRPr="00B35C60">
        <w:rPr>
          <w:rFonts w:ascii="Century Gothic" w:hAnsi="Century Gothic"/>
          <w:i/>
          <w:iCs/>
          <w:spacing w:val="-6"/>
          <w:sz w:val="22"/>
          <w:szCs w:val="22"/>
        </w:rPr>
        <w:t>con</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una serie</w:t>
      </w:r>
      <w:r w:rsidRPr="00B35C60">
        <w:rPr>
          <w:rFonts w:ascii="Century Gothic" w:hAnsi="Century Gothic"/>
          <w:i/>
          <w:iCs/>
          <w:spacing w:val="-7"/>
          <w:sz w:val="22"/>
          <w:szCs w:val="22"/>
        </w:rPr>
        <w:t xml:space="preserve"> </w:t>
      </w:r>
      <w:r w:rsidRPr="00B35C60">
        <w:rPr>
          <w:rFonts w:ascii="Century Gothic" w:hAnsi="Century Gothic"/>
          <w:i/>
          <w:iCs/>
          <w:spacing w:val="-6"/>
          <w:sz w:val="22"/>
          <w:szCs w:val="22"/>
        </w:rPr>
        <w:t>de resultados</w:t>
      </w:r>
      <w:r w:rsidRPr="00B35C60">
        <w:rPr>
          <w:rFonts w:ascii="Century Gothic" w:hAnsi="Century Gothic"/>
          <w:i/>
          <w:iCs/>
          <w:spacing w:val="-8"/>
          <w:sz w:val="22"/>
          <w:szCs w:val="22"/>
        </w:rPr>
        <w:t xml:space="preserve"> </w:t>
      </w:r>
      <w:r w:rsidRPr="00B35C60">
        <w:rPr>
          <w:rFonts w:ascii="Century Gothic" w:hAnsi="Century Gothic"/>
          <w:i/>
          <w:iCs/>
          <w:spacing w:val="-6"/>
          <w:sz w:val="22"/>
          <w:szCs w:val="22"/>
        </w:rPr>
        <w:t>e índices</w:t>
      </w:r>
      <w:r w:rsidRPr="00B35C60">
        <w:rPr>
          <w:rFonts w:ascii="Century Gothic" w:hAnsi="Century Gothic"/>
          <w:i/>
          <w:iCs/>
          <w:spacing w:val="-7"/>
          <w:sz w:val="22"/>
          <w:szCs w:val="22"/>
        </w:rPr>
        <w:t xml:space="preserve"> </w:t>
      </w:r>
      <w:r w:rsidRPr="00B35C60">
        <w:rPr>
          <w:rFonts w:ascii="Century Gothic" w:hAnsi="Century Gothic"/>
          <w:i/>
          <w:iCs/>
          <w:spacing w:val="-6"/>
          <w:sz w:val="22"/>
          <w:szCs w:val="22"/>
        </w:rPr>
        <w:t xml:space="preserve">con base </w:t>
      </w:r>
      <w:r w:rsidRPr="00B35C60">
        <w:rPr>
          <w:rFonts w:ascii="Century Gothic" w:hAnsi="Century Gothic"/>
          <w:i/>
          <w:iCs/>
          <w:spacing w:val="-2"/>
          <w:sz w:val="22"/>
          <w:szCs w:val="22"/>
        </w:rPr>
        <w:t>a</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la</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información</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oficial</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que</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proporcionó</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el</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gobierno</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sobre</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los</w:t>
      </w:r>
      <w:r w:rsidRPr="00B35C60">
        <w:rPr>
          <w:rFonts w:ascii="Century Gothic" w:hAnsi="Century Gothic"/>
          <w:i/>
          <w:iCs/>
          <w:spacing w:val="-13"/>
          <w:sz w:val="22"/>
          <w:szCs w:val="22"/>
        </w:rPr>
        <w:t xml:space="preserve"> </w:t>
      </w:r>
      <w:r w:rsidRPr="00B35C60">
        <w:rPr>
          <w:rFonts w:ascii="Century Gothic" w:hAnsi="Century Gothic"/>
          <w:i/>
          <w:iCs/>
          <w:spacing w:val="-2"/>
          <w:sz w:val="22"/>
          <w:szCs w:val="22"/>
        </w:rPr>
        <w:t>programas</w:t>
      </w:r>
      <w:r w:rsidRPr="00B35C60">
        <w:rPr>
          <w:rFonts w:ascii="Century Gothic" w:hAnsi="Century Gothic"/>
          <w:i/>
          <w:iCs/>
          <w:spacing w:val="-12"/>
          <w:sz w:val="22"/>
          <w:szCs w:val="22"/>
        </w:rPr>
        <w:t xml:space="preserve"> </w:t>
      </w:r>
      <w:r w:rsidRPr="00B35C60">
        <w:rPr>
          <w:rFonts w:ascii="Century Gothic" w:hAnsi="Century Gothic"/>
          <w:i/>
          <w:iCs/>
          <w:spacing w:val="-2"/>
          <w:sz w:val="22"/>
          <w:szCs w:val="22"/>
        </w:rPr>
        <w:t>sociales.</w:t>
      </w:r>
    </w:p>
    <w:p w14:paraId="0038E879" w14:textId="77777777" w:rsidR="00D16089" w:rsidRPr="00B35C60" w:rsidRDefault="00D16089" w:rsidP="008E69BC">
      <w:pPr>
        <w:pStyle w:val="Textoindependiente"/>
        <w:spacing w:before="152"/>
        <w:ind w:left="1182" w:right="333"/>
        <w:jc w:val="both"/>
        <w:rPr>
          <w:rFonts w:ascii="Century Gothic" w:hAnsi="Century Gothic"/>
          <w:i/>
          <w:iCs/>
          <w:spacing w:val="-2"/>
          <w:sz w:val="22"/>
          <w:szCs w:val="22"/>
        </w:rPr>
      </w:pPr>
      <w:r w:rsidRPr="00B35C60">
        <w:rPr>
          <w:rFonts w:ascii="Century Gothic" w:hAnsi="Century Gothic"/>
          <w:i/>
          <w:iCs/>
          <w:spacing w:val="-2"/>
          <w:sz w:val="22"/>
          <w:szCs w:val="22"/>
        </w:rPr>
        <w:t>Las conclusiones y recomendaciones que presenta el informe más allá de hacer mejoras a la estrategia de GTO Contigo Sí, muestra la urgente necesidad de contar con mecanismos de evaluación de impacto de las políticas públicas para el desarrollo social.</w:t>
      </w:r>
    </w:p>
    <w:p w14:paraId="37CA8171" w14:textId="77777777" w:rsidR="00D16089" w:rsidRPr="00B35C60" w:rsidRDefault="00D16089" w:rsidP="008E69BC">
      <w:pPr>
        <w:pStyle w:val="Textoindependiente"/>
        <w:spacing w:before="145"/>
        <w:ind w:left="1182" w:right="333"/>
        <w:jc w:val="both"/>
        <w:rPr>
          <w:rFonts w:ascii="Century Gothic" w:hAnsi="Century Gothic"/>
          <w:i/>
          <w:iCs/>
          <w:spacing w:val="-2"/>
          <w:sz w:val="22"/>
          <w:szCs w:val="22"/>
        </w:rPr>
      </w:pPr>
      <w:r w:rsidRPr="00B35C60">
        <w:rPr>
          <w:rFonts w:ascii="Century Gothic" w:hAnsi="Century Gothic"/>
          <w:i/>
          <w:iCs/>
          <w:spacing w:val="-2"/>
          <w:sz w:val="22"/>
          <w:szCs w:val="22"/>
        </w:rPr>
        <w:t>El informe no hace referencia a la situación de pobreza de los habitantes de Guanajuato y, si bien, el objetivo buscó validar la consistencia de la estrategia, queda a deber en el tema de percepción, dado que la aplicación y los resultados de 120 encuestas en 6 “Centros Impulso”, son solo indicativas y no pueden ser usadas como referente en estricto sentido metodológico y estadístico para evaluar la GTO Contigo Si.</w:t>
      </w:r>
    </w:p>
    <w:p w14:paraId="16F5643C" w14:textId="7A0D021D" w:rsidR="00B35C60" w:rsidRPr="00B35C60" w:rsidRDefault="00D16089" w:rsidP="00B35C60">
      <w:pPr>
        <w:pStyle w:val="Textoindependiente"/>
        <w:spacing w:before="155"/>
        <w:ind w:left="1182" w:right="333"/>
        <w:jc w:val="both"/>
        <w:rPr>
          <w:rFonts w:ascii="Century Gothic" w:hAnsi="Century Gothic"/>
          <w:i/>
          <w:iCs/>
          <w:spacing w:val="-2"/>
          <w:sz w:val="22"/>
          <w:szCs w:val="22"/>
        </w:rPr>
      </w:pPr>
      <w:r w:rsidRPr="00B35C60">
        <w:rPr>
          <w:rFonts w:ascii="Century Gothic" w:hAnsi="Century Gothic"/>
          <w:i/>
          <w:iCs/>
          <w:spacing w:val="-2"/>
          <w:sz w:val="22"/>
          <w:szCs w:val="22"/>
        </w:rPr>
        <w:t>En síntesis, esta evaluación contiene información importante pero no contribuye al esclarecimiento del impacto de política social y sus estrategias en materia de pobreza.</w:t>
      </w:r>
      <w:r w:rsidR="00B35C60">
        <w:rPr>
          <w:rFonts w:ascii="Century Gothic" w:hAnsi="Century Gothic"/>
          <w:i/>
          <w:iCs/>
          <w:spacing w:val="-2"/>
          <w:sz w:val="22"/>
          <w:szCs w:val="22"/>
        </w:rPr>
        <w:t>”</w:t>
      </w:r>
    </w:p>
    <w:p w14:paraId="5E412B45" w14:textId="77777777" w:rsidR="008E69BC" w:rsidRPr="00D16089" w:rsidRDefault="008E69BC" w:rsidP="008E69BC">
      <w:pPr>
        <w:pStyle w:val="Textoindependiente"/>
        <w:spacing w:before="155"/>
        <w:ind w:left="1182" w:right="333"/>
        <w:jc w:val="both"/>
        <w:rPr>
          <w:rFonts w:ascii="Century Gothic" w:hAnsi="Century Gothic"/>
          <w:spacing w:val="-2"/>
          <w:sz w:val="22"/>
          <w:szCs w:val="22"/>
        </w:rPr>
      </w:pPr>
    </w:p>
    <w:p w14:paraId="6E32CA5C" w14:textId="57DAD02D" w:rsidR="00102FBD" w:rsidRDefault="00102FBD" w:rsidP="00914291">
      <w:pPr>
        <w:pStyle w:val="Sinespaciado"/>
        <w:numPr>
          <w:ilvl w:val="0"/>
          <w:numId w:val="8"/>
        </w:numPr>
        <w:spacing w:line="276" w:lineRule="auto"/>
        <w:ind w:left="426" w:firstLine="425"/>
        <w:jc w:val="both"/>
        <w:rPr>
          <w:rFonts w:ascii="Century Gothic" w:hAnsi="Century Gothic" w:cs="Arial"/>
          <w:b/>
          <w:sz w:val="24"/>
          <w:szCs w:val="24"/>
        </w:rPr>
      </w:pPr>
      <w:r w:rsidRPr="00CE58B8">
        <w:rPr>
          <w:rFonts w:ascii="Century Gothic" w:hAnsi="Century Gothic" w:cs="Arial"/>
          <w:b/>
          <w:sz w:val="24"/>
          <w:szCs w:val="24"/>
        </w:rPr>
        <w:t xml:space="preserve">Análisis de la propuesta </w:t>
      </w:r>
    </w:p>
    <w:p w14:paraId="47A16C16" w14:textId="77777777" w:rsidR="00744639" w:rsidRDefault="00744639" w:rsidP="00744639">
      <w:pPr>
        <w:pStyle w:val="Sinespaciado"/>
        <w:spacing w:line="276" w:lineRule="auto"/>
        <w:ind w:left="426"/>
        <w:jc w:val="both"/>
        <w:rPr>
          <w:rFonts w:ascii="Century Gothic" w:hAnsi="Century Gothic" w:cs="Arial"/>
          <w:b/>
          <w:sz w:val="24"/>
          <w:szCs w:val="24"/>
        </w:rPr>
      </w:pPr>
    </w:p>
    <w:p w14:paraId="78BDCC14" w14:textId="176D2F47" w:rsidR="009C75FC" w:rsidRDefault="009C75FC"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Dentro de las consideraciones incluidas en la propuesta que se dictamina, se señala que nadie puede regate</w:t>
      </w:r>
      <w:r w:rsidR="004757A5">
        <w:rPr>
          <w:rFonts w:ascii="Century Gothic" w:eastAsiaTheme="minorHAnsi" w:hAnsi="Century Gothic" w:cs="Arial"/>
          <w:sz w:val="24"/>
          <w:szCs w:val="24"/>
          <w:lang w:eastAsia="en-US"/>
        </w:rPr>
        <w:t>ar</w:t>
      </w:r>
      <w:r>
        <w:rPr>
          <w:rFonts w:ascii="Century Gothic" w:eastAsiaTheme="minorHAnsi" w:hAnsi="Century Gothic" w:cs="Arial"/>
          <w:sz w:val="24"/>
          <w:szCs w:val="24"/>
          <w:lang w:eastAsia="en-US"/>
        </w:rPr>
        <w:t xml:space="preserve"> la importancia de contar con políticas bien evaluadas pues esto facilita reconocer los aciertos y dificultades que toda administración pública enfrenta.</w:t>
      </w:r>
    </w:p>
    <w:p w14:paraId="668D5BCF" w14:textId="77777777" w:rsidR="009C75FC" w:rsidRDefault="009C75FC" w:rsidP="008C3C71">
      <w:pPr>
        <w:pStyle w:val="Sinespaciado"/>
        <w:spacing w:line="276" w:lineRule="auto"/>
        <w:ind w:left="426" w:firstLine="425"/>
        <w:jc w:val="both"/>
        <w:rPr>
          <w:rFonts w:ascii="Century Gothic" w:eastAsiaTheme="minorHAnsi" w:hAnsi="Century Gothic" w:cs="Arial"/>
          <w:sz w:val="24"/>
          <w:szCs w:val="24"/>
          <w:lang w:eastAsia="en-US"/>
        </w:rPr>
      </w:pPr>
    </w:p>
    <w:p w14:paraId="46EFBD04" w14:textId="52BB6EEA" w:rsidR="009C75FC" w:rsidRDefault="009C75FC"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Para quienes integramos esta Comisión</w:t>
      </w:r>
      <w:r w:rsidR="004757A5">
        <w:rPr>
          <w:rFonts w:ascii="Century Gothic" w:eastAsiaTheme="minorHAnsi" w:hAnsi="Century Gothic" w:cs="Arial"/>
          <w:sz w:val="24"/>
          <w:szCs w:val="24"/>
          <w:lang w:eastAsia="en-US"/>
        </w:rPr>
        <w:t>,</w:t>
      </w:r>
      <w:r>
        <w:rPr>
          <w:rFonts w:ascii="Century Gothic" w:eastAsiaTheme="minorHAnsi" w:hAnsi="Century Gothic" w:cs="Arial"/>
          <w:sz w:val="24"/>
          <w:szCs w:val="24"/>
          <w:lang w:eastAsia="en-US"/>
        </w:rPr>
        <w:t xml:space="preserve"> el seguimiento y evaluación de las políticas públicas es fase fundamental para la toma de decisiones en el quehacer público. Permite revisar aquellos elementos de la política que lograron los fines previstos y provee elementos para mejorar aquellas áreas de oportunidad que deriven de la implementación de decisiones de gobierno. </w:t>
      </w:r>
    </w:p>
    <w:p w14:paraId="004952AD" w14:textId="77777777" w:rsidR="004C4B5C" w:rsidRDefault="004C4B5C" w:rsidP="008C3C71">
      <w:pPr>
        <w:pStyle w:val="Sinespaciado"/>
        <w:spacing w:line="276" w:lineRule="auto"/>
        <w:ind w:left="426" w:firstLine="425"/>
        <w:jc w:val="both"/>
        <w:rPr>
          <w:rFonts w:ascii="Century Gothic" w:eastAsiaTheme="minorHAnsi" w:hAnsi="Century Gothic" w:cs="Arial"/>
          <w:sz w:val="24"/>
          <w:szCs w:val="24"/>
          <w:lang w:eastAsia="en-US"/>
        </w:rPr>
      </w:pPr>
    </w:p>
    <w:p w14:paraId="3D5B9F8F" w14:textId="784BC364" w:rsidR="004C4B5C" w:rsidRDefault="004C4B5C"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En concordancia con esos mismos objetivos coincidimos, asimismo, con los considerandos que sirvieron de base para expedir el Reglamento de la Ley de Desarrollo Social y Humano para el Estado y los Municipios de Guanajuato en materia de Monitoreo y Evaluación de Programas Sociales</w:t>
      </w:r>
      <w:r w:rsidR="00585E47">
        <w:rPr>
          <w:rStyle w:val="Refdenotaalpie"/>
          <w:rFonts w:ascii="Century Gothic" w:eastAsiaTheme="minorHAnsi" w:hAnsi="Century Gothic" w:cs="Arial"/>
          <w:sz w:val="24"/>
          <w:szCs w:val="24"/>
          <w:lang w:eastAsia="en-US"/>
        </w:rPr>
        <w:footnoteReference w:id="1"/>
      </w:r>
      <w:r>
        <w:rPr>
          <w:rFonts w:ascii="Century Gothic" w:eastAsiaTheme="minorHAnsi" w:hAnsi="Century Gothic" w:cs="Arial"/>
          <w:sz w:val="24"/>
          <w:szCs w:val="24"/>
          <w:lang w:eastAsia="en-US"/>
        </w:rPr>
        <w:t>, que subrayan como el fin principal de la evaluación de los programas sociales la generación de aprendizajes y enseñanzas, al aportar experiencia para lograr políticas y programas sociales más efectivos, eficaces, eficientes y sustentables en el tiempo.</w:t>
      </w:r>
    </w:p>
    <w:p w14:paraId="34B02CD3" w14:textId="77777777" w:rsidR="004C4B5C" w:rsidRDefault="004C4B5C" w:rsidP="008C3C71">
      <w:pPr>
        <w:pStyle w:val="Sinespaciado"/>
        <w:spacing w:line="276" w:lineRule="auto"/>
        <w:ind w:left="426" w:firstLine="425"/>
        <w:jc w:val="both"/>
        <w:rPr>
          <w:rFonts w:ascii="Century Gothic" w:eastAsiaTheme="minorHAnsi" w:hAnsi="Century Gothic" w:cs="Arial"/>
          <w:sz w:val="24"/>
          <w:szCs w:val="24"/>
          <w:lang w:eastAsia="en-US"/>
        </w:rPr>
      </w:pPr>
    </w:p>
    <w:p w14:paraId="54E34E98" w14:textId="0CD3C4BC" w:rsidR="004C4B5C" w:rsidRDefault="004C4B5C"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El precitado ordenamiento establece con detalle las atribuciones para tener una base única que dé la directriz para la evaluación de los programas sociales estatales. </w:t>
      </w:r>
    </w:p>
    <w:p w14:paraId="2E199B7E" w14:textId="77777777" w:rsidR="004C4B5C" w:rsidRDefault="004C4B5C" w:rsidP="008C3C71">
      <w:pPr>
        <w:pStyle w:val="Sinespaciado"/>
        <w:spacing w:line="276" w:lineRule="auto"/>
        <w:ind w:left="426" w:firstLine="425"/>
        <w:jc w:val="both"/>
        <w:rPr>
          <w:rFonts w:ascii="Century Gothic" w:eastAsiaTheme="minorHAnsi" w:hAnsi="Century Gothic" w:cs="Arial"/>
          <w:sz w:val="24"/>
          <w:szCs w:val="24"/>
          <w:lang w:eastAsia="en-US"/>
        </w:rPr>
      </w:pPr>
    </w:p>
    <w:p w14:paraId="7A5668DE" w14:textId="3164826D" w:rsidR="004C4B5C" w:rsidRDefault="004C4B5C"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Asimismo, el citado Reglamento refiere el objeto de los procesos de evaluación</w:t>
      </w:r>
      <w:r w:rsidR="00035EF1">
        <w:rPr>
          <w:rFonts w:ascii="Century Gothic" w:eastAsiaTheme="minorHAnsi" w:hAnsi="Century Gothic" w:cs="Arial"/>
          <w:sz w:val="24"/>
          <w:szCs w:val="24"/>
          <w:lang w:eastAsia="en-US"/>
        </w:rPr>
        <w:t>, l</w:t>
      </w:r>
      <w:r>
        <w:rPr>
          <w:rFonts w:ascii="Century Gothic" w:eastAsiaTheme="minorHAnsi" w:hAnsi="Century Gothic" w:cs="Arial"/>
          <w:sz w:val="24"/>
          <w:szCs w:val="24"/>
          <w:lang w:eastAsia="en-US"/>
        </w:rPr>
        <w:t xml:space="preserve">a vinculación con el sistema de evaluación de </w:t>
      </w:r>
      <w:r w:rsidR="00035EF1">
        <w:rPr>
          <w:rFonts w:ascii="Century Gothic" w:eastAsiaTheme="minorHAnsi" w:hAnsi="Century Gothic" w:cs="Arial"/>
          <w:sz w:val="24"/>
          <w:szCs w:val="24"/>
          <w:lang w:eastAsia="en-US"/>
        </w:rPr>
        <w:t xml:space="preserve">desempeño y dedica un capítulo específico a la evaluación de los programas sociales estatales cuyo objeto es proporcionar información basada en evidencia fidedigna y útil para el cumplimiento eficaz, eficiente y transparente de sus fines y objetivos. </w:t>
      </w:r>
    </w:p>
    <w:p w14:paraId="3608EAE7" w14:textId="77777777" w:rsidR="00035EF1" w:rsidRDefault="00035EF1" w:rsidP="008C3C71">
      <w:pPr>
        <w:pStyle w:val="Sinespaciado"/>
        <w:spacing w:line="276" w:lineRule="auto"/>
        <w:ind w:left="426" w:firstLine="425"/>
        <w:jc w:val="both"/>
        <w:rPr>
          <w:rFonts w:ascii="Century Gothic" w:eastAsiaTheme="minorHAnsi" w:hAnsi="Century Gothic" w:cs="Arial"/>
          <w:sz w:val="24"/>
          <w:szCs w:val="24"/>
          <w:lang w:eastAsia="en-US"/>
        </w:rPr>
      </w:pPr>
    </w:p>
    <w:p w14:paraId="204F4814" w14:textId="022546FB" w:rsidR="00035EF1" w:rsidRDefault="00035EF1"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Dentro de las previsiones en el capítulo de evaluación establece una tipología que integra, entre otras:</w:t>
      </w:r>
    </w:p>
    <w:p w14:paraId="644493CA" w14:textId="77777777" w:rsidR="00035EF1" w:rsidRDefault="00035EF1" w:rsidP="00744639">
      <w:pPr>
        <w:pStyle w:val="Sinespaciado"/>
        <w:spacing w:line="276" w:lineRule="auto"/>
        <w:ind w:left="426"/>
        <w:jc w:val="both"/>
        <w:rPr>
          <w:rFonts w:ascii="Century Gothic" w:eastAsiaTheme="minorHAnsi" w:hAnsi="Century Gothic" w:cs="Arial"/>
          <w:sz w:val="24"/>
          <w:szCs w:val="24"/>
          <w:lang w:eastAsia="en-US"/>
        </w:rPr>
      </w:pPr>
    </w:p>
    <w:p w14:paraId="692DB990" w14:textId="61EDF102" w:rsidR="00035EF1" w:rsidRPr="00711717" w:rsidRDefault="00035EF1" w:rsidP="008C3C71">
      <w:pPr>
        <w:pStyle w:val="Sinespaciado"/>
        <w:spacing w:line="276" w:lineRule="auto"/>
        <w:ind w:left="851" w:right="474"/>
        <w:jc w:val="both"/>
        <w:rPr>
          <w:rFonts w:ascii="Century Gothic" w:eastAsiaTheme="minorHAnsi" w:hAnsi="Century Gothic" w:cs="Arial"/>
          <w:i/>
          <w:iCs/>
          <w:lang w:eastAsia="en-US"/>
        </w:rPr>
      </w:pPr>
      <w:r w:rsidRPr="00711717">
        <w:rPr>
          <w:rFonts w:ascii="Century Gothic" w:eastAsiaTheme="minorHAnsi" w:hAnsi="Century Gothic" w:cs="Arial"/>
          <w:i/>
          <w:iCs/>
          <w:lang w:eastAsia="en-US"/>
        </w:rPr>
        <w:t xml:space="preserve">“Evaluación de impacto: Es aquella que identifica con metodologías rigurosas el cambio en los indicadores a nivel de resultados atribuible a la ejecución del programa social estatal”. </w:t>
      </w:r>
    </w:p>
    <w:p w14:paraId="6E788EA9" w14:textId="77777777" w:rsidR="00035EF1" w:rsidRDefault="00035EF1" w:rsidP="00744639">
      <w:pPr>
        <w:pStyle w:val="Sinespaciado"/>
        <w:spacing w:line="276" w:lineRule="auto"/>
        <w:ind w:left="426"/>
        <w:jc w:val="both"/>
        <w:rPr>
          <w:rFonts w:ascii="Century Gothic" w:eastAsiaTheme="minorHAnsi" w:hAnsi="Century Gothic" w:cs="Arial"/>
          <w:sz w:val="24"/>
          <w:szCs w:val="24"/>
          <w:lang w:eastAsia="en-US"/>
        </w:rPr>
      </w:pPr>
    </w:p>
    <w:p w14:paraId="1D2C9DA2" w14:textId="77777777" w:rsidR="00711717" w:rsidRDefault="00035EF1"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Se establecen en </w:t>
      </w:r>
      <w:r w:rsidR="00711717">
        <w:rPr>
          <w:rFonts w:ascii="Century Gothic" w:eastAsiaTheme="minorHAnsi" w:hAnsi="Century Gothic" w:cs="Arial"/>
          <w:sz w:val="24"/>
          <w:szCs w:val="24"/>
          <w:lang w:eastAsia="en-US"/>
        </w:rPr>
        <w:t>la misma norma</w:t>
      </w:r>
      <w:r>
        <w:rPr>
          <w:rFonts w:ascii="Century Gothic" w:eastAsiaTheme="minorHAnsi" w:hAnsi="Century Gothic" w:cs="Arial"/>
          <w:sz w:val="24"/>
          <w:szCs w:val="24"/>
          <w:lang w:eastAsia="en-US"/>
        </w:rPr>
        <w:t xml:space="preserve"> de referencia la realización de un Plan Anual de Evaluación, identificando </w:t>
      </w:r>
      <w:r w:rsidR="00711717">
        <w:rPr>
          <w:rFonts w:ascii="Century Gothic" w:eastAsiaTheme="minorHAnsi" w:hAnsi="Century Gothic" w:cs="Arial"/>
          <w:sz w:val="24"/>
          <w:szCs w:val="24"/>
          <w:lang w:eastAsia="en-US"/>
        </w:rPr>
        <w:t xml:space="preserve">la vinculación con los procesos de programación-presupuestación, plazos y publicación </w:t>
      </w:r>
      <w:proofErr w:type="gramStart"/>
      <w:r w:rsidR="00711717">
        <w:rPr>
          <w:rFonts w:ascii="Century Gothic" w:eastAsiaTheme="minorHAnsi" w:hAnsi="Century Gothic" w:cs="Arial"/>
          <w:sz w:val="24"/>
          <w:szCs w:val="24"/>
          <w:lang w:eastAsia="en-US"/>
        </w:rPr>
        <w:t>del mismo</w:t>
      </w:r>
      <w:proofErr w:type="gramEnd"/>
      <w:r w:rsidR="00711717">
        <w:rPr>
          <w:rFonts w:ascii="Century Gothic" w:eastAsiaTheme="minorHAnsi" w:hAnsi="Century Gothic" w:cs="Arial"/>
          <w:sz w:val="24"/>
          <w:szCs w:val="24"/>
          <w:lang w:eastAsia="en-US"/>
        </w:rPr>
        <w:t>.</w:t>
      </w:r>
    </w:p>
    <w:p w14:paraId="71D64531" w14:textId="77777777" w:rsidR="00711717" w:rsidRDefault="00711717" w:rsidP="008C3C71">
      <w:pPr>
        <w:pStyle w:val="Sinespaciado"/>
        <w:spacing w:line="276" w:lineRule="auto"/>
        <w:ind w:left="426" w:firstLine="425"/>
        <w:jc w:val="both"/>
        <w:rPr>
          <w:rFonts w:ascii="Century Gothic" w:eastAsiaTheme="minorHAnsi" w:hAnsi="Century Gothic" w:cs="Arial"/>
          <w:sz w:val="24"/>
          <w:szCs w:val="24"/>
          <w:lang w:eastAsia="en-US"/>
        </w:rPr>
      </w:pPr>
    </w:p>
    <w:p w14:paraId="3EECF707" w14:textId="77777777" w:rsidR="00711717" w:rsidRDefault="00711717"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Quienes integramos esta Comisión estimamos que es preciso apegarse a las disposiciones vigentes las cuales establecen el marco de </w:t>
      </w:r>
      <w:r>
        <w:rPr>
          <w:rFonts w:ascii="Century Gothic" w:eastAsiaTheme="minorHAnsi" w:hAnsi="Century Gothic" w:cs="Arial"/>
          <w:sz w:val="24"/>
          <w:szCs w:val="24"/>
          <w:lang w:eastAsia="en-US"/>
        </w:rPr>
        <w:lastRenderedPageBreak/>
        <w:t xml:space="preserve">referencia aplicable en la entidad para llevar a cabo los ejercicios de evaluación de la política de desarrollo social y sus programas. </w:t>
      </w:r>
    </w:p>
    <w:p w14:paraId="2A18476C" w14:textId="77777777" w:rsidR="00585E47" w:rsidRDefault="00585E47" w:rsidP="008C3C71">
      <w:pPr>
        <w:pStyle w:val="Sinespaciado"/>
        <w:spacing w:line="276" w:lineRule="auto"/>
        <w:ind w:left="426" w:firstLine="425"/>
        <w:jc w:val="both"/>
        <w:rPr>
          <w:rFonts w:ascii="Century Gothic" w:eastAsiaTheme="minorHAnsi" w:hAnsi="Century Gothic" w:cs="Arial"/>
          <w:sz w:val="24"/>
          <w:szCs w:val="24"/>
          <w:lang w:eastAsia="en-US"/>
        </w:rPr>
      </w:pPr>
    </w:p>
    <w:p w14:paraId="01816E00" w14:textId="77777777" w:rsidR="0086679A" w:rsidRDefault="0086679A"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En ese alcance, dentro del Reglamento multicitado están contenidos los alcances, procesos, procedimientos y plazos que se deben seguir para la evaluación. </w:t>
      </w:r>
    </w:p>
    <w:p w14:paraId="20B058A9" w14:textId="77777777" w:rsidR="0086679A" w:rsidRDefault="0086679A" w:rsidP="008C3C71">
      <w:pPr>
        <w:pStyle w:val="Sinespaciado"/>
        <w:spacing w:line="276" w:lineRule="auto"/>
        <w:ind w:left="426" w:firstLine="425"/>
        <w:jc w:val="both"/>
        <w:rPr>
          <w:rFonts w:ascii="Century Gothic" w:eastAsiaTheme="minorHAnsi" w:hAnsi="Century Gothic" w:cs="Arial"/>
          <w:sz w:val="24"/>
          <w:szCs w:val="24"/>
          <w:lang w:eastAsia="en-US"/>
        </w:rPr>
      </w:pPr>
    </w:p>
    <w:p w14:paraId="06200B0A" w14:textId="27EA2F06" w:rsidR="0086679A" w:rsidRDefault="0086679A"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Por ello, es ese el marco de referencia obligado para la atención de las consideraciones que se comparten en la propuesta sujeta de análisis. </w:t>
      </w:r>
    </w:p>
    <w:p w14:paraId="53225AE7" w14:textId="6E3F1360" w:rsidR="00035EF1" w:rsidRDefault="00711717" w:rsidP="008C3C71">
      <w:pPr>
        <w:pStyle w:val="Sinespaciado"/>
        <w:spacing w:line="276" w:lineRule="auto"/>
        <w:ind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 </w:t>
      </w:r>
    </w:p>
    <w:p w14:paraId="50C4C3BC" w14:textId="08B95037" w:rsidR="006C37EC" w:rsidRDefault="00251108"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Para el análisis de la propuesta de referencia </w:t>
      </w:r>
      <w:r w:rsidR="006C37EC">
        <w:rPr>
          <w:rFonts w:ascii="Century Gothic" w:eastAsiaTheme="minorHAnsi" w:hAnsi="Century Gothic" w:cs="Arial"/>
          <w:sz w:val="24"/>
          <w:szCs w:val="24"/>
          <w:lang w:eastAsia="en-US"/>
        </w:rPr>
        <w:t xml:space="preserve">quienes </w:t>
      </w:r>
      <w:r>
        <w:rPr>
          <w:rFonts w:ascii="Century Gothic" w:eastAsiaTheme="minorHAnsi" w:hAnsi="Century Gothic" w:cs="Arial"/>
          <w:sz w:val="24"/>
          <w:szCs w:val="24"/>
          <w:lang w:eastAsia="en-US"/>
        </w:rPr>
        <w:t>integramos esta Comisión revisamos</w:t>
      </w:r>
      <w:r w:rsidR="0086679A">
        <w:rPr>
          <w:rFonts w:ascii="Century Gothic" w:eastAsiaTheme="minorHAnsi" w:hAnsi="Century Gothic" w:cs="Arial"/>
          <w:sz w:val="24"/>
          <w:szCs w:val="24"/>
          <w:lang w:eastAsia="en-US"/>
        </w:rPr>
        <w:t>, asimismo, las publicaciones más recientes de CONEVAL sobre la condición que guardan los avances en la construcción de un sistema de monitore</w:t>
      </w:r>
      <w:r w:rsidR="006C37EC">
        <w:rPr>
          <w:rFonts w:ascii="Century Gothic" w:eastAsiaTheme="minorHAnsi" w:hAnsi="Century Gothic" w:cs="Arial"/>
          <w:sz w:val="24"/>
          <w:szCs w:val="24"/>
          <w:lang w:eastAsia="en-US"/>
        </w:rPr>
        <w:t>o</w:t>
      </w:r>
      <w:r w:rsidR="0086679A">
        <w:rPr>
          <w:rFonts w:ascii="Century Gothic" w:eastAsiaTheme="minorHAnsi" w:hAnsi="Century Gothic" w:cs="Arial"/>
          <w:sz w:val="24"/>
          <w:szCs w:val="24"/>
          <w:lang w:eastAsia="en-US"/>
        </w:rPr>
        <w:t xml:space="preserve"> y evaluación en las entidades federativas. </w:t>
      </w:r>
    </w:p>
    <w:p w14:paraId="3D1A64D3" w14:textId="77777777" w:rsidR="006C37EC" w:rsidRDefault="006C37EC" w:rsidP="008C3C71">
      <w:pPr>
        <w:pStyle w:val="Sinespaciado"/>
        <w:spacing w:line="276" w:lineRule="auto"/>
        <w:ind w:left="426" w:firstLine="425"/>
        <w:jc w:val="both"/>
        <w:rPr>
          <w:rFonts w:ascii="Century Gothic" w:eastAsiaTheme="minorHAnsi" w:hAnsi="Century Gothic" w:cs="Arial"/>
          <w:sz w:val="24"/>
          <w:szCs w:val="24"/>
          <w:lang w:eastAsia="en-US"/>
        </w:rPr>
      </w:pPr>
    </w:p>
    <w:p w14:paraId="31ADDBB2" w14:textId="0C4696C4" w:rsidR="00251108" w:rsidRDefault="0086679A"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De acuerdo con este organismo </w:t>
      </w:r>
      <w:r w:rsidR="00BC59FE">
        <w:rPr>
          <w:rFonts w:ascii="Century Gothic" w:eastAsiaTheme="minorHAnsi" w:hAnsi="Century Gothic" w:cs="Arial"/>
          <w:sz w:val="24"/>
          <w:szCs w:val="24"/>
          <w:lang w:eastAsia="en-US"/>
        </w:rPr>
        <w:t xml:space="preserve">federal, </w:t>
      </w:r>
      <w:r w:rsidR="00BC59FE" w:rsidRPr="0086679A">
        <w:rPr>
          <w:rFonts w:ascii="Century Gothic" w:eastAsiaTheme="minorHAnsi" w:hAnsi="Century Gothic" w:cs="Arial"/>
          <w:sz w:val="24"/>
          <w:szCs w:val="24"/>
          <w:lang w:eastAsia="en-US"/>
        </w:rPr>
        <w:t>en</w:t>
      </w:r>
      <w:r w:rsidR="006C37EC">
        <w:rPr>
          <w:rFonts w:ascii="Century Gothic" w:eastAsiaTheme="minorHAnsi" w:hAnsi="Century Gothic" w:cs="Arial"/>
          <w:sz w:val="24"/>
          <w:szCs w:val="24"/>
          <w:lang w:eastAsia="en-US"/>
        </w:rPr>
        <w:t xml:space="preserve"> </w:t>
      </w:r>
      <w:r w:rsidRPr="0086679A">
        <w:rPr>
          <w:rFonts w:ascii="Century Gothic" w:eastAsiaTheme="minorHAnsi" w:hAnsi="Century Gothic" w:cs="Arial"/>
          <w:sz w:val="24"/>
          <w:szCs w:val="24"/>
          <w:lang w:eastAsia="en-US"/>
        </w:rPr>
        <w:t>la experiencia estatal de México se identifican cinco factores que favorecen o restringen la implementación de un sistema de monitoreo y evaluación eficaz: a) marco normativo, b) arreglo institucional, c) entorno político y social, d) capacidades institucionales y e) la vinculación con otros actores</w:t>
      </w:r>
    </w:p>
    <w:p w14:paraId="46DC30CB" w14:textId="77777777" w:rsidR="000D5A35" w:rsidRDefault="000D5A35" w:rsidP="008C3C71">
      <w:pPr>
        <w:pStyle w:val="Sinespaciado"/>
        <w:spacing w:line="276" w:lineRule="auto"/>
        <w:ind w:firstLine="425"/>
        <w:jc w:val="both"/>
        <w:rPr>
          <w:rFonts w:ascii="Century Gothic" w:eastAsiaTheme="minorHAnsi" w:hAnsi="Century Gothic" w:cs="Arial"/>
          <w:sz w:val="24"/>
          <w:szCs w:val="24"/>
          <w:lang w:eastAsia="en-US"/>
        </w:rPr>
      </w:pPr>
    </w:p>
    <w:p w14:paraId="604D73AD" w14:textId="7F6A62A7" w:rsidR="00A63BB4" w:rsidRDefault="0054120A" w:rsidP="008C3C71">
      <w:pPr>
        <w:pStyle w:val="Sinespaciado"/>
        <w:spacing w:line="276" w:lineRule="auto"/>
        <w:ind w:left="426" w:firstLine="425"/>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Para el caso específico de cada estado del país, </w:t>
      </w:r>
      <w:r w:rsidR="00A63BB4">
        <w:rPr>
          <w:rFonts w:ascii="Century Gothic" w:eastAsiaTheme="minorHAnsi" w:hAnsi="Century Gothic" w:cs="Arial"/>
          <w:sz w:val="24"/>
          <w:szCs w:val="24"/>
          <w:lang w:eastAsia="en-US"/>
        </w:rPr>
        <w:t>CONEVAL publicó el “</w:t>
      </w:r>
      <w:r w:rsidR="00A63BB4" w:rsidRPr="00FF2778">
        <w:rPr>
          <w:rFonts w:ascii="Century Gothic" w:eastAsiaTheme="minorHAnsi" w:hAnsi="Century Gothic" w:cs="Arial"/>
          <w:b/>
          <w:bCs/>
          <w:i/>
          <w:iCs/>
          <w:sz w:val="24"/>
          <w:szCs w:val="24"/>
          <w:lang w:eastAsia="en-US"/>
        </w:rPr>
        <w:t>Diagnóstico del avance en monitoreo y evaluación en las entidades federativas</w:t>
      </w:r>
      <w:r w:rsidR="00962EC3">
        <w:rPr>
          <w:rFonts w:ascii="Century Gothic" w:eastAsiaTheme="minorHAnsi" w:hAnsi="Century Gothic" w:cs="Arial"/>
          <w:sz w:val="24"/>
          <w:szCs w:val="24"/>
          <w:lang w:eastAsia="en-US"/>
        </w:rPr>
        <w:t>” correspondiente a 2023</w:t>
      </w:r>
      <w:r w:rsidR="00897581">
        <w:rPr>
          <w:rFonts w:ascii="Century Gothic" w:eastAsiaTheme="minorHAnsi" w:hAnsi="Century Gothic" w:cs="Arial"/>
          <w:sz w:val="24"/>
          <w:szCs w:val="24"/>
          <w:lang w:eastAsia="en-US"/>
        </w:rPr>
        <w:t>. Señala el documento</w:t>
      </w:r>
      <w:r w:rsidR="004757A5">
        <w:rPr>
          <w:rFonts w:ascii="Century Gothic" w:eastAsiaTheme="minorHAnsi" w:hAnsi="Century Gothic" w:cs="Arial"/>
          <w:sz w:val="24"/>
          <w:szCs w:val="24"/>
          <w:lang w:eastAsia="en-US"/>
        </w:rPr>
        <w:t>:</w:t>
      </w:r>
    </w:p>
    <w:p w14:paraId="67B11F11" w14:textId="77777777" w:rsidR="00897581" w:rsidRDefault="00897581" w:rsidP="00744639">
      <w:pPr>
        <w:pStyle w:val="Sinespaciado"/>
        <w:spacing w:line="276" w:lineRule="auto"/>
        <w:ind w:left="426"/>
        <w:jc w:val="both"/>
        <w:rPr>
          <w:rFonts w:ascii="Century Gothic" w:eastAsiaTheme="minorHAnsi" w:hAnsi="Century Gothic" w:cs="Arial"/>
          <w:sz w:val="24"/>
          <w:szCs w:val="24"/>
          <w:lang w:eastAsia="en-US"/>
        </w:rPr>
      </w:pPr>
    </w:p>
    <w:p w14:paraId="085BE904" w14:textId="2EE3B7C4" w:rsidR="00897581" w:rsidRDefault="00897581" w:rsidP="00585E47">
      <w:pPr>
        <w:pStyle w:val="Sinespaciado"/>
        <w:spacing w:line="276" w:lineRule="auto"/>
        <w:ind w:left="708" w:right="474"/>
        <w:jc w:val="both"/>
        <w:rPr>
          <w:rFonts w:ascii="Century Gothic" w:hAnsi="Century Gothic" w:cs="Arial"/>
          <w:i/>
          <w:iCs/>
        </w:rPr>
      </w:pPr>
      <w:r w:rsidRPr="00640A1B">
        <w:rPr>
          <w:rFonts w:ascii="Century Gothic" w:hAnsi="Century Gothic" w:cs="Arial"/>
          <w:i/>
          <w:iCs/>
        </w:rPr>
        <w:lastRenderedPageBreak/>
        <w:t>Guanajuato se clasifica con un avance alto en la generación de elementos de monitoreo y evaluación</w:t>
      </w:r>
      <w:r w:rsidR="00640A1B" w:rsidRPr="00640A1B">
        <w:rPr>
          <w:rFonts w:ascii="Century Gothic" w:hAnsi="Century Gothic" w:cs="Arial"/>
          <w:i/>
          <w:iCs/>
        </w:rPr>
        <w:t>. En 2023, Guanajuato obtuvo 42. 6 puntos porcentuales arriba del valor del índice en 2011 (54. 6 puntos). En el componente normativo el mayor avance se observó en el establecimiento de contar con indicadores de gestión y resultados para la política y/o los programas de desarrollo social. En el componente práctico el mayor avance se observó en la operación del área responsable de realizar/coordinar la evaluación de la política y/o de los programas de desarrollo social.</w:t>
      </w:r>
    </w:p>
    <w:p w14:paraId="6ADB2A92" w14:textId="77777777" w:rsidR="00640A1B" w:rsidRDefault="00640A1B" w:rsidP="00585E47">
      <w:pPr>
        <w:pStyle w:val="Sinespaciado"/>
        <w:spacing w:line="276" w:lineRule="auto"/>
        <w:ind w:left="708" w:right="474"/>
        <w:jc w:val="both"/>
        <w:rPr>
          <w:rFonts w:ascii="Century Gothic" w:hAnsi="Century Gothic" w:cs="Arial"/>
          <w:i/>
          <w:iCs/>
        </w:rPr>
      </w:pPr>
    </w:p>
    <w:p w14:paraId="296F8AA0" w14:textId="7B2938E3" w:rsidR="00640A1B" w:rsidRDefault="00640A1B" w:rsidP="00585E47">
      <w:pPr>
        <w:pStyle w:val="Sinespaciado"/>
        <w:spacing w:line="276" w:lineRule="auto"/>
        <w:ind w:left="708" w:right="474"/>
        <w:jc w:val="both"/>
        <w:rPr>
          <w:rFonts w:ascii="Century Gothic" w:hAnsi="Century Gothic" w:cs="Arial"/>
          <w:i/>
          <w:iCs/>
        </w:rPr>
      </w:pPr>
      <w:r>
        <w:rPr>
          <w:rFonts w:ascii="Century Gothic" w:hAnsi="Century Gothic" w:cs="Arial"/>
          <w:i/>
          <w:iCs/>
        </w:rPr>
        <w:t>Los Resultados por elemento de análisis reflejan los siguientes registros:</w:t>
      </w:r>
    </w:p>
    <w:p w14:paraId="6156A8F8" w14:textId="77777777" w:rsidR="00640A1B" w:rsidRDefault="00640A1B" w:rsidP="00585E47">
      <w:pPr>
        <w:pStyle w:val="Sinespaciado"/>
        <w:spacing w:line="276" w:lineRule="auto"/>
        <w:ind w:left="708" w:right="474"/>
        <w:jc w:val="both"/>
        <w:rPr>
          <w:rFonts w:ascii="Century Gothic" w:hAnsi="Century Gothic" w:cs="Arial"/>
          <w:i/>
          <w:iCs/>
        </w:rPr>
      </w:pPr>
    </w:p>
    <w:p w14:paraId="2BDEF375" w14:textId="428BDD74" w:rsidR="00640A1B" w:rsidRDefault="00640A1B" w:rsidP="00585E47">
      <w:pPr>
        <w:pStyle w:val="Sinespaciado"/>
        <w:numPr>
          <w:ilvl w:val="0"/>
          <w:numId w:val="40"/>
        </w:numPr>
        <w:spacing w:line="276" w:lineRule="auto"/>
        <w:ind w:right="474"/>
        <w:jc w:val="both"/>
        <w:rPr>
          <w:rFonts w:ascii="Century Gothic" w:hAnsi="Century Gothic" w:cs="Arial"/>
          <w:i/>
          <w:iCs/>
        </w:rPr>
      </w:pPr>
      <w:r>
        <w:rPr>
          <w:rFonts w:ascii="Century Gothic" w:hAnsi="Century Gothic" w:cs="Arial"/>
          <w:i/>
          <w:iCs/>
        </w:rPr>
        <w:t>100% Ley de Desarrollo Social o equivalente</w:t>
      </w:r>
      <w:r w:rsidR="00824CEC">
        <w:rPr>
          <w:rFonts w:ascii="Century Gothic" w:hAnsi="Century Gothic" w:cs="Arial"/>
          <w:i/>
          <w:iCs/>
        </w:rPr>
        <w:t>;</w:t>
      </w:r>
    </w:p>
    <w:p w14:paraId="57A99E2D" w14:textId="0FD52BBE" w:rsidR="00824CEC" w:rsidRPr="00824CEC" w:rsidRDefault="00824CEC" w:rsidP="00585E47">
      <w:pPr>
        <w:pStyle w:val="Sinespaciado"/>
        <w:numPr>
          <w:ilvl w:val="0"/>
          <w:numId w:val="40"/>
        </w:numPr>
        <w:spacing w:line="276" w:lineRule="auto"/>
        <w:ind w:right="474"/>
        <w:jc w:val="both"/>
        <w:rPr>
          <w:rFonts w:ascii="Century Gothic" w:hAnsi="Century Gothic" w:cs="Arial"/>
          <w:i/>
          <w:iCs/>
        </w:rPr>
      </w:pPr>
      <w:r>
        <w:rPr>
          <w:rFonts w:ascii="Century Gothic" w:hAnsi="Century Gothic" w:cs="Arial"/>
          <w:i/>
          <w:iCs/>
        </w:rPr>
        <w:t xml:space="preserve">100% </w:t>
      </w:r>
      <w:r w:rsidRPr="00F856B7">
        <w:rPr>
          <w:rFonts w:ascii="Century Gothic" w:hAnsi="Century Gothic" w:cs="Arial"/>
          <w:i/>
          <w:iCs/>
        </w:rPr>
        <w:t>Criterios para la creación de programas nuevos;</w:t>
      </w:r>
    </w:p>
    <w:p w14:paraId="7D1BF83E" w14:textId="7056DD4B" w:rsidR="00824CEC" w:rsidRPr="00251108" w:rsidRDefault="00824CEC" w:rsidP="00585E47">
      <w:pPr>
        <w:pStyle w:val="Sinespaciado"/>
        <w:numPr>
          <w:ilvl w:val="0"/>
          <w:numId w:val="40"/>
        </w:numPr>
        <w:spacing w:line="276" w:lineRule="auto"/>
        <w:ind w:right="474"/>
        <w:jc w:val="both"/>
        <w:rPr>
          <w:rFonts w:ascii="Century Gothic" w:hAnsi="Century Gothic" w:cs="Arial"/>
          <w:i/>
          <w:iCs/>
        </w:rPr>
      </w:pPr>
      <w:r>
        <w:rPr>
          <w:rFonts w:ascii="Century Gothic" w:hAnsi="Century Gothic" w:cs="Arial"/>
          <w:i/>
          <w:iCs/>
        </w:rPr>
        <w:t xml:space="preserve">100% </w:t>
      </w:r>
      <w:r w:rsidR="00251108" w:rsidRPr="00F856B7">
        <w:rPr>
          <w:rFonts w:ascii="Century Gothic" w:hAnsi="Century Gothic" w:cs="Arial"/>
          <w:i/>
          <w:iCs/>
        </w:rPr>
        <w:t>Padrón de beneficiarios</w:t>
      </w:r>
    </w:p>
    <w:p w14:paraId="00341595" w14:textId="0D4F7E1E" w:rsidR="00251108" w:rsidRPr="00251108" w:rsidRDefault="00251108" w:rsidP="00585E47">
      <w:pPr>
        <w:pStyle w:val="Sinespaciado"/>
        <w:numPr>
          <w:ilvl w:val="0"/>
          <w:numId w:val="40"/>
        </w:numPr>
        <w:spacing w:line="276" w:lineRule="auto"/>
        <w:ind w:right="474"/>
        <w:jc w:val="both"/>
        <w:rPr>
          <w:rFonts w:ascii="Century Gothic" w:hAnsi="Century Gothic" w:cs="Arial"/>
          <w:i/>
          <w:iCs/>
        </w:rPr>
      </w:pPr>
      <w:r>
        <w:rPr>
          <w:rFonts w:ascii="Century Gothic" w:hAnsi="Century Gothic" w:cs="Arial"/>
          <w:i/>
          <w:iCs/>
        </w:rPr>
        <w:t xml:space="preserve">100% </w:t>
      </w:r>
      <w:r w:rsidRPr="00F856B7">
        <w:rPr>
          <w:rFonts w:ascii="Century Gothic" w:hAnsi="Century Gothic" w:cs="Arial"/>
          <w:i/>
          <w:iCs/>
        </w:rPr>
        <w:t>Reglas de operación</w:t>
      </w:r>
    </w:p>
    <w:p w14:paraId="410C1767" w14:textId="335AAC10" w:rsidR="00251108" w:rsidRPr="00251108" w:rsidRDefault="00251108" w:rsidP="00585E47">
      <w:pPr>
        <w:pStyle w:val="Sinespaciado"/>
        <w:numPr>
          <w:ilvl w:val="0"/>
          <w:numId w:val="40"/>
        </w:numPr>
        <w:spacing w:line="276" w:lineRule="auto"/>
        <w:ind w:right="474"/>
        <w:jc w:val="both"/>
        <w:rPr>
          <w:rFonts w:ascii="Century Gothic" w:hAnsi="Century Gothic" w:cs="Arial"/>
          <w:i/>
          <w:iCs/>
        </w:rPr>
      </w:pPr>
      <w:r>
        <w:rPr>
          <w:rFonts w:ascii="Century Gothic" w:hAnsi="Century Gothic" w:cs="Arial"/>
          <w:i/>
          <w:iCs/>
        </w:rPr>
        <w:t xml:space="preserve">100% </w:t>
      </w:r>
      <w:r w:rsidRPr="00F856B7">
        <w:rPr>
          <w:rFonts w:ascii="Century Gothic" w:hAnsi="Century Gothic" w:cs="Arial"/>
          <w:i/>
          <w:iCs/>
        </w:rPr>
        <w:t>Difusión de información de programas de desarrollo social</w:t>
      </w:r>
    </w:p>
    <w:p w14:paraId="68828C5D" w14:textId="13A18192" w:rsidR="00251108" w:rsidRPr="00E80555" w:rsidRDefault="00251108" w:rsidP="00585E47">
      <w:pPr>
        <w:pStyle w:val="Sinespaciado"/>
        <w:numPr>
          <w:ilvl w:val="0"/>
          <w:numId w:val="40"/>
        </w:numPr>
        <w:spacing w:line="276" w:lineRule="auto"/>
        <w:ind w:right="474"/>
        <w:jc w:val="both"/>
        <w:rPr>
          <w:rFonts w:ascii="Century Gothic" w:hAnsi="Century Gothic" w:cs="Arial"/>
          <w:i/>
          <w:iCs/>
        </w:rPr>
      </w:pPr>
      <w:r>
        <w:rPr>
          <w:rFonts w:ascii="Century Gothic" w:hAnsi="Century Gothic" w:cs="Arial"/>
          <w:i/>
          <w:iCs/>
        </w:rPr>
        <w:t xml:space="preserve">100% </w:t>
      </w:r>
      <w:r w:rsidRPr="00F856B7">
        <w:rPr>
          <w:rFonts w:ascii="Century Gothic" w:hAnsi="Century Gothic" w:cs="Arial"/>
          <w:i/>
          <w:iCs/>
        </w:rPr>
        <w:t>Transparencia en el presupuesto</w:t>
      </w:r>
    </w:p>
    <w:p w14:paraId="2D76B219" w14:textId="607DD2D5" w:rsidR="00E80555" w:rsidRDefault="00E80555" w:rsidP="00585E47">
      <w:pPr>
        <w:pStyle w:val="Sinespaciado"/>
        <w:numPr>
          <w:ilvl w:val="0"/>
          <w:numId w:val="40"/>
        </w:numPr>
        <w:spacing w:line="276" w:lineRule="auto"/>
        <w:ind w:right="474"/>
        <w:jc w:val="both"/>
        <w:rPr>
          <w:rFonts w:ascii="Century Gothic" w:hAnsi="Century Gothic" w:cs="Arial"/>
          <w:i/>
          <w:iCs/>
        </w:rPr>
      </w:pPr>
      <w:r>
        <w:rPr>
          <w:rFonts w:ascii="Century Gothic" w:hAnsi="Century Gothic" w:cs="Arial"/>
          <w:i/>
          <w:iCs/>
        </w:rPr>
        <w:t>97% Elementos de monitoreo y evaluación</w:t>
      </w:r>
    </w:p>
    <w:p w14:paraId="48A8E808" w14:textId="6925D266" w:rsidR="00E80555" w:rsidRDefault="00E80555" w:rsidP="00585E47">
      <w:pPr>
        <w:pStyle w:val="Sinespaciado"/>
        <w:numPr>
          <w:ilvl w:val="0"/>
          <w:numId w:val="40"/>
        </w:numPr>
        <w:spacing w:line="276" w:lineRule="auto"/>
        <w:ind w:right="474"/>
        <w:jc w:val="both"/>
        <w:rPr>
          <w:rFonts w:ascii="Century Gothic" w:hAnsi="Century Gothic" w:cs="Arial"/>
          <w:i/>
          <w:iCs/>
        </w:rPr>
      </w:pPr>
      <w:r>
        <w:rPr>
          <w:rFonts w:ascii="Century Gothic" w:hAnsi="Century Gothic" w:cs="Arial"/>
          <w:i/>
          <w:iCs/>
        </w:rPr>
        <w:t>100% Indicadores de resultados y de gestión</w:t>
      </w:r>
    </w:p>
    <w:p w14:paraId="3C7CDF10" w14:textId="58305D0F" w:rsidR="00E80555" w:rsidRDefault="00E80555" w:rsidP="00585E47">
      <w:pPr>
        <w:pStyle w:val="Sinespaciado"/>
        <w:numPr>
          <w:ilvl w:val="0"/>
          <w:numId w:val="40"/>
        </w:numPr>
        <w:spacing w:line="276" w:lineRule="auto"/>
        <w:ind w:right="474"/>
        <w:jc w:val="both"/>
        <w:rPr>
          <w:rFonts w:ascii="Century Gothic" w:hAnsi="Century Gothic" w:cs="Arial"/>
          <w:i/>
          <w:iCs/>
        </w:rPr>
      </w:pPr>
      <w:r>
        <w:rPr>
          <w:rFonts w:ascii="Century Gothic" w:hAnsi="Century Gothic" w:cs="Arial"/>
          <w:i/>
          <w:iCs/>
        </w:rPr>
        <w:t>88% Área responsable de realizar o coordinar la evaluación</w:t>
      </w:r>
    </w:p>
    <w:p w14:paraId="4A1C0637" w14:textId="77777777" w:rsidR="00824CEC" w:rsidRPr="00640A1B" w:rsidRDefault="00824CEC" w:rsidP="00585E47">
      <w:pPr>
        <w:pStyle w:val="Sinespaciado"/>
        <w:spacing w:line="276" w:lineRule="auto"/>
        <w:ind w:left="708" w:right="474"/>
        <w:jc w:val="both"/>
        <w:rPr>
          <w:rFonts w:ascii="Century Gothic" w:hAnsi="Century Gothic" w:cs="Arial"/>
          <w:i/>
          <w:iCs/>
        </w:rPr>
      </w:pPr>
    </w:p>
    <w:p w14:paraId="019149FE" w14:textId="694ABF73" w:rsidR="00A63BB4" w:rsidRPr="00E80555" w:rsidRDefault="00E80555" w:rsidP="00585E47">
      <w:pPr>
        <w:pStyle w:val="Sinespaciado"/>
        <w:spacing w:line="276" w:lineRule="auto"/>
        <w:ind w:left="426" w:right="474"/>
        <w:jc w:val="both"/>
        <w:rPr>
          <w:rFonts w:ascii="Century Gothic" w:hAnsi="Century Gothic" w:cs="Arial"/>
          <w:i/>
          <w:iCs/>
        </w:rPr>
      </w:pPr>
      <w:r w:rsidRPr="00E80555">
        <w:rPr>
          <w:rFonts w:ascii="Century Gothic" w:hAnsi="Century Gothic" w:cs="Arial"/>
          <w:i/>
          <w:iCs/>
        </w:rPr>
        <w:t>Por el valor total del Índice, Guanajuato se clasifica con un avance alto en la generación de elementos de monitoreo y evaluación.</w:t>
      </w:r>
    </w:p>
    <w:p w14:paraId="7610C5DB" w14:textId="77777777" w:rsidR="00A63BB4" w:rsidRDefault="00A63BB4" w:rsidP="00E80555">
      <w:pPr>
        <w:pStyle w:val="Sinespaciado"/>
        <w:spacing w:line="276" w:lineRule="auto"/>
        <w:jc w:val="both"/>
        <w:rPr>
          <w:rFonts w:ascii="Century Gothic" w:eastAsiaTheme="minorHAnsi" w:hAnsi="Century Gothic" w:cs="Arial"/>
          <w:sz w:val="24"/>
          <w:szCs w:val="24"/>
          <w:lang w:eastAsia="en-US"/>
        </w:rPr>
      </w:pPr>
    </w:p>
    <w:p w14:paraId="566801A8" w14:textId="77777777" w:rsidR="00E47CC5" w:rsidRDefault="00CC77B4" w:rsidP="00847980">
      <w:pPr>
        <w:pStyle w:val="Sinespaciado"/>
        <w:spacing w:line="276" w:lineRule="auto"/>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En el resultado nacional, </w:t>
      </w:r>
      <w:r w:rsidR="00041E24">
        <w:rPr>
          <w:rFonts w:ascii="Century Gothic" w:eastAsiaTheme="minorHAnsi" w:hAnsi="Century Gothic" w:cs="Arial"/>
          <w:sz w:val="24"/>
          <w:szCs w:val="24"/>
          <w:lang w:eastAsia="en-US"/>
        </w:rPr>
        <w:t>Guanajuato</w:t>
      </w:r>
      <w:r>
        <w:rPr>
          <w:rFonts w:ascii="Century Gothic" w:eastAsiaTheme="minorHAnsi" w:hAnsi="Century Gothic" w:cs="Arial"/>
          <w:sz w:val="24"/>
          <w:szCs w:val="24"/>
          <w:lang w:eastAsia="en-US"/>
        </w:rPr>
        <w:t xml:space="preserve"> se ubica dentro de los seis primeros lugares</w:t>
      </w:r>
      <w:r w:rsidR="00041E24">
        <w:rPr>
          <w:rFonts w:ascii="Century Gothic" w:eastAsiaTheme="minorHAnsi" w:hAnsi="Century Gothic" w:cs="Arial"/>
          <w:sz w:val="24"/>
          <w:szCs w:val="24"/>
          <w:lang w:eastAsia="en-US"/>
        </w:rPr>
        <w:t xml:space="preserve"> con el índice de Monitoreo y Evaluación más altos en el país, con un registro superior al promedio nacional. </w:t>
      </w:r>
    </w:p>
    <w:p w14:paraId="7D1A0A3D" w14:textId="77777777" w:rsidR="00E47CC5" w:rsidRDefault="00E47CC5" w:rsidP="00847980">
      <w:pPr>
        <w:pStyle w:val="Sinespaciado"/>
        <w:spacing w:line="276" w:lineRule="auto"/>
        <w:jc w:val="both"/>
        <w:rPr>
          <w:rFonts w:ascii="Century Gothic" w:eastAsiaTheme="minorHAnsi" w:hAnsi="Century Gothic" w:cs="Arial"/>
          <w:sz w:val="24"/>
          <w:szCs w:val="24"/>
          <w:lang w:eastAsia="en-US"/>
        </w:rPr>
      </w:pPr>
    </w:p>
    <w:p w14:paraId="1D9502CA" w14:textId="6F146956" w:rsidR="00CC77B4" w:rsidRDefault="00041E24" w:rsidP="008C3C71">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Asimismo, al revisar el puntaje por componente, el resultado es consisten</w:t>
      </w:r>
      <w:r w:rsidR="00E47CC5">
        <w:rPr>
          <w:rFonts w:ascii="Century Gothic" w:eastAsiaTheme="minorHAnsi" w:hAnsi="Century Gothic" w:cs="Arial"/>
          <w:sz w:val="24"/>
          <w:szCs w:val="24"/>
          <w:lang w:eastAsia="en-US"/>
        </w:rPr>
        <w:t>te</w:t>
      </w:r>
      <w:r>
        <w:rPr>
          <w:rFonts w:ascii="Century Gothic" w:eastAsiaTheme="minorHAnsi" w:hAnsi="Century Gothic" w:cs="Arial"/>
          <w:sz w:val="24"/>
          <w:szCs w:val="24"/>
          <w:lang w:eastAsia="en-US"/>
        </w:rPr>
        <w:t xml:space="preserve"> al ubicarse entre los primeros lugares en el país. En 2023, refiere CONEVAL, Guanajuato se ubicó dentro de las entidades federativas en cumplimiento total en el componente práctico, ubicándose entre los primeros tres lugares en el país. </w:t>
      </w:r>
    </w:p>
    <w:p w14:paraId="43E4DC97" w14:textId="77777777" w:rsidR="00E47CC5" w:rsidRDefault="00E47CC5" w:rsidP="008C3C71">
      <w:pPr>
        <w:pStyle w:val="Sinespaciado"/>
        <w:spacing w:line="276" w:lineRule="auto"/>
        <w:ind w:firstLine="567"/>
        <w:jc w:val="both"/>
        <w:rPr>
          <w:rFonts w:ascii="Century Gothic" w:eastAsiaTheme="minorHAnsi" w:hAnsi="Century Gothic" w:cs="Arial"/>
          <w:sz w:val="24"/>
          <w:szCs w:val="24"/>
          <w:lang w:eastAsia="en-US"/>
        </w:rPr>
      </w:pPr>
    </w:p>
    <w:p w14:paraId="21B9E991" w14:textId="1E82D4AC" w:rsidR="00E47CC5" w:rsidRDefault="00E47CC5" w:rsidP="008C3C71">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Adicionalmente, Guanajuato se ubicó en los primeros lugares dentro del registro relacionado a “</w:t>
      </w:r>
      <w:r w:rsidRPr="00E47CC5">
        <w:rPr>
          <w:rFonts w:ascii="Century Gothic" w:eastAsiaTheme="minorHAnsi" w:hAnsi="Century Gothic" w:cs="Arial"/>
          <w:sz w:val="24"/>
          <w:szCs w:val="24"/>
          <w:lang w:eastAsia="en-US"/>
        </w:rPr>
        <w:t>Estudios, diagnósticos, investigaciones o análisis en materia de desarrollo social por entidad federativa</w:t>
      </w:r>
      <w:r>
        <w:rPr>
          <w:rFonts w:ascii="Century Gothic" w:eastAsiaTheme="minorHAnsi" w:hAnsi="Century Gothic" w:cs="Arial"/>
          <w:sz w:val="24"/>
          <w:szCs w:val="24"/>
          <w:lang w:eastAsia="en-US"/>
        </w:rPr>
        <w:t>”</w:t>
      </w:r>
      <w:r w:rsidR="00164609">
        <w:rPr>
          <w:rFonts w:ascii="Century Gothic" w:eastAsiaTheme="minorHAnsi" w:hAnsi="Century Gothic" w:cs="Arial"/>
          <w:sz w:val="24"/>
          <w:szCs w:val="24"/>
          <w:lang w:eastAsia="en-US"/>
        </w:rPr>
        <w:t xml:space="preserve"> y </w:t>
      </w:r>
      <w:r>
        <w:rPr>
          <w:rFonts w:ascii="Century Gothic" w:eastAsiaTheme="minorHAnsi" w:hAnsi="Century Gothic" w:cs="Arial"/>
          <w:sz w:val="24"/>
          <w:szCs w:val="24"/>
          <w:lang w:eastAsia="en-US"/>
        </w:rPr>
        <w:t xml:space="preserve">en cumplimiento total a las solicitudes de información realizadas por CONEVAL por usuario simulado y dentro de los menores tiempos de respuesta en todo el país. </w:t>
      </w:r>
      <w:r>
        <w:rPr>
          <w:rStyle w:val="Refdenotaalpie"/>
          <w:rFonts w:ascii="Century Gothic" w:eastAsiaTheme="minorHAnsi" w:hAnsi="Century Gothic" w:cs="Arial"/>
          <w:sz w:val="24"/>
          <w:szCs w:val="24"/>
          <w:lang w:eastAsia="en-US"/>
        </w:rPr>
        <w:footnoteReference w:id="2"/>
      </w:r>
    </w:p>
    <w:p w14:paraId="43B6901E" w14:textId="77777777" w:rsidR="00041E24" w:rsidRDefault="00041E24" w:rsidP="008C3C71">
      <w:pPr>
        <w:pStyle w:val="Sinespaciado"/>
        <w:spacing w:line="276" w:lineRule="auto"/>
        <w:ind w:firstLine="567"/>
        <w:jc w:val="both"/>
        <w:rPr>
          <w:rFonts w:ascii="Century Gothic" w:eastAsiaTheme="minorHAnsi" w:hAnsi="Century Gothic" w:cs="Arial"/>
          <w:sz w:val="24"/>
          <w:szCs w:val="24"/>
          <w:lang w:eastAsia="en-US"/>
        </w:rPr>
      </w:pPr>
    </w:p>
    <w:p w14:paraId="41AFAA5E" w14:textId="524E36B1" w:rsidR="00BC32BB" w:rsidRDefault="00847980" w:rsidP="008C3C71">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En ese sentido, si de los resultados del Diagnóstico se desprende </w:t>
      </w:r>
      <w:r w:rsidRPr="00847980">
        <w:rPr>
          <w:rFonts w:ascii="Century Gothic" w:eastAsiaTheme="minorHAnsi" w:hAnsi="Century Gothic" w:cs="Arial"/>
          <w:sz w:val="24"/>
          <w:szCs w:val="24"/>
          <w:lang w:eastAsia="en-US"/>
        </w:rPr>
        <w:t>un avance alto en la generación de elementos de monitoreo y evaluación</w:t>
      </w:r>
      <w:r w:rsidR="004757A5">
        <w:rPr>
          <w:rFonts w:ascii="Century Gothic" w:eastAsiaTheme="minorHAnsi" w:hAnsi="Century Gothic" w:cs="Arial"/>
          <w:sz w:val="24"/>
          <w:szCs w:val="24"/>
          <w:lang w:eastAsia="en-US"/>
        </w:rPr>
        <w:t xml:space="preserve"> en el Estado de Guanajuato</w:t>
      </w:r>
      <w:r>
        <w:rPr>
          <w:rFonts w:ascii="Century Gothic" w:eastAsiaTheme="minorHAnsi" w:hAnsi="Century Gothic" w:cs="Arial"/>
          <w:sz w:val="24"/>
          <w:szCs w:val="24"/>
          <w:lang w:eastAsia="en-US"/>
        </w:rPr>
        <w:t xml:space="preserve">, estimamos </w:t>
      </w:r>
      <w:r w:rsidR="00BC32BB">
        <w:rPr>
          <w:rFonts w:ascii="Century Gothic" w:eastAsiaTheme="minorHAnsi" w:hAnsi="Century Gothic" w:cs="Arial"/>
          <w:sz w:val="24"/>
          <w:szCs w:val="24"/>
          <w:lang w:eastAsia="en-US"/>
        </w:rPr>
        <w:t xml:space="preserve">propicio </w:t>
      </w:r>
      <w:r>
        <w:rPr>
          <w:rFonts w:ascii="Century Gothic" w:eastAsiaTheme="minorHAnsi" w:hAnsi="Century Gothic" w:cs="Arial"/>
          <w:sz w:val="24"/>
          <w:szCs w:val="24"/>
          <w:lang w:eastAsia="en-US"/>
        </w:rPr>
        <w:t xml:space="preserve">que </w:t>
      </w:r>
      <w:r w:rsidR="00BC32BB">
        <w:rPr>
          <w:rFonts w:ascii="Century Gothic" w:eastAsiaTheme="minorHAnsi" w:hAnsi="Century Gothic" w:cs="Arial"/>
          <w:sz w:val="24"/>
          <w:szCs w:val="24"/>
          <w:lang w:eastAsia="en-US"/>
        </w:rPr>
        <w:t xml:space="preserve">esta Asamblea procure mantener esas prácticas en los ejercicios de evaluación que cuentan con resultados favorables. </w:t>
      </w:r>
    </w:p>
    <w:p w14:paraId="252C25B5" w14:textId="77777777" w:rsidR="00E47CC5" w:rsidRDefault="00E47CC5" w:rsidP="008C3C71">
      <w:pPr>
        <w:pStyle w:val="Sinespaciado"/>
        <w:spacing w:line="276" w:lineRule="auto"/>
        <w:ind w:firstLine="567"/>
        <w:jc w:val="both"/>
        <w:rPr>
          <w:rFonts w:ascii="Century Gothic" w:eastAsiaTheme="minorHAnsi" w:hAnsi="Century Gothic" w:cs="Arial"/>
          <w:sz w:val="24"/>
          <w:szCs w:val="24"/>
          <w:lang w:eastAsia="en-US"/>
        </w:rPr>
      </w:pPr>
    </w:p>
    <w:p w14:paraId="060A11C3" w14:textId="4D92580B" w:rsidR="00841E1B" w:rsidRDefault="0040303A" w:rsidP="008C3C71">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Estos resultados son reflejo de un sistema de evaluación sólido por lo que quienes integramos la Comisión consideramos que es dentro de ese </w:t>
      </w:r>
      <w:r>
        <w:rPr>
          <w:rFonts w:ascii="Century Gothic" w:eastAsiaTheme="minorHAnsi" w:hAnsi="Century Gothic" w:cs="Arial"/>
          <w:sz w:val="24"/>
          <w:szCs w:val="24"/>
          <w:lang w:eastAsia="en-US"/>
        </w:rPr>
        <w:lastRenderedPageBreak/>
        <w:t xml:space="preserve">marco, con los alcances que las normas establecen, lo requerimientos, procesos y en los plazos que se contemplan, como se deben </w:t>
      </w:r>
      <w:r w:rsidR="002F0276">
        <w:rPr>
          <w:rFonts w:ascii="Century Gothic" w:eastAsiaTheme="minorHAnsi" w:hAnsi="Century Gothic" w:cs="Arial"/>
          <w:sz w:val="24"/>
          <w:szCs w:val="24"/>
          <w:lang w:eastAsia="en-US"/>
        </w:rPr>
        <w:t>atender</w:t>
      </w:r>
      <w:r>
        <w:rPr>
          <w:rFonts w:ascii="Century Gothic" w:eastAsiaTheme="minorHAnsi" w:hAnsi="Century Gothic" w:cs="Arial"/>
          <w:sz w:val="24"/>
          <w:szCs w:val="24"/>
          <w:lang w:eastAsia="en-US"/>
        </w:rPr>
        <w:t xml:space="preserve"> las evaluaciones de la política de desarrollo social.</w:t>
      </w:r>
      <w:r w:rsidR="00841E1B">
        <w:rPr>
          <w:rFonts w:ascii="Century Gothic" w:eastAsiaTheme="minorHAnsi" w:hAnsi="Century Gothic" w:cs="Arial"/>
          <w:sz w:val="24"/>
          <w:szCs w:val="24"/>
          <w:lang w:eastAsia="en-US"/>
        </w:rPr>
        <w:t xml:space="preserve"> </w:t>
      </w:r>
    </w:p>
    <w:p w14:paraId="0FC71378" w14:textId="77777777" w:rsidR="00841E1B" w:rsidRDefault="00841E1B" w:rsidP="008C3C71">
      <w:pPr>
        <w:pStyle w:val="Sinespaciado"/>
        <w:spacing w:line="276" w:lineRule="auto"/>
        <w:ind w:firstLine="567"/>
        <w:jc w:val="both"/>
        <w:rPr>
          <w:rFonts w:ascii="Century Gothic" w:eastAsiaTheme="minorHAnsi" w:hAnsi="Century Gothic" w:cs="Arial"/>
          <w:sz w:val="24"/>
          <w:szCs w:val="24"/>
          <w:lang w:eastAsia="en-US"/>
        </w:rPr>
      </w:pPr>
    </w:p>
    <w:p w14:paraId="195AE698" w14:textId="4B58266D" w:rsidR="0040303A" w:rsidRDefault="00841E1B" w:rsidP="008C3C71">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En los términos establecidos en la norma, es la Secretaría de Desarrollo Social y Humano, en coordinación con las Dependencias y Entidades, la responsable de integración del Plan Anual de Evaluación de los programas sociales estatales que serán objeto de valuación y el tipo de evaluación correspondiente. </w:t>
      </w:r>
    </w:p>
    <w:p w14:paraId="268A0E7F" w14:textId="77777777" w:rsidR="0040303A" w:rsidRDefault="0040303A" w:rsidP="008C3C71">
      <w:pPr>
        <w:pStyle w:val="Sinespaciado"/>
        <w:spacing w:line="276" w:lineRule="auto"/>
        <w:ind w:firstLine="567"/>
        <w:jc w:val="both"/>
        <w:rPr>
          <w:rFonts w:ascii="Century Gothic" w:eastAsiaTheme="minorHAnsi" w:hAnsi="Century Gothic" w:cs="Arial"/>
          <w:sz w:val="24"/>
          <w:szCs w:val="24"/>
          <w:lang w:eastAsia="en-US"/>
        </w:rPr>
      </w:pPr>
    </w:p>
    <w:p w14:paraId="10429FAA" w14:textId="4EFD05C2" w:rsidR="007E46DE" w:rsidRDefault="00BC32BB" w:rsidP="008C3C71">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 xml:space="preserve">En ese sentido, nos separamos </w:t>
      </w:r>
      <w:r w:rsidR="0040303A">
        <w:rPr>
          <w:rFonts w:ascii="Century Gothic" w:eastAsiaTheme="minorHAnsi" w:hAnsi="Century Gothic" w:cs="Arial"/>
          <w:sz w:val="24"/>
          <w:szCs w:val="24"/>
          <w:lang w:eastAsia="en-US"/>
        </w:rPr>
        <w:t xml:space="preserve">de </w:t>
      </w:r>
      <w:r>
        <w:rPr>
          <w:rFonts w:ascii="Century Gothic" w:eastAsiaTheme="minorHAnsi" w:hAnsi="Century Gothic" w:cs="Arial"/>
          <w:sz w:val="24"/>
          <w:szCs w:val="24"/>
          <w:lang w:eastAsia="en-US"/>
        </w:rPr>
        <w:t>la propuesta del inicia</w:t>
      </w:r>
      <w:r w:rsidR="000A5C7A">
        <w:rPr>
          <w:rFonts w:ascii="Century Gothic" w:eastAsiaTheme="minorHAnsi" w:hAnsi="Century Gothic" w:cs="Arial"/>
          <w:sz w:val="24"/>
          <w:szCs w:val="24"/>
          <w:lang w:eastAsia="en-US"/>
        </w:rPr>
        <w:t xml:space="preserve">nte </w:t>
      </w:r>
      <w:r w:rsidR="00841E1B">
        <w:rPr>
          <w:rFonts w:ascii="Century Gothic" w:eastAsiaTheme="minorHAnsi" w:hAnsi="Century Gothic" w:cs="Arial"/>
          <w:sz w:val="24"/>
          <w:szCs w:val="24"/>
          <w:lang w:eastAsia="en-US"/>
        </w:rPr>
        <w:t xml:space="preserve">al existir una norma que específicamente identifica obligaciones, requerimientos, procesos, </w:t>
      </w:r>
      <w:r w:rsidR="00BC59FE">
        <w:rPr>
          <w:rFonts w:ascii="Century Gothic" w:eastAsiaTheme="minorHAnsi" w:hAnsi="Century Gothic" w:cs="Arial"/>
          <w:sz w:val="24"/>
          <w:szCs w:val="24"/>
          <w:lang w:eastAsia="en-US"/>
        </w:rPr>
        <w:t xml:space="preserve">tipología, </w:t>
      </w:r>
      <w:r w:rsidR="002F0276">
        <w:rPr>
          <w:rFonts w:ascii="Century Gothic" w:eastAsiaTheme="minorHAnsi" w:hAnsi="Century Gothic" w:cs="Arial"/>
          <w:sz w:val="24"/>
          <w:szCs w:val="24"/>
          <w:lang w:eastAsia="en-US"/>
        </w:rPr>
        <w:t xml:space="preserve">mecanismos de coordinación, </w:t>
      </w:r>
      <w:r w:rsidR="00841E1B">
        <w:rPr>
          <w:rFonts w:ascii="Century Gothic" w:eastAsiaTheme="minorHAnsi" w:hAnsi="Century Gothic" w:cs="Arial"/>
          <w:sz w:val="24"/>
          <w:szCs w:val="24"/>
          <w:lang w:eastAsia="en-US"/>
        </w:rPr>
        <w:t>términos y plazos para el diseño del Plan Anual de Evaluación</w:t>
      </w:r>
      <w:r w:rsidR="00CC77B4">
        <w:rPr>
          <w:rFonts w:ascii="Century Gothic" w:eastAsiaTheme="minorHAnsi" w:hAnsi="Century Gothic" w:cs="Arial"/>
          <w:sz w:val="24"/>
          <w:szCs w:val="24"/>
          <w:lang w:eastAsia="en-US"/>
        </w:rPr>
        <w:t>;</w:t>
      </w:r>
      <w:r w:rsidR="0040303A">
        <w:rPr>
          <w:rFonts w:ascii="Century Gothic" w:eastAsiaTheme="minorHAnsi" w:hAnsi="Century Gothic" w:cs="Arial"/>
          <w:sz w:val="24"/>
          <w:szCs w:val="24"/>
          <w:lang w:eastAsia="en-US"/>
        </w:rPr>
        <w:t xml:space="preserve"> </w:t>
      </w:r>
      <w:r w:rsidR="00155564">
        <w:rPr>
          <w:rFonts w:ascii="Century Gothic" w:eastAsiaTheme="minorHAnsi" w:hAnsi="Century Gothic" w:cs="Arial"/>
          <w:sz w:val="24"/>
          <w:szCs w:val="24"/>
          <w:lang w:eastAsia="en-US"/>
        </w:rPr>
        <w:t xml:space="preserve">asimismo, los </w:t>
      </w:r>
      <w:r w:rsidR="00585E47">
        <w:rPr>
          <w:rFonts w:ascii="Century Gothic" w:eastAsiaTheme="minorHAnsi" w:hAnsi="Century Gothic" w:cs="Arial"/>
          <w:sz w:val="24"/>
          <w:szCs w:val="24"/>
          <w:lang w:eastAsia="en-US"/>
        </w:rPr>
        <w:t>d</w:t>
      </w:r>
      <w:r w:rsidR="00155564">
        <w:rPr>
          <w:rFonts w:ascii="Century Gothic" w:eastAsiaTheme="minorHAnsi" w:hAnsi="Century Gothic" w:cs="Arial"/>
          <w:sz w:val="24"/>
          <w:szCs w:val="24"/>
          <w:lang w:eastAsia="en-US"/>
        </w:rPr>
        <w:t xml:space="preserve">iagnósticos confirman   los resultados favorables del sistema de evaluación en la entidad; </w:t>
      </w:r>
      <w:r w:rsidR="0040303A">
        <w:rPr>
          <w:rFonts w:ascii="Century Gothic" w:eastAsiaTheme="minorHAnsi" w:hAnsi="Century Gothic" w:cs="Arial"/>
          <w:sz w:val="24"/>
          <w:szCs w:val="24"/>
          <w:lang w:eastAsia="en-US"/>
        </w:rPr>
        <w:t xml:space="preserve">en el marco de las facultades de esta Comisión, se dará el seguimiento correspondiente de la implementación de los procesos de evaluación que se desprenden del Reglamento referido en el presente y del Plan que al efecto publique la dependencia responsable. </w:t>
      </w:r>
    </w:p>
    <w:p w14:paraId="393FA05C" w14:textId="77777777" w:rsidR="007E46DE" w:rsidRDefault="007E46DE" w:rsidP="008C3C71">
      <w:pPr>
        <w:pStyle w:val="Sinespaciado"/>
        <w:spacing w:line="276" w:lineRule="auto"/>
        <w:ind w:firstLine="567"/>
        <w:jc w:val="both"/>
        <w:rPr>
          <w:rFonts w:ascii="Century Gothic" w:eastAsiaTheme="minorHAnsi" w:hAnsi="Century Gothic" w:cs="Arial"/>
          <w:sz w:val="24"/>
          <w:szCs w:val="24"/>
          <w:lang w:eastAsia="en-US"/>
        </w:rPr>
      </w:pPr>
    </w:p>
    <w:p w14:paraId="58CA6159" w14:textId="5963D83B" w:rsidR="00847980" w:rsidRDefault="00694EE6" w:rsidP="008C3C71">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Los integrantes de esta Comisión coincidimos con el iniciante en la relevancia de contar con herramientas de evaluación, sin embargo, nos separamos de la propuesta para emitir exhorto frente a un proceso que muestra los resultados favorables que se han citado</w:t>
      </w:r>
      <w:r w:rsidR="00D0319D">
        <w:rPr>
          <w:rFonts w:ascii="Century Gothic" w:eastAsiaTheme="minorHAnsi" w:hAnsi="Century Gothic" w:cs="Arial"/>
          <w:sz w:val="24"/>
          <w:szCs w:val="24"/>
          <w:lang w:eastAsia="en-US"/>
        </w:rPr>
        <w:t xml:space="preserve">. </w:t>
      </w:r>
    </w:p>
    <w:p w14:paraId="23FE73BE" w14:textId="77777777" w:rsidR="00740A12" w:rsidRDefault="00740A12" w:rsidP="008C3C71">
      <w:pPr>
        <w:pStyle w:val="Sinespaciado"/>
        <w:spacing w:line="276" w:lineRule="auto"/>
        <w:ind w:firstLine="567"/>
        <w:jc w:val="both"/>
        <w:rPr>
          <w:rFonts w:ascii="Century Gothic" w:eastAsiaTheme="minorHAnsi" w:hAnsi="Century Gothic" w:cs="Arial"/>
          <w:sz w:val="24"/>
          <w:szCs w:val="24"/>
          <w:lang w:eastAsia="en-US"/>
        </w:rPr>
      </w:pPr>
    </w:p>
    <w:p w14:paraId="03010802" w14:textId="6F9238AC" w:rsidR="00740A12" w:rsidRDefault="00740A12" w:rsidP="008C3C71">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lastRenderedPageBreak/>
        <w:t>Las cifras publicadas por las instancias federales son indicativas del abatimiento de la pobreza y la pobreza extrema en la entidad</w:t>
      </w:r>
      <w:r w:rsidR="002B2430">
        <w:rPr>
          <w:rFonts w:ascii="Century Gothic" w:eastAsiaTheme="minorHAnsi" w:hAnsi="Century Gothic" w:cs="Arial"/>
          <w:sz w:val="24"/>
          <w:szCs w:val="24"/>
          <w:lang w:eastAsia="en-US"/>
        </w:rPr>
        <w:t>;</w:t>
      </w:r>
      <w:r>
        <w:rPr>
          <w:rFonts w:ascii="Century Gothic" w:eastAsiaTheme="minorHAnsi" w:hAnsi="Century Gothic" w:cs="Arial"/>
          <w:sz w:val="24"/>
          <w:szCs w:val="24"/>
          <w:lang w:eastAsia="en-US"/>
        </w:rPr>
        <w:t xml:space="preserve"> así también, los Diagnósticos que se han realizado sobre los instrumentos de medición y evaluación </w:t>
      </w:r>
      <w:r w:rsidR="008A079B">
        <w:rPr>
          <w:rFonts w:ascii="Century Gothic" w:eastAsiaTheme="minorHAnsi" w:hAnsi="Century Gothic" w:cs="Arial"/>
          <w:sz w:val="24"/>
          <w:szCs w:val="24"/>
          <w:lang w:eastAsia="en-US"/>
        </w:rPr>
        <w:t>proveen evidencia</w:t>
      </w:r>
      <w:r>
        <w:rPr>
          <w:rFonts w:ascii="Century Gothic" w:eastAsiaTheme="minorHAnsi" w:hAnsi="Century Gothic" w:cs="Arial"/>
          <w:sz w:val="24"/>
          <w:szCs w:val="24"/>
          <w:lang w:eastAsia="en-US"/>
        </w:rPr>
        <w:t xml:space="preserve"> de que el Estado de Guanajuato cuenta con un marco</w:t>
      </w:r>
      <w:r w:rsidR="008A079B">
        <w:rPr>
          <w:rFonts w:ascii="Century Gothic" w:eastAsiaTheme="minorHAnsi" w:hAnsi="Century Gothic" w:cs="Arial"/>
          <w:sz w:val="24"/>
          <w:szCs w:val="24"/>
          <w:lang w:eastAsia="en-US"/>
        </w:rPr>
        <w:t xml:space="preserve"> robusto</w:t>
      </w:r>
      <w:r>
        <w:rPr>
          <w:rFonts w:ascii="Century Gothic" w:eastAsiaTheme="minorHAnsi" w:hAnsi="Century Gothic" w:cs="Arial"/>
          <w:sz w:val="24"/>
          <w:szCs w:val="24"/>
          <w:lang w:eastAsia="en-US"/>
        </w:rPr>
        <w:t xml:space="preserve"> que </w:t>
      </w:r>
      <w:r w:rsidR="002375D0">
        <w:rPr>
          <w:rFonts w:ascii="Century Gothic" w:eastAsiaTheme="minorHAnsi" w:hAnsi="Century Gothic" w:cs="Arial"/>
          <w:sz w:val="24"/>
          <w:szCs w:val="24"/>
          <w:lang w:eastAsia="en-US"/>
        </w:rPr>
        <w:t>permite</w:t>
      </w:r>
      <w:r>
        <w:rPr>
          <w:rFonts w:ascii="Century Gothic" w:eastAsiaTheme="minorHAnsi" w:hAnsi="Century Gothic" w:cs="Arial"/>
          <w:sz w:val="24"/>
          <w:szCs w:val="24"/>
          <w:lang w:eastAsia="en-US"/>
        </w:rPr>
        <w:t xml:space="preserve"> identificar aquellas políticas y programas presupuestarios que están alcanzado el propósito por el cual fueron creados, así como aquellas áreas que, en su caso, requieran fortalecerse. </w:t>
      </w:r>
    </w:p>
    <w:p w14:paraId="4926C4A6" w14:textId="77777777" w:rsidR="00841E1B" w:rsidRDefault="00841E1B" w:rsidP="008C3C71">
      <w:pPr>
        <w:pStyle w:val="Sinespaciado"/>
        <w:spacing w:line="276" w:lineRule="auto"/>
        <w:ind w:firstLine="567"/>
        <w:jc w:val="both"/>
        <w:rPr>
          <w:rFonts w:ascii="Century Gothic" w:eastAsiaTheme="minorHAnsi" w:hAnsi="Century Gothic" w:cs="Arial"/>
          <w:sz w:val="24"/>
          <w:szCs w:val="24"/>
          <w:lang w:eastAsia="en-US"/>
        </w:rPr>
      </w:pPr>
    </w:p>
    <w:p w14:paraId="5975EAE8" w14:textId="62F51F43" w:rsidR="00841E1B" w:rsidRPr="00847980" w:rsidRDefault="00841E1B" w:rsidP="008C3C71">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En los términos referidos, se propone a la Asamblea el siguiente:</w:t>
      </w:r>
    </w:p>
    <w:p w14:paraId="3B04632A" w14:textId="67058838" w:rsidR="00847980" w:rsidRDefault="00847980" w:rsidP="00E80555">
      <w:pPr>
        <w:pStyle w:val="Sinespaciado"/>
        <w:spacing w:line="276" w:lineRule="auto"/>
        <w:jc w:val="both"/>
        <w:rPr>
          <w:rFonts w:ascii="Century Gothic" w:eastAsiaTheme="minorHAnsi" w:hAnsi="Century Gothic" w:cs="Arial"/>
          <w:sz w:val="24"/>
          <w:szCs w:val="24"/>
          <w:lang w:eastAsia="en-US"/>
        </w:rPr>
      </w:pPr>
    </w:p>
    <w:p w14:paraId="7C84381A" w14:textId="77777777" w:rsidR="002F0276" w:rsidRDefault="002F0276" w:rsidP="00E80555">
      <w:pPr>
        <w:pStyle w:val="Sinespaciado"/>
        <w:spacing w:line="276" w:lineRule="auto"/>
        <w:jc w:val="both"/>
        <w:rPr>
          <w:rFonts w:ascii="Century Gothic" w:eastAsiaTheme="minorHAnsi" w:hAnsi="Century Gothic" w:cs="Arial"/>
          <w:sz w:val="24"/>
          <w:szCs w:val="24"/>
          <w:lang w:eastAsia="en-US"/>
        </w:rPr>
      </w:pPr>
    </w:p>
    <w:p w14:paraId="671AA0A4" w14:textId="063DBD16" w:rsidR="00FF3A00" w:rsidRPr="00CE58B8" w:rsidRDefault="00AD3B11" w:rsidP="001C0CD9">
      <w:pPr>
        <w:spacing w:line="276" w:lineRule="auto"/>
        <w:jc w:val="center"/>
        <w:rPr>
          <w:rFonts w:ascii="Century Gothic" w:hAnsi="Century Gothic" w:cstheme="majorHAnsi"/>
          <w:b/>
          <w:color w:val="000000" w:themeColor="text1"/>
        </w:rPr>
      </w:pPr>
      <w:bookmarkStart w:id="1" w:name="_Hlk148700553"/>
      <w:r>
        <w:rPr>
          <w:rFonts w:ascii="Century Gothic" w:hAnsi="Century Gothic" w:cstheme="majorHAnsi"/>
          <w:b/>
          <w:color w:val="000000" w:themeColor="text1"/>
        </w:rPr>
        <w:t>ACUERDO</w:t>
      </w:r>
    </w:p>
    <w:p w14:paraId="0391AF5D" w14:textId="77777777" w:rsidR="00FF3A00" w:rsidRPr="00CE58B8" w:rsidRDefault="00FF3A00" w:rsidP="001C0CD9">
      <w:pPr>
        <w:spacing w:line="276" w:lineRule="auto"/>
        <w:jc w:val="center"/>
        <w:rPr>
          <w:rFonts w:ascii="Century Gothic" w:hAnsi="Century Gothic" w:cstheme="majorHAnsi"/>
          <w:b/>
          <w:color w:val="000000" w:themeColor="text1"/>
        </w:rPr>
      </w:pPr>
    </w:p>
    <w:p w14:paraId="1FE1DDE0" w14:textId="1AE52A2F" w:rsidR="00AD3B11" w:rsidRPr="00CC695C" w:rsidRDefault="00FF3A00" w:rsidP="00AD3B11">
      <w:pPr>
        <w:autoSpaceDE w:val="0"/>
        <w:autoSpaceDN w:val="0"/>
        <w:adjustRightInd w:val="0"/>
        <w:spacing w:line="276" w:lineRule="auto"/>
        <w:jc w:val="both"/>
        <w:rPr>
          <w:rFonts w:ascii="Century Gothic" w:hAnsi="Century Gothic"/>
        </w:rPr>
      </w:pPr>
      <w:r w:rsidRPr="00CE58B8">
        <w:rPr>
          <w:rFonts w:ascii="Century Gothic" w:eastAsia="Times New Roman" w:hAnsi="Century Gothic" w:cstheme="majorHAnsi"/>
          <w:b/>
          <w:bCs/>
          <w:lang w:eastAsia="es-MX"/>
        </w:rPr>
        <w:t>ÚNICO</w:t>
      </w:r>
      <w:r w:rsidR="00124037">
        <w:rPr>
          <w:rFonts w:ascii="Century Gothic" w:hAnsi="Century Gothic" w:cs="Arial"/>
        </w:rPr>
        <w:t xml:space="preserve">. </w:t>
      </w:r>
      <w:r w:rsidR="00AD3B11">
        <w:rPr>
          <w:rFonts w:ascii="Century Gothic" w:hAnsi="Century Gothic" w:cs="Arial"/>
        </w:rPr>
        <w:t>Se ordena el archivo definitivo de la propuesta de punto de acuerdo suscrito por</w:t>
      </w:r>
      <w:r w:rsidR="00744639">
        <w:rPr>
          <w:rFonts w:ascii="Century Gothic" w:hAnsi="Century Gothic" w:cs="Arial"/>
        </w:rPr>
        <w:t xml:space="preserve"> el diputado David Martínez Mendizábal, integrante del Grupo Parlamentario del Partido MORENA</w:t>
      </w:r>
      <w:r w:rsidR="00744639" w:rsidRPr="009F0DDB">
        <w:rPr>
          <w:rFonts w:ascii="Century Gothic" w:hAnsi="Century Gothic" w:cs="Arial"/>
        </w:rPr>
        <w:t>, para exhortar</w:t>
      </w:r>
      <w:r w:rsidR="00744639">
        <w:rPr>
          <w:rFonts w:ascii="Century Gothic" w:hAnsi="Century Gothic" w:cs="Arial"/>
        </w:rPr>
        <w:t xml:space="preserve"> </w:t>
      </w:r>
      <w:r w:rsidR="00744639" w:rsidRPr="00C07E99">
        <w:rPr>
          <w:rFonts w:ascii="Century Gothic" w:hAnsi="Century Gothic" w:cs="Arial"/>
        </w:rPr>
        <w:t xml:space="preserve">al </w:t>
      </w:r>
      <w:r w:rsidR="00744639" w:rsidRPr="00906944">
        <w:rPr>
          <w:rFonts w:ascii="Century Gothic" w:hAnsi="Century Gothic" w:cs="Arial"/>
        </w:rPr>
        <w:t>a la Secretar</w:t>
      </w:r>
      <w:r w:rsidR="00744639">
        <w:rPr>
          <w:rFonts w:ascii="Century Gothic" w:hAnsi="Century Gothic" w:cs="Arial"/>
        </w:rPr>
        <w:t>í</w:t>
      </w:r>
      <w:r w:rsidR="00744639" w:rsidRPr="00906944">
        <w:rPr>
          <w:rFonts w:ascii="Century Gothic" w:hAnsi="Century Gothic" w:cs="Arial"/>
        </w:rPr>
        <w:t>a de</w:t>
      </w:r>
      <w:r w:rsidR="00744639">
        <w:rPr>
          <w:rFonts w:ascii="Century Gothic" w:hAnsi="Century Gothic" w:cs="Arial"/>
        </w:rPr>
        <w:t xml:space="preserve"> </w:t>
      </w:r>
      <w:r w:rsidR="00744639" w:rsidRPr="00906944">
        <w:rPr>
          <w:rFonts w:ascii="Century Gothic" w:hAnsi="Century Gothic" w:cs="Arial"/>
        </w:rPr>
        <w:t>Desarrollo Social y Humano del Estado de Guanajuato, para que lleve a cabo la evaluación del impacto que ha tenido la política de</w:t>
      </w:r>
      <w:r w:rsidR="00744639">
        <w:rPr>
          <w:rFonts w:ascii="Century Gothic" w:hAnsi="Century Gothic" w:cs="Arial"/>
        </w:rPr>
        <w:t xml:space="preserve"> </w:t>
      </w:r>
      <w:r w:rsidR="00744639" w:rsidRPr="00906944">
        <w:rPr>
          <w:rFonts w:ascii="Century Gothic" w:hAnsi="Century Gothic" w:cs="Arial"/>
        </w:rPr>
        <w:t>desarrollo social estatal en el combate a la pobreza en Guanajuato, determinando la</w:t>
      </w:r>
      <w:r w:rsidR="00744639">
        <w:rPr>
          <w:rFonts w:ascii="Century Gothic" w:hAnsi="Century Gothic" w:cs="Arial"/>
        </w:rPr>
        <w:t xml:space="preserve"> </w:t>
      </w:r>
      <w:r w:rsidR="00744639" w:rsidRPr="00906944">
        <w:rPr>
          <w:rFonts w:ascii="Century Gothic" w:hAnsi="Century Gothic" w:cs="Arial"/>
        </w:rPr>
        <w:t>contribución y peso específico de los diferentes factores y políticas concurrentes en</w:t>
      </w:r>
      <w:r w:rsidR="00744639">
        <w:rPr>
          <w:rFonts w:ascii="Century Gothic" w:hAnsi="Century Gothic" w:cs="Arial"/>
        </w:rPr>
        <w:t xml:space="preserve"> </w:t>
      </w:r>
      <w:r w:rsidR="00744639" w:rsidRPr="00906944">
        <w:rPr>
          <w:rFonts w:ascii="Century Gothic" w:hAnsi="Century Gothic" w:cs="Arial"/>
        </w:rPr>
        <w:t>el territorio guanajuatense que explican la reducción de pobreza en la entidad.</w:t>
      </w:r>
    </w:p>
    <w:p w14:paraId="470A7274" w14:textId="3709A12F" w:rsidR="00124037" w:rsidRDefault="00124037" w:rsidP="00124037">
      <w:pPr>
        <w:spacing w:line="276" w:lineRule="auto"/>
        <w:ind w:right="78"/>
        <w:jc w:val="both"/>
        <w:rPr>
          <w:rFonts w:ascii="Century Gothic" w:hAnsi="Century Gothic" w:cs="Arial"/>
        </w:rPr>
      </w:pPr>
    </w:p>
    <w:p w14:paraId="00FCCA58" w14:textId="77777777" w:rsidR="0068530C" w:rsidRDefault="0068530C" w:rsidP="00124037">
      <w:pPr>
        <w:spacing w:line="276" w:lineRule="auto"/>
        <w:ind w:right="78"/>
        <w:jc w:val="both"/>
        <w:rPr>
          <w:rFonts w:ascii="Century Gothic" w:hAnsi="Century Gothic" w:cs="Arial"/>
        </w:rPr>
      </w:pPr>
    </w:p>
    <w:p w14:paraId="728A3373" w14:textId="77777777" w:rsidR="00155564" w:rsidRDefault="00155564" w:rsidP="00124037">
      <w:pPr>
        <w:spacing w:line="276" w:lineRule="auto"/>
        <w:ind w:right="78"/>
        <w:jc w:val="both"/>
        <w:rPr>
          <w:rFonts w:ascii="Century Gothic" w:hAnsi="Century Gothic" w:cs="Arial"/>
        </w:rPr>
      </w:pPr>
    </w:p>
    <w:p w14:paraId="75A2E2B8" w14:textId="77777777" w:rsidR="00155564" w:rsidRDefault="00155564" w:rsidP="00124037">
      <w:pPr>
        <w:spacing w:line="276" w:lineRule="auto"/>
        <w:ind w:right="78"/>
        <w:jc w:val="both"/>
        <w:rPr>
          <w:rFonts w:ascii="Century Gothic" w:hAnsi="Century Gothic" w:cs="Arial"/>
        </w:rPr>
      </w:pPr>
    </w:p>
    <w:bookmarkEnd w:id="1"/>
    <w:p w14:paraId="2D729F5A" w14:textId="2A07B07A"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lastRenderedPageBreak/>
        <w:t xml:space="preserve">Guanajuato, </w:t>
      </w:r>
      <w:proofErr w:type="spellStart"/>
      <w:r w:rsidRPr="00CE58B8">
        <w:rPr>
          <w:rFonts w:ascii="Century Gothic" w:eastAsia="Arial Unicode MS" w:hAnsi="Century Gothic" w:cs="Arial"/>
          <w:b/>
          <w:sz w:val="24"/>
          <w:szCs w:val="24"/>
        </w:rPr>
        <w:t>Gto</w:t>
      </w:r>
      <w:proofErr w:type="spellEnd"/>
      <w:r w:rsidRPr="00CE58B8">
        <w:rPr>
          <w:rFonts w:ascii="Century Gothic" w:eastAsia="Arial Unicode MS" w:hAnsi="Century Gothic" w:cs="Arial"/>
          <w:b/>
          <w:sz w:val="24"/>
          <w:szCs w:val="24"/>
        </w:rPr>
        <w:t>.,</w:t>
      </w:r>
      <w:r w:rsidR="00ED51EE" w:rsidRPr="00CE58B8">
        <w:rPr>
          <w:rFonts w:ascii="Century Gothic" w:eastAsia="Arial Unicode MS" w:hAnsi="Century Gothic" w:cs="Arial"/>
          <w:b/>
          <w:sz w:val="24"/>
          <w:szCs w:val="24"/>
        </w:rPr>
        <w:t xml:space="preserve"> </w:t>
      </w:r>
      <w:r w:rsidR="003971B1">
        <w:rPr>
          <w:rFonts w:ascii="Century Gothic" w:eastAsia="Arial Unicode MS" w:hAnsi="Century Gothic" w:cs="Arial"/>
          <w:b/>
          <w:sz w:val="24"/>
          <w:szCs w:val="24"/>
        </w:rPr>
        <w:t>15 de febrero</w:t>
      </w:r>
      <w:r w:rsidR="006E139F">
        <w:rPr>
          <w:rFonts w:ascii="Century Gothic" w:eastAsia="Arial Unicode MS" w:hAnsi="Century Gothic" w:cs="Arial"/>
          <w:b/>
          <w:sz w:val="24"/>
          <w:szCs w:val="24"/>
        </w:rPr>
        <w:t xml:space="preserve"> de 2024</w:t>
      </w:r>
    </w:p>
    <w:p w14:paraId="21580FB9"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La Comisión de Desarrollo Económico y Social</w:t>
      </w:r>
    </w:p>
    <w:p w14:paraId="67537384" w14:textId="77777777" w:rsidR="00A176D7" w:rsidRPr="00CE58B8" w:rsidRDefault="00A176D7" w:rsidP="001C0CD9">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CE58B8" w14:paraId="79583E5F" w14:textId="77777777" w:rsidTr="00C87A27">
        <w:tc>
          <w:tcPr>
            <w:tcW w:w="8838" w:type="dxa"/>
            <w:gridSpan w:val="2"/>
          </w:tcPr>
          <w:p w14:paraId="5727B525"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Miguel Ángel Salim Alle</w:t>
            </w:r>
          </w:p>
          <w:p w14:paraId="42433963"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Presidente</w:t>
            </w:r>
          </w:p>
          <w:p w14:paraId="295D3F75" w14:textId="4BB6E385" w:rsidR="00BA2143" w:rsidRPr="00CE58B8" w:rsidRDefault="00BA2143" w:rsidP="001C0CD9">
            <w:pPr>
              <w:pStyle w:val="Sinespaciado"/>
              <w:spacing w:line="276" w:lineRule="auto"/>
              <w:ind w:firstLine="708"/>
              <w:jc w:val="center"/>
              <w:rPr>
                <w:rFonts w:ascii="Century Gothic" w:eastAsia="Arial Unicode MS" w:hAnsi="Century Gothic" w:cs="Arial"/>
                <w:b/>
                <w:sz w:val="24"/>
                <w:szCs w:val="24"/>
              </w:rPr>
            </w:pPr>
          </w:p>
        </w:tc>
      </w:tr>
      <w:tr w:rsidR="00102FBD" w:rsidRPr="001720FA" w14:paraId="5A9FD428" w14:textId="77777777" w:rsidTr="00C87A27">
        <w:tc>
          <w:tcPr>
            <w:tcW w:w="4411" w:type="dxa"/>
          </w:tcPr>
          <w:p w14:paraId="2C687F36" w14:textId="457BC0D4" w:rsidR="00102FBD" w:rsidRPr="00CE58B8" w:rsidRDefault="00102FBD" w:rsidP="001C0CD9">
            <w:pPr>
              <w:pStyle w:val="Sinespaciado"/>
              <w:spacing w:line="276" w:lineRule="auto"/>
              <w:rPr>
                <w:rFonts w:ascii="Century Gothic" w:eastAsia="Arial Unicode MS" w:hAnsi="Century Gothic" w:cs="Arial"/>
                <w:b/>
                <w:sz w:val="24"/>
                <w:szCs w:val="24"/>
              </w:rPr>
            </w:pPr>
          </w:p>
          <w:p w14:paraId="37A14C80" w14:textId="77777777" w:rsidR="00FD1C6B" w:rsidRPr="00CE58B8" w:rsidRDefault="00FD1C6B" w:rsidP="001C0CD9">
            <w:pPr>
              <w:pStyle w:val="Sinespaciado"/>
              <w:spacing w:line="276" w:lineRule="auto"/>
              <w:jc w:val="center"/>
              <w:rPr>
                <w:rFonts w:ascii="Century Gothic" w:eastAsia="Arial Unicode MS" w:hAnsi="Century Gothic" w:cs="Arial"/>
                <w:b/>
                <w:sz w:val="24"/>
                <w:szCs w:val="24"/>
              </w:rPr>
            </w:pPr>
          </w:p>
          <w:p w14:paraId="3FE51355" w14:textId="211622BE" w:rsidR="00102FBD" w:rsidRPr="00CE58B8" w:rsidRDefault="00102FBD" w:rsidP="001C0CD9">
            <w:pPr>
              <w:pStyle w:val="Sinespaciado"/>
              <w:spacing w:line="276" w:lineRule="auto"/>
              <w:ind w:hanging="9"/>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xml:space="preserve">. </w:t>
            </w:r>
            <w:r w:rsidR="00326808" w:rsidRPr="00CE58B8">
              <w:rPr>
                <w:rFonts w:ascii="Century Gothic" w:eastAsia="Arial Unicode MS" w:hAnsi="Century Gothic" w:cs="Arial"/>
                <w:b/>
                <w:sz w:val="24"/>
                <w:szCs w:val="24"/>
              </w:rPr>
              <w:t>Alejandro Arias Ávila</w:t>
            </w:r>
          </w:p>
          <w:p w14:paraId="44838115" w14:textId="77777777" w:rsidR="00586F6C"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Secretario</w:t>
            </w:r>
          </w:p>
          <w:p w14:paraId="6F236653" w14:textId="77777777" w:rsidR="00586F6C" w:rsidRPr="00CE58B8" w:rsidRDefault="00586F6C" w:rsidP="001C0CD9">
            <w:pPr>
              <w:pStyle w:val="Sinespaciado"/>
              <w:spacing w:line="276" w:lineRule="auto"/>
              <w:jc w:val="center"/>
              <w:rPr>
                <w:rFonts w:ascii="Century Gothic" w:eastAsia="Arial Unicode MS" w:hAnsi="Century Gothic" w:cs="Arial"/>
                <w:b/>
                <w:sz w:val="24"/>
                <w:szCs w:val="24"/>
              </w:rPr>
            </w:pPr>
          </w:p>
          <w:p w14:paraId="3DEBD1B3" w14:textId="77777777" w:rsidR="00BA2143" w:rsidRPr="00CE58B8" w:rsidRDefault="00BA2143" w:rsidP="001C0CD9">
            <w:pPr>
              <w:pStyle w:val="Sinespaciado"/>
              <w:spacing w:line="276" w:lineRule="auto"/>
              <w:rPr>
                <w:rFonts w:ascii="Century Gothic" w:eastAsia="Arial Unicode MS" w:hAnsi="Century Gothic" w:cs="Arial"/>
                <w:b/>
                <w:sz w:val="24"/>
                <w:szCs w:val="24"/>
              </w:rPr>
            </w:pPr>
          </w:p>
          <w:p w14:paraId="02870251"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p>
          <w:p w14:paraId="07279B98" w14:textId="77777777" w:rsidR="00586F6C" w:rsidRPr="00CE58B8" w:rsidRDefault="00586F6C" w:rsidP="001C0CD9">
            <w:pPr>
              <w:pStyle w:val="Sinespaciado"/>
              <w:spacing w:line="276" w:lineRule="auto"/>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Vícto</w:t>
            </w:r>
            <w:r w:rsidR="0090131E" w:rsidRPr="00CE58B8">
              <w:rPr>
                <w:rFonts w:ascii="Century Gothic" w:eastAsia="Arial Unicode MS" w:hAnsi="Century Gothic" w:cs="Arial"/>
                <w:b/>
                <w:sz w:val="24"/>
                <w:szCs w:val="24"/>
              </w:rPr>
              <w:t>r Manuel Zanella Huerta</w:t>
            </w:r>
          </w:p>
          <w:p w14:paraId="36F6C961" w14:textId="31D492D7" w:rsidR="0090131E" w:rsidRPr="00CE58B8" w:rsidRDefault="0090131E"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Vocal</w:t>
            </w:r>
          </w:p>
        </w:tc>
        <w:tc>
          <w:tcPr>
            <w:tcW w:w="4427" w:type="dxa"/>
          </w:tcPr>
          <w:p w14:paraId="534876AE" w14:textId="420088EA" w:rsidR="00102FBD" w:rsidRPr="00CE58B8" w:rsidRDefault="00102FBD" w:rsidP="001C0CD9">
            <w:pPr>
              <w:pStyle w:val="Sinespaciado"/>
              <w:spacing w:line="276" w:lineRule="auto"/>
              <w:rPr>
                <w:rFonts w:ascii="Century Gothic" w:eastAsia="Arial Unicode MS" w:hAnsi="Century Gothic" w:cs="Arial"/>
                <w:b/>
                <w:sz w:val="24"/>
                <w:szCs w:val="24"/>
              </w:rPr>
            </w:pPr>
          </w:p>
          <w:p w14:paraId="29915E9D" w14:textId="77777777" w:rsidR="00FD1C6B" w:rsidRPr="00CE58B8" w:rsidRDefault="00FD1C6B" w:rsidP="001C0CD9">
            <w:pPr>
              <w:pStyle w:val="Sinespaciado"/>
              <w:spacing w:line="276" w:lineRule="auto"/>
              <w:ind w:firstLine="708"/>
              <w:jc w:val="center"/>
              <w:rPr>
                <w:rFonts w:ascii="Century Gothic" w:eastAsia="Arial Unicode MS" w:hAnsi="Century Gothic" w:cs="Arial"/>
                <w:b/>
                <w:sz w:val="24"/>
                <w:szCs w:val="24"/>
              </w:rPr>
            </w:pPr>
          </w:p>
          <w:p w14:paraId="5C09FA69" w14:textId="77777777" w:rsidR="00102FBD" w:rsidRPr="00CE58B8" w:rsidRDefault="00102FBD" w:rsidP="001C0CD9">
            <w:pPr>
              <w:pStyle w:val="Sinespaciado"/>
              <w:spacing w:line="276" w:lineRule="auto"/>
              <w:ind w:hanging="9"/>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xml:space="preserve">. </w:t>
            </w:r>
            <w:r w:rsidR="00326808" w:rsidRPr="00CE58B8">
              <w:rPr>
                <w:rFonts w:ascii="Century Gothic" w:eastAsia="Arial Unicode MS" w:hAnsi="Century Gothic" w:cs="Arial"/>
                <w:b/>
                <w:sz w:val="24"/>
                <w:szCs w:val="24"/>
              </w:rPr>
              <w:t xml:space="preserve">Janet Melanie </w:t>
            </w:r>
            <w:r w:rsidR="00586F6C" w:rsidRPr="00CE58B8">
              <w:rPr>
                <w:rFonts w:ascii="Century Gothic" w:eastAsia="Arial Unicode MS" w:hAnsi="Century Gothic" w:cs="Arial"/>
                <w:b/>
                <w:sz w:val="24"/>
                <w:szCs w:val="24"/>
              </w:rPr>
              <w:t xml:space="preserve">Murillo Chávez </w:t>
            </w:r>
            <w:r w:rsidRPr="00CE58B8">
              <w:rPr>
                <w:rFonts w:ascii="Century Gothic" w:eastAsia="Arial Unicode MS" w:hAnsi="Century Gothic" w:cs="Arial"/>
                <w:b/>
                <w:sz w:val="24"/>
                <w:szCs w:val="24"/>
              </w:rPr>
              <w:t>Vocal</w:t>
            </w:r>
          </w:p>
          <w:p w14:paraId="59EC0249" w14:textId="1AD897C5" w:rsidR="0090131E" w:rsidRPr="00CE58B8" w:rsidRDefault="0090131E" w:rsidP="001C0CD9">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CE58B8" w:rsidRDefault="00BA2143" w:rsidP="001C0CD9">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CE58B8" w:rsidRDefault="0090131E" w:rsidP="001C0CD9">
            <w:pPr>
              <w:pStyle w:val="Sinespaciado"/>
              <w:spacing w:line="276" w:lineRule="auto"/>
              <w:rPr>
                <w:rFonts w:ascii="Century Gothic" w:eastAsia="Arial Unicode MS" w:hAnsi="Century Gothic" w:cs="Arial"/>
                <w:b/>
                <w:sz w:val="24"/>
                <w:szCs w:val="24"/>
              </w:rPr>
            </w:pPr>
          </w:p>
          <w:p w14:paraId="6D223891" w14:textId="77777777" w:rsidR="0090131E" w:rsidRPr="00CE58B8" w:rsidRDefault="0090131E" w:rsidP="001C0CD9">
            <w:pPr>
              <w:pStyle w:val="Sinespaciado"/>
              <w:spacing w:line="276" w:lineRule="auto"/>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xml:space="preserve">. Martha Edith Moreno </w:t>
            </w:r>
            <w:r w:rsidR="00BA2143" w:rsidRPr="00CE58B8">
              <w:rPr>
                <w:rFonts w:ascii="Century Gothic" w:eastAsia="Arial Unicode MS" w:hAnsi="Century Gothic" w:cs="Arial"/>
                <w:b/>
                <w:sz w:val="24"/>
                <w:szCs w:val="24"/>
              </w:rPr>
              <w:t>Valencia</w:t>
            </w:r>
          </w:p>
          <w:p w14:paraId="3062D55B" w14:textId="5BFA27BD" w:rsidR="00BA2143" w:rsidRPr="001720FA" w:rsidRDefault="00BA2143"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w:t>
            </w:r>
            <w:r w:rsidR="00480BD8" w:rsidRPr="00CE58B8">
              <w:rPr>
                <w:rFonts w:ascii="Century Gothic" w:eastAsia="Arial Unicode MS" w:hAnsi="Century Gothic" w:cs="Arial"/>
                <w:b/>
                <w:sz w:val="24"/>
                <w:szCs w:val="24"/>
              </w:rPr>
              <w:t>l</w:t>
            </w:r>
          </w:p>
        </w:tc>
      </w:tr>
    </w:tbl>
    <w:p w14:paraId="1C91ABB3" w14:textId="421DD136" w:rsidR="00A176D7" w:rsidRDefault="00A176D7" w:rsidP="001C0CD9">
      <w:pPr>
        <w:spacing w:line="276" w:lineRule="auto"/>
        <w:jc w:val="both"/>
        <w:rPr>
          <w:rFonts w:ascii="Century Gothic" w:hAnsi="Century Gothic" w:cs="Arial"/>
          <w:b/>
          <w:bCs/>
        </w:rPr>
      </w:pPr>
    </w:p>
    <w:p w14:paraId="601CC109" w14:textId="77777777" w:rsidR="00D016AD" w:rsidRDefault="00D016AD" w:rsidP="001C0CD9">
      <w:pPr>
        <w:spacing w:line="276" w:lineRule="auto"/>
        <w:jc w:val="both"/>
        <w:rPr>
          <w:rFonts w:ascii="Century Gothic" w:hAnsi="Century Gothic" w:cs="Arial"/>
          <w:b/>
          <w:bCs/>
        </w:rPr>
      </w:pPr>
    </w:p>
    <w:p w14:paraId="6B433A8F" w14:textId="77777777" w:rsidR="00D016AD" w:rsidRDefault="00D016AD" w:rsidP="001C0CD9">
      <w:pPr>
        <w:spacing w:line="276" w:lineRule="auto"/>
        <w:jc w:val="both"/>
        <w:rPr>
          <w:rFonts w:ascii="Century Gothic" w:hAnsi="Century Gothic" w:cs="Arial"/>
          <w:b/>
          <w:bCs/>
        </w:rPr>
      </w:pPr>
    </w:p>
    <w:p w14:paraId="46ED0FA6" w14:textId="77777777" w:rsidR="00D016AD" w:rsidRDefault="00D016AD" w:rsidP="001C0CD9">
      <w:pPr>
        <w:spacing w:line="276" w:lineRule="auto"/>
        <w:jc w:val="both"/>
        <w:rPr>
          <w:rFonts w:ascii="Century Gothic" w:hAnsi="Century Gothic" w:cs="Arial"/>
          <w:b/>
          <w:bCs/>
        </w:rPr>
      </w:pPr>
    </w:p>
    <w:p w14:paraId="78208464" w14:textId="77777777" w:rsidR="00D016AD" w:rsidRDefault="00D016AD" w:rsidP="001C0CD9">
      <w:pPr>
        <w:spacing w:line="276" w:lineRule="auto"/>
        <w:jc w:val="both"/>
        <w:rPr>
          <w:rFonts w:ascii="Century Gothic" w:hAnsi="Century Gothic" w:cs="Arial"/>
          <w:b/>
          <w:bCs/>
        </w:rPr>
      </w:pPr>
    </w:p>
    <w:p w14:paraId="3D99744A" w14:textId="77777777" w:rsidR="00D016AD" w:rsidRDefault="00D016AD" w:rsidP="001C0CD9">
      <w:pPr>
        <w:spacing w:line="276" w:lineRule="auto"/>
        <w:jc w:val="both"/>
        <w:rPr>
          <w:rFonts w:ascii="Century Gothic" w:hAnsi="Century Gothic" w:cs="Arial"/>
          <w:b/>
          <w:bCs/>
        </w:rPr>
      </w:pPr>
    </w:p>
    <w:p w14:paraId="4E5C5984" w14:textId="463290BB" w:rsidR="00D016AD" w:rsidRPr="00D016AD" w:rsidRDefault="00D016AD" w:rsidP="00D016AD">
      <w:pPr>
        <w:autoSpaceDE w:val="0"/>
        <w:autoSpaceDN w:val="0"/>
        <w:adjustRightInd w:val="0"/>
        <w:jc w:val="both"/>
        <w:rPr>
          <w:rFonts w:ascii="Century Gothic" w:hAnsi="Century Gothic"/>
          <w:sz w:val="16"/>
          <w:szCs w:val="16"/>
        </w:rPr>
      </w:pPr>
      <w:r w:rsidRPr="00D016AD">
        <w:rPr>
          <w:rFonts w:ascii="Century Gothic" w:hAnsi="Century Gothic" w:cs="Arial"/>
          <w:sz w:val="16"/>
          <w:szCs w:val="16"/>
        </w:rPr>
        <w:t>La presente hoja forma parte del dictamen emitido por la Comisión de Desarrollo Económico y Social mediante el cual s</w:t>
      </w:r>
      <w:r w:rsidRPr="00D016AD">
        <w:rPr>
          <w:rFonts w:ascii="Century Gothic" w:hAnsi="Century Gothic" w:cs="Arial"/>
          <w:sz w:val="16"/>
          <w:szCs w:val="16"/>
        </w:rPr>
        <w:t>e ordena el archivo definitivo de la propuesta de punto de acuerdo suscrito por el diputado David Martínez Mendizábal, integrante del Grupo Parlamentario del Partido MORENA, para exhortar al a la Secretaría de Desarrollo Social y Humano del Estado de Guanajuato, para que lleve a cabo la evaluación del impacto que ha tenido la política de desarrollo social estatal en el combate a la pobreza en Guanajuato, determinando la contribución y peso específico de los diferentes factores y políticas concurrentes en el territorio guanajuatense que explican la reducción de pobreza en la entidad.</w:t>
      </w:r>
      <w:r>
        <w:rPr>
          <w:rFonts w:ascii="Century Gothic" w:hAnsi="Century Gothic" w:cs="Arial"/>
          <w:sz w:val="16"/>
          <w:szCs w:val="16"/>
        </w:rPr>
        <w:t xml:space="preserve"> ELD 360/LXV-I. - - - - - - - - - - - - - - - - - - - - - - - - - - - - - - - - - - - - - - - - - - - - - - - - - </w:t>
      </w:r>
    </w:p>
    <w:sectPr w:rsidR="00D016AD" w:rsidRPr="00D016AD" w:rsidSect="002D3C66">
      <w:headerReference w:type="default" r:id="rId8"/>
      <w:footerReference w:type="default" r:id="rId9"/>
      <w:pgSz w:w="12240" w:h="15840"/>
      <w:pgMar w:top="3241" w:right="1701" w:bottom="1134"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72312" w14:textId="77777777" w:rsidR="002D3C66" w:rsidRDefault="002D3C66" w:rsidP="008157F5">
      <w:r>
        <w:separator/>
      </w:r>
    </w:p>
  </w:endnote>
  <w:endnote w:type="continuationSeparator" w:id="0">
    <w:p w14:paraId="4AF95194" w14:textId="77777777" w:rsidR="002D3C66" w:rsidRDefault="002D3C66"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p w14:paraId="4765DC65" w14:textId="77777777" w:rsidR="00624A80" w:rsidRDefault="00624A80"/>
  <w:p w14:paraId="3B2A9F5B" w14:textId="77777777" w:rsidR="00624A80" w:rsidRDefault="00624A80"/>
  <w:p w14:paraId="28B37315" w14:textId="77777777" w:rsidR="00624A80" w:rsidRDefault="00624A80"/>
  <w:p w14:paraId="58ACD7FD" w14:textId="77777777" w:rsidR="00624A80" w:rsidRDefault="00624A80"/>
  <w:p w14:paraId="61C9E62F" w14:textId="77777777" w:rsidR="00624A80" w:rsidRDefault="00624A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606AA" w14:textId="77777777" w:rsidR="002D3C66" w:rsidRDefault="002D3C66" w:rsidP="008157F5">
      <w:r>
        <w:separator/>
      </w:r>
    </w:p>
  </w:footnote>
  <w:footnote w:type="continuationSeparator" w:id="0">
    <w:p w14:paraId="0421E1B1" w14:textId="77777777" w:rsidR="002D3C66" w:rsidRDefault="002D3C66" w:rsidP="008157F5">
      <w:r>
        <w:continuationSeparator/>
      </w:r>
    </w:p>
  </w:footnote>
  <w:footnote w:id="1">
    <w:p w14:paraId="0D93C9B8" w14:textId="1B201648" w:rsidR="00585E47" w:rsidRDefault="00585E47" w:rsidP="00585E47">
      <w:pPr>
        <w:pStyle w:val="Textonotapie"/>
        <w:jc w:val="both"/>
      </w:pPr>
      <w:r>
        <w:rPr>
          <w:rStyle w:val="Refdenotaalpie"/>
        </w:rPr>
        <w:footnoteRef/>
      </w:r>
      <w:r>
        <w:t xml:space="preserve"> </w:t>
      </w:r>
      <w:r w:rsidRPr="00585E47">
        <w:rPr>
          <w:rFonts w:ascii="Century Gothic" w:hAnsi="Century Gothic" w:cs="Arial"/>
          <w:sz w:val="16"/>
          <w:szCs w:val="16"/>
        </w:rPr>
        <w:t>Reglamento de la Ley de Desarrollo Social y Humano para el Estado y los Municipios de Guanajuato en materia de Monitoreo y Evaluación de Programas Sociales</w:t>
      </w:r>
      <w:r>
        <w:rPr>
          <w:sz w:val="16"/>
          <w:szCs w:val="16"/>
        </w:rPr>
        <w:t xml:space="preserve">. Consultado: </w:t>
      </w:r>
      <w:hyperlink r:id="rId1" w:history="1">
        <w:r w:rsidRPr="00D477A5">
          <w:rPr>
            <w:rStyle w:val="Hipervnculo"/>
            <w:sz w:val="16"/>
            <w:szCs w:val="16"/>
          </w:rPr>
          <w:t>https://portalsocial.guanajuato.gob.mx/sites/default/files/documentos/20151030_GOBIERNO_DEL_ESTADO_Reglamento_ley_de_desarrollo_social_y_humano_en_materia_de_monitoreo_y_evaluacion_1.pdf</w:t>
        </w:r>
      </w:hyperlink>
      <w:r>
        <w:t xml:space="preserve"> </w:t>
      </w:r>
    </w:p>
  </w:footnote>
  <w:footnote w:id="2">
    <w:p w14:paraId="1FDE0FAF" w14:textId="77777777" w:rsidR="00E47CC5" w:rsidRDefault="00E47CC5" w:rsidP="00E47CC5">
      <w:pPr>
        <w:pStyle w:val="Textonotapie"/>
        <w:jc w:val="both"/>
      </w:pPr>
      <w:r>
        <w:rPr>
          <w:rStyle w:val="Refdenotaalpie"/>
        </w:rPr>
        <w:footnoteRef/>
      </w:r>
      <w:r>
        <w:t xml:space="preserve"> Se sugiere revisar: CONEVAL, 2023. Diagnóstico del avance en monitoreo y evaluación en las entidades federativas 2023.</w:t>
      </w:r>
    </w:p>
    <w:p w14:paraId="7066A029" w14:textId="77777777" w:rsidR="00E47CC5" w:rsidRDefault="00E47CC5" w:rsidP="00E47CC5">
      <w:pPr>
        <w:pStyle w:val="Textonotapie"/>
        <w:jc w:val="both"/>
        <w:rPr>
          <w:lang w:val="pt-PT"/>
        </w:rPr>
      </w:pPr>
      <w:r w:rsidRPr="00E47CC5">
        <w:rPr>
          <w:lang w:val="pt-PT"/>
        </w:rPr>
        <w:t>Para</w:t>
      </w:r>
      <w:r>
        <w:rPr>
          <w:lang w:val="pt-PT"/>
        </w:rPr>
        <w:t xml:space="preserve"> </w:t>
      </w:r>
      <w:r w:rsidRPr="00E47CC5">
        <w:rPr>
          <w:lang w:val="pt-PT"/>
        </w:rPr>
        <w:t>consulta:</w:t>
      </w:r>
    </w:p>
    <w:p w14:paraId="3458DD76" w14:textId="65CFCFE0" w:rsidR="00E47CC5" w:rsidRPr="00E47CC5" w:rsidRDefault="00E47CC5" w:rsidP="00E47CC5">
      <w:pPr>
        <w:pStyle w:val="Textonotapie"/>
        <w:jc w:val="both"/>
        <w:rPr>
          <w:lang w:val="pt-PT"/>
        </w:rPr>
      </w:pPr>
      <w:r w:rsidRPr="00E47CC5">
        <w:rPr>
          <w:lang w:val="pt-PT"/>
        </w:rPr>
        <w:t xml:space="preserve"> </w:t>
      </w:r>
      <w:hyperlink r:id="rId2" w:history="1">
        <w:r w:rsidRPr="00E47CC5">
          <w:rPr>
            <w:rStyle w:val="Hipervnculo"/>
            <w:lang w:val="pt-PT"/>
          </w:rPr>
          <w:t>https://www.coneval.org.mx/coordinacion/entidades/Documents/Diagnostico_2023/Diagnostico_2023.pdf</w:t>
        </w:r>
      </w:hyperlink>
    </w:p>
    <w:p w14:paraId="36C9EAFC" w14:textId="77777777" w:rsidR="00E47CC5" w:rsidRPr="00E47CC5" w:rsidRDefault="00E47CC5" w:rsidP="00E47CC5">
      <w:pPr>
        <w:pStyle w:val="Textonotapie"/>
        <w:jc w:val="both"/>
        <w:rPr>
          <w:lang w:val="pt-P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2D92CDDA" w:rsidR="008157F5" w:rsidRDefault="008157F5" w:rsidP="00AC2EE3">
    <w:pPr>
      <w:pStyle w:val="Encabezado"/>
    </w:pPr>
    <w:r>
      <w:rPr>
        <w:noProof/>
      </w:rPr>
      <w:drawing>
        <wp:inline distT="0" distB="0" distL="0" distR="0" wp14:anchorId="0CC2D033" wp14:editId="73EFE574">
          <wp:extent cx="1307432" cy="1265705"/>
          <wp:effectExtent l="0" t="0" r="1270" b="4445"/>
          <wp:docPr id="1128669930" name="Imagen 11286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p w14:paraId="68623FC3" w14:textId="77777777" w:rsidR="00624A80" w:rsidRDefault="00624A80"/>
  <w:p w14:paraId="721B3512" w14:textId="77777777" w:rsidR="00624A80" w:rsidRDefault="00624A80"/>
  <w:p w14:paraId="627558A2" w14:textId="77777777" w:rsidR="00624A80" w:rsidRDefault="00624A80"/>
  <w:p w14:paraId="3F785178" w14:textId="77777777" w:rsidR="00624A80" w:rsidRDefault="00624A80"/>
  <w:p w14:paraId="22777AD5" w14:textId="77777777" w:rsidR="00624A80" w:rsidRDefault="00624A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pt;height:1.4pt;visibility:visible;mso-wrap-style:square" o:bullet="t">
        <v:imagedata r:id="rId1" o:title=""/>
      </v:shape>
    </w:pict>
  </w:numPicBullet>
  <w:abstractNum w:abstractNumId="0" w15:restartNumberingAfterBreak="0">
    <w:nsid w:val="9A71C8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D3419"/>
    <w:multiLevelType w:val="hybridMultilevel"/>
    <w:tmpl w:val="860C0A68"/>
    <w:lvl w:ilvl="0" w:tplc="8848B5BA">
      <w:start w:val="5"/>
      <w:numFmt w:val="upperRoman"/>
      <w:lvlText w:val="%1."/>
      <w:lvlJc w:val="left"/>
      <w:pPr>
        <w:ind w:left="3403" w:hanging="423"/>
      </w:pPr>
      <w:rPr>
        <w:rFonts w:ascii="Century Gothic" w:eastAsia="Century Gothic" w:hAnsi="Century Gothic" w:cs="Century Gothic" w:hint="default"/>
        <w:b w:val="0"/>
        <w:bCs w:val="0"/>
        <w:i w:val="0"/>
        <w:iCs w:val="0"/>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91D40"/>
    <w:multiLevelType w:val="hybridMultilevel"/>
    <w:tmpl w:val="CC52D946"/>
    <w:lvl w:ilvl="0" w:tplc="B366C960">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F0113A"/>
    <w:multiLevelType w:val="hybridMultilevel"/>
    <w:tmpl w:val="BD60A5A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3D67F8"/>
    <w:multiLevelType w:val="hybridMultilevel"/>
    <w:tmpl w:val="E2DCC08A"/>
    <w:lvl w:ilvl="0" w:tplc="080A001B">
      <w:start w:val="1"/>
      <w:numFmt w:val="lowerRoman"/>
      <w:lvlText w:val="%1."/>
      <w:lvlJc w:val="righ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5" w15:restartNumberingAfterBreak="0">
    <w:nsid w:val="0F601139"/>
    <w:multiLevelType w:val="hybridMultilevel"/>
    <w:tmpl w:val="E91C83F0"/>
    <w:lvl w:ilvl="0" w:tplc="080A001B">
      <w:start w:val="1"/>
      <w:numFmt w:val="low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6"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 w15:restartNumberingAfterBreak="0">
    <w:nsid w:val="18F53162"/>
    <w:multiLevelType w:val="hybridMultilevel"/>
    <w:tmpl w:val="29B421C4"/>
    <w:lvl w:ilvl="0" w:tplc="C5BC65B0">
      <w:start w:val="1"/>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8921B1"/>
    <w:multiLevelType w:val="hybridMultilevel"/>
    <w:tmpl w:val="9668B844"/>
    <w:lvl w:ilvl="0" w:tplc="FFFFFFFF">
      <w:start w:val="1"/>
      <w:numFmt w:val="upperRoman"/>
      <w:lvlText w:val="%1."/>
      <w:lvlJc w:val="left"/>
      <w:pPr>
        <w:ind w:left="862" w:hanging="720"/>
      </w:pPr>
      <w:rPr>
        <w:rFonts w:hint="default"/>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1F1B76DD"/>
    <w:multiLevelType w:val="hybridMultilevel"/>
    <w:tmpl w:val="4E36CB3C"/>
    <w:lvl w:ilvl="0" w:tplc="25AE123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0" w15:restartNumberingAfterBreak="0">
    <w:nsid w:val="2063289A"/>
    <w:multiLevelType w:val="hybridMultilevel"/>
    <w:tmpl w:val="3FE45FCE"/>
    <w:lvl w:ilvl="0" w:tplc="4BFC6BB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2"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4"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5" w15:restartNumberingAfterBreak="0">
    <w:nsid w:val="39FE7B11"/>
    <w:multiLevelType w:val="hybridMultilevel"/>
    <w:tmpl w:val="FFEA6AE2"/>
    <w:lvl w:ilvl="0" w:tplc="7C36CB0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15:restartNumberingAfterBreak="0">
    <w:nsid w:val="44147C87"/>
    <w:multiLevelType w:val="hybridMultilevel"/>
    <w:tmpl w:val="9668B844"/>
    <w:lvl w:ilvl="0" w:tplc="90DCEBA6">
      <w:start w:val="1"/>
      <w:numFmt w:val="upperRoman"/>
      <w:lvlText w:val="%1."/>
      <w:lvlJc w:val="left"/>
      <w:pPr>
        <w:ind w:left="862" w:hanging="720"/>
      </w:pPr>
      <w:rPr>
        <w:rFonts w:hint="default"/>
        <w:b w:val="0"/>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7"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B0A0F00"/>
    <w:multiLevelType w:val="hybridMultilevel"/>
    <w:tmpl w:val="957E7A44"/>
    <w:lvl w:ilvl="0" w:tplc="A758758A">
      <w:start w:val="1"/>
      <w:numFmt w:val="low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55491FA9"/>
    <w:multiLevelType w:val="hybridMultilevel"/>
    <w:tmpl w:val="B4E8B942"/>
    <w:lvl w:ilvl="0" w:tplc="9ED28AA4">
      <w:start w:val="4"/>
      <w:numFmt w:val="upperRoman"/>
      <w:lvlText w:val="%1."/>
      <w:lvlJc w:val="left"/>
      <w:pPr>
        <w:ind w:left="3403" w:hanging="423"/>
      </w:pPr>
      <w:rPr>
        <w:rFonts w:ascii="Century Gothic" w:eastAsia="Century Gothic" w:hAnsi="Century Gothic" w:cs="Century Gothic" w:hint="default"/>
        <w:b w:val="0"/>
        <w:bCs w:val="0"/>
        <w:i w:val="0"/>
        <w:iCs w:val="0"/>
        <w:w w:val="100"/>
        <w:sz w:val="22"/>
        <w:szCs w:val="22"/>
        <w:lang w:val="es-ES" w:eastAsia="en-US" w:bidi="ar-SA"/>
      </w:rPr>
    </w:lvl>
    <w:lvl w:ilvl="1" w:tplc="7064371A">
      <w:numFmt w:val="bullet"/>
      <w:lvlText w:val="•"/>
      <w:lvlJc w:val="left"/>
      <w:pPr>
        <w:ind w:left="4284" w:hanging="423"/>
      </w:pPr>
      <w:rPr>
        <w:rFonts w:hint="default"/>
        <w:lang w:val="es-ES" w:eastAsia="en-US" w:bidi="ar-SA"/>
      </w:rPr>
    </w:lvl>
    <w:lvl w:ilvl="2" w:tplc="5A5C116C">
      <w:numFmt w:val="bullet"/>
      <w:lvlText w:val="•"/>
      <w:lvlJc w:val="left"/>
      <w:pPr>
        <w:ind w:left="5168" w:hanging="423"/>
      </w:pPr>
      <w:rPr>
        <w:rFonts w:hint="default"/>
        <w:lang w:val="es-ES" w:eastAsia="en-US" w:bidi="ar-SA"/>
      </w:rPr>
    </w:lvl>
    <w:lvl w:ilvl="3" w:tplc="DA8847CC">
      <w:numFmt w:val="bullet"/>
      <w:lvlText w:val="•"/>
      <w:lvlJc w:val="left"/>
      <w:pPr>
        <w:ind w:left="6052" w:hanging="423"/>
      </w:pPr>
      <w:rPr>
        <w:rFonts w:hint="default"/>
        <w:lang w:val="es-ES" w:eastAsia="en-US" w:bidi="ar-SA"/>
      </w:rPr>
    </w:lvl>
    <w:lvl w:ilvl="4" w:tplc="CAC2291A">
      <w:numFmt w:val="bullet"/>
      <w:lvlText w:val="•"/>
      <w:lvlJc w:val="left"/>
      <w:pPr>
        <w:ind w:left="6936" w:hanging="423"/>
      </w:pPr>
      <w:rPr>
        <w:rFonts w:hint="default"/>
        <w:lang w:val="es-ES" w:eastAsia="en-US" w:bidi="ar-SA"/>
      </w:rPr>
    </w:lvl>
    <w:lvl w:ilvl="5" w:tplc="224C18E0">
      <w:numFmt w:val="bullet"/>
      <w:lvlText w:val="•"/>
      <w:lvlJc w:val="left"/>
      <w:pPr>
        <w:ind w:left="7820" w:hanging="423"/>
      </w:pPr>
      <w:rPr>
        <w:rFonts w:hint="default"/>
        <w:lang w:val="es-ES" w:eastAsia="en-US" w:bidi="ar-SA"/>
      </w:rPr>
    </w:lvl>
    <w:lvl w:ilvl="6" w:tplc="B73E7C04">
      <w:numFmt w:val="bullet"/>
      <w:lvlText w:val="•"/>
      <w:lvlJc w:val="left"/>
      <w:pPr>
        <w:ind w:left="8704" w:hanging="423"/>
      </w:pPr>
      <w:rPr>
        <w:rFonts w:hint="default"/>
        <w:lang w:val="es-ES" w:eastAsia="en-US" w:bidi="ar-SA"/>
      </w:rPr>
    </w:lvl>
    <w:lvl w:ilvl="7" w:tplc="074AEAEC">
      <w:numFmt w:val="bullet"/>
      <w:lvlText w:val="•"/>
      <w:lvlJc w:val="left"/>
      <w:pPr>
        <w:ind w:left="9588" w:hanging="423"/>
      </w:pPr>
      <w:rPr>
        <w:rFonts w:hint="default"/>
        <w:lang w:val="es-ES" w:eastAsia="en-US" w:bidi="ar-SA"/>
      </w:rPr>
    </w:lvl>
    <w:lvl w:ilvl="8" w:tplc="211235A8">
      <w:numFmt w:val="bullet"/>
      <w:lvlText w:val="•"/>
      <w:lvlJc w:val="left"/>
      <w:pPr>
        <w:ind w:left="10472" w:hanging="423"/>
      </w:pPr>
      <w:rPr>
        <w:rFonts w:hint="default"/>
        <w:lang w:val="es-ES" w:eastAsia="en-US" w:bidi="ar-SA"/>
      </w:rPr>
    </w:lvl>
  </w:abstractNum>
  <w:abstractNum w:abstractNumId="24" w15:restartNumberingAfterBreak="0">
    <w:nsid w:val="572D3122"/>
    <w:multiLevelType w:val="hybridMultilevel"/>
    <w:tmpl w:val="5BCAAE0A"/>
    <w:lvl w:ilvl="0" w:tplc="28E2CAD8">
      <w:start w:val="6"/>
      <w:numFmt w:val="upperRoman"/>
      <w:lvlText w:val="%1."/>
      <w:lvlJc w:val="left"/>
      <w:pPr>
        <w:ind w:left="598" w:hanging="354"/>
      </w:pPr>
      <w:rPr>
        <w:rFonts w:hint="default"/>
        <w:spacing w:val="-1"/>
        <w:w w:val="107"/>
        <w:lang w:val="es-ES" w:eastAsia="en-US" w:bidi="ar-SA"/>
      </w:rPr>
    </w:lvl>
    <w:lvl w:ilvl="1" w:tplc="093E0FDC">
      <w:numFmt w:val="bullet"/>
      <w:lvlText w:val="•"/>
      <w:lvlJc w:val="left"/>
      <w:pPr>
        <w:ind w:left="1618" w:hanging="354"/>
      </w:pPr>
      <w:rPr>
        <w:rFonts w:hint="default"/>
        <w:lang w:val="es-ES" w:eastAsia="en-US" w:bidi="ar-SA"/>
      </w:rPr>
    </w:lvl>
    <w:lvl w:ilvl="2" w:tplc="EF869F62">
      <w:numFmt w:val="bullet"/>
      <w:lvlText w:val="•"/>
      <w:lvlJc w:val="left"/>
      <w:pPr>
        <w:ind w:left="2636" w:hanging="354"/>
      </w:pPr>
      <w:rPr>
        <w:rFonts w:hint="default"/>
        <w:lang w:val="es-ES" w:eastAsia="en-US" w:bidi="ar-SA"/>
      </w:rPr>
    </w:lvl>
    <w:lvl w:ilvl="3" w:tplc="E3E0C464">
      <w:numFmt w:val="bullet"/>
      <w:lvlText w:val="•"/>
      <w:lvlJc w:val="left"/>
      <w:pPr>
        <w:ind w:left="3654" w:hanging="354"/>
      </w:pPr>
      <w:rPr>
        <w:rFonts w:hint="default"/>
        <w:lang w:val="es-ES" w:eastAsia="en-US" w:bidi="ar-SA"/>
      </w:rPr>
    </w:lvl>
    <w:lvl w:ilvl="4" w:tplc="D2BCFA5C">
      <w:numFmt w:val="bullet"/>
      <w:lvlText w:val="•"/>
      <w:lvlJc w:val="left"/>
      <w:pPr>
        <w:ind w:left="4672" w:hanging="354"/>
      </w:pPr>
      <w:rPr>
        <w:rFonts w:hint="default"/>
        <w:lang w:val="es-ES" w:eastAsia="en-US" w:bidi="ar-SA"/>
      </w:rPr>
    </w:lvl>
    <w:lvl w:ilvl="5" w:tplc="3BD85AEE">
      <w:numFmt w:val="bullet"/>
      <w:lvlText w:val="•"/>
      <w:lvlJc w:val="left"/>
      <w:pPr>
        <w:ind w:left="5690" w:hanging="354"/>
      </w:pPr>
      <w:rPr>
        <w:rFonts w:hint="default"/>
        <w:lang w:val="es-ES" w:eastAsia="en-US" w:bidi="ar-SA"/>
      </w:rPr>
    </w:lvl>
    <w:lvl w:ilvl="6" w:tplc="F868565A">
      <w:numFmt w:val="bullet"/>
      <w:lvlText w:val="•"/>
      <w:lvlJc w:val="left"/>
      <w:pPr>
        <w:ind w:left="6708" w:hanging="354"/>
      </w:pPr>
      <w:rPr>
        <w:rFonts w:hint="default"/>
        <w:lang w:val="es-ES" w:eastAsia="en-US" w:bidi="ar-SA"/>
      </w:rPr>
    </w:lvl>
    <w:lvl w:ilvl="7" w:tplc="3112F970">
      <w:numFmt w:val="bullet"/>
      <w:lvlText w:val="•"/>
      <w:lvlJc w:val="left"/>
      <w:pPr>
        <w:ind w:left="7726" w:hanging="354"/>
      </w:pPr>
      <w:rPr>
        <w:rFonts w:hint="default"/>
        <w:lang w:val="es-ES" w:eastAsia="en-US" w:bidi="ar-SA"/>
      </w:rPr>
    </w:lvl>
    <w:lvl w:ilvl="8" w:tplc="FFBA2444">
      <w:numFmt w:val="bullet"/>
      <w:lvlText w:val="•"/>
      <w:lvlJc w:val="left"/>
      <w:pPr>
        <w:ind w:left="8744" w:hanging="354"/>
      </w:pPr>
      <w:rPr>
        <w:rFonts w:hint="default"/>
        <w:lang w:val="es-ES" w:eastAsia="en-US" w:bidi="ar-SA"/>
      </w:rPr>
    </w:lvl>
  </w:abstractNum>
  <w:abstractNum w:abstractNumId="25"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58EE7A4C"/>
    <w:multiLevelType w:val="hybridMultilevel"/>
    <w:tmpl w:val="6A3ABFE2"/>
    <w:lvl w:ilvl="0" w:tplc="ECCE6254">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E082345"/>
    <w:multiLevelType w:val="hybridMultilevel"/>
    <w:tmpl w:val="7D663372"/>
    <w:lvl w:ilvl="0" w:tplc="D0921A0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9" w15:restartNumberingAfterBreak="0">
    <w:nsid w:val="615B311F"/>
    <w:multiLevelType w:val="hybridMultilevel"/>
    <w:tmpl w:val="263876C8"/>
    <w:lvl w:ilvl="0" w:tplc="37DA17F2">
      <w:start w:val="1"/>
      <w:numFmt w:val="low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0" w15:restartNumberingAfterBreak="0">
    <w:nsid w:val="65164002"/>
    <w:multiLevelType w:val="hybridMultilevel"/>
    <w:tmpl w:val="71B6E1B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6BA4D67"/>
    <w:multiLevelType w:val="hybridMultilevel"/>
    <w:tmpl w:val="38547ED8"/>
    <w:lvl w:ilvl="0" w:tplc="B366C960">
      <w:start w:val="1"/>
      <w:numFmt w:val="lowerRoman"/>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2" w15:restartNumberingAfterBreak="0">
    <w:nsid w:val="69425BBA"/>
    <w:multiLevelType w:val="hybridMultilevel"/>
    <w:tmpl w:val="A6F8E8AE"/>
    <w:lvl w:ilvl="0" w:tplc="ED86B71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3" w15:restartNumberingAfterBreak="0">
    <w:nsid w:val="6B804B2E"/>
    <w:multiLevelType w:val="hybridMultilevel"/>
    <w:tmpl w:val="29B421C4"/>
    <w:lvl w:ilvl="0" w:tplc="FFFFFFFF">
      <w:start w:val="1"/>
      <w:numFmt w:val="upperRoman"/>
      <w:lvlText w:val="%1."/>
      <w:lvlJc w:val="left"/>
      <w:pPr>
        <w:ind w:left="1080" w:hanging="72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CB29CB"/>
    <w:multiLevelType w:val="hybridMultilevel"/>
    <w:tmpl w:val="490237C8"/>
    <w:lvl w:ilvl="0" w:tplc="BFC09F7E">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36"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FEA284A"/>
    <w:multiLevelType w:val="hybridMultilevel"/>
    <w:tmpl w:val="11FE92C4"/>
    <w:lvl w:ilvl="0" w:tplc="BC44356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21026D2"/>
    <w:multiLevelType w:val="hybridMultilevel"/>
    <w:tmpl w:val="1A5EFED8"/>
    <w:lvl w:ilvl="0" w:tplc="AC2CC70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9" w15:restartNumberingAfterBreak="0">
    <w:nsid w:val="75340C31"/>
    <w:multiLevelType w:val="hybridMultilevel"/>
    <w:tmpl w:val="81B2E6D8"/>
    <w:lvl w:ilvl="0" w:tplc="B366C960">
      <w:start w:val="1"/>
      <w:numFmt w:val="low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0"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AD34831"/>
    <w:multiLevelType w:val="hybridMultilevel"/>
    <w:tmpl w:val="D1482D12"/>
    <w:lvl w:ilvl="0" w:tplc="78FE1326">
      <w:start w:val="1"/>
      <w:numFmt w:val="decimal"/>
      <w:lvlText w:val="%1."/>
      <w:lvlJc w:val="left"/>
      <w:pPr>
        <w:ind w:left="221" w:hanging="281"/>
      </w:pPr>
      <w:rPr>
        <w:rFonts w:ascii="Arial" w:eastAsia="Arial" w:hAnsi="Arial" w:cs="Arial" w:hint="default"/>
        <w:b w:val="0"/>
        <w:bCs w:val="0"/>
        <w:i/>
        <w:iCs/>
        <w:w w:val="100"/>
        <w:sz w:val="22"/>
        <w:szCs w:val="22"/>
        <w:lang w:val="es-ES" w:eastAsia="en-US" w:bidi="ar-SA"/>
      </w:rPr>
    </w:lvl>
    <w:lvl w:ilvl="1" w:tplc="C93A6774">
      <w:numFmt w:val="bullet"/>
      <w:lvlText w:val=""/>
      <w:lvlJc w:val="left"/>
      <w:pPr>
        <w:ind w:left="929" w:hanging="281"/>
      </w:pPr>
      <w:rPr>
        <w:rFonts w:ascii="Symbol" w:eastAsia="Symbol" w:hAnsi="Symbol" w:cs="Symbol" w:hint="default"/>
        <w:b/>
        <w:bCs/>
        <w:i w:val="0"/>
        <w:iCs w:val="0"/>
        <w:w w:val="100"/>
        <w:sz w:val="24"/>
        <w:szCs w:val="24"/>
        <w:lang w:val="es-ES" w:eastAsia="en-US" w:bidi="ar-SA"/>
      </w:rPr>
    </w:lvl>
    <w:lvl w:ilvl="2" w:tplc="B9C66004">
      <w:numFmt w:val="bullet"/>
      <w:lvlText w:val="•"/>
      <w:lvlJc w:val="left"/>
      <w:pPr>
        <w:ind w:left="1873" w:hanging="281"/>
      </w:pPr>
      <w:rPr>
        <w:rFonts w:hint="default"/>
        <w:lang w:val="es-ES" w:eastAsia="en-US" w:bidi="ar-SA"/>
      </w:rPr>
    </w:lvl>
    <w:lvl w:ilvl="3" w:tplc="CF1AB0BA">
      <w:numFmt w:val="bullet"/>
      <w:lvlText w:val="•"/>
      <w:lvlJc w:val="left"/>
      <w:pPr>
        <w:ind w:left="2826" w:hanging="281"/>
      </w:pPr>
      <w:rPr>
        <w:rFonts w:hint="default"/>
        <w:lang w:val="es-ES" w:eastAsia="en-US" w:bidi="ar-SA"/>
      </w:rPr>
    </w:lvl>
    <w:lvl w:ilvl="4" w:tplc="7F4609DE">
      <w:numFmt w:val="bullet"/>
      <w:lvlText w:val="•"/>
      <w:lvlJc w:val="left"/>
      <w:pPr>
        <w:ind w:left="3780" w:hanging="281"/>
      </w:pPr>
      <w:rPr>
        <w:rFonts w:hint="default"/>
        <w:lang w:val="es-ES" w:eastAsia="en-US" w:bidi="ar-SA"/>
      </w:rPr>
    </w:lvl>
    <w:lvl w:ilvl="5" w:tplc="00425542">
      <w:numFmt w:val="bullet"/>
      <w:lvlText w:val="•"/>
      <w:lvlJc w:val="left"/>
      <w:pPr>
        <w:ind w:left="4733" w:hanging="281"/>
      </w:pPr>
      <w:rPr>
        <w:rFonts w:hint="default"/>
        <w:lang w:val="es-ES" w:eastAsia="en-US" w:bidi="ar-SA"/>
      </w:rPr>
    </w:lvl>
    <w:lvl w:ilvl="6" w:tplc="46E4EB26">
      <w:numFmt w:val="bullet"/>
      <w:lvlText w:val="•"/>
      <w:lvlJc w:val="left"/>
      <w:pPr>
        <w:ind w:left="5686" w:hanging="281"/>
      </w:pPr>
      <w:rPr>
        <w:rFonts w:hint="default"/>
        <w:lang w:val="es-ES" w:eastAsia="en-US" w:bidi="ar-SA"/>
      </w:rPr>
    </w:lvl>
    <w:lvl w:ilvl="7" w:tplc="91C00972">
      <w:numFmt w:val="bullet"/>
      <w:lvlText w:val="•"/>
      <w:lvlJc w:val="left"/>
      <w:pPr>
        <w:ind w:left="6640" w:hanging="281"/>
      </w:pPr>
      <w:rPr>
        <w:rFonts w:hint="default"/>
        <w:lang w:val="es-ES" w:eastAsia="en-US" w:bidi="ar-SA"/>
      </w:rPr>
    </w:lvl>
    <w:lvl w:ilvl="8" w:tplc="9C68E274">
      <w:numFmt w:val="bullet"/>
      <w:lvlText w:val="•"/>
      <w:lvlJc w:val="left"/>
      <w:pPr>
        <w:ind w:left="7593" w:hanging="281"/>
      </w:pPr>
      <w:rPr>
        <w:rFonts w:hint="default"/>
        <w:lang w:val="es-ES" w:eastAsia="en-US" w:bidi="ar-SA"/>
      </w:rPr>
    </w:lvl>
  </w:abstractNum>
  <w:num w:numId="1" w16cid:durableId="2118867447">
    <w:abstractNumId w:val="34"/>
  </w:num>
  <w:num w:numId="2" w16cid:durableId="835801197">
    <w:abstractNumId w:val="36"/>
  </w:num>
  <w:num w:numId="3" w16cid:durableId="2125728478">
    <w:abstractNumId w:val="20"/>
  </w:num>
  <w:num w:numId="4" w16cid:durableId="1180317202">
    <w:abstractNumId w:val="40"/>
  </w:num>
  <w:num w:numId="5" w16cid:durableId="1359426482">
    <w:abstractNumId w:val="27"/>
  </w:num>
  <w:num w:numId="6" w16cid:durableId="172652948">
    <w:abstractNumId w:val="14"/>
  </w:num>
  <w:num w:numId="7" w16cid:durableId="700135222">
    <w:abstractNumId w:val="6"/>
  </w:num>
  <w:num w:numId="8" w16cid:durableId="194463729">
    <w:abstractNumId w:val="11"/>
  </w:num>
  <w:num w:numId="9" w16cid:durableId="1659646720">
    <w:abstractNumId w:val="12"/>
  </w:num>
  <w:num w:numId="10" w16cid:durableId="1048186661">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7"/>
  </w:num>
  <w:num w:numId="14" w16cid:durableId="1296834548">
    <w:abstractNumId w:val="22"/>
  </w:num>
  <w:num w:numId="15" w16cid:durableId="1190680270">
    <w:abstractNumId w:val="18"/>
  </w:num>
  <w:num w:numId="16" w16cid:durableId="2079206193">
    <w:abstractNumId w:val="13"/>
  </w:num>
  <w:num w:numId="17" w16cid:durableId="1738241707">
    <w:abstractNumId w:val="41"/>
  </w:num>
  <w:num w:numId="18" w16cid:durableId="728380544">
    <w:abstractNumId w:val="39"/>
  </w:num>
  <w:num w:numId="19" w16cid:durableId="1981038002">
    <w:abstractNumId w:val="2"/>
  </w:num>
  <w:num w:numId="20" w16cid:durableId="359207358">
    <w:abstractNumId w:val="35"/>
  </w:num>
  <w:num w:numId="21" w16cid:durableId="1888296222">
    <w:abstractNumId w:val="7"/>
  </w:num>
  <w:num w:numId="22" w16cid:durableId="267542646">
    <w:abstractNumId w:val="24"/>
  </w:num>
  <w:num w:numId="23" w16cid:durableId="1318611432">
    <w:abstractNumId w:val="23"/>
  </w:num>
  <w:num w:numId="24" w16cid:durableId="1660962578">
    <w:abstractNumId w:val="16"/>
  </w:num>
  <w:num w:numId="25" w16cid:durableId="1175532046">
    <w:abstractNumId w:val="9"/>
  </w:num>
  <w:num w:numId="26" w16cid:durableId="36007459">
    <w:abstractNumId w:val="1"/>
  </w:num>
  <w:num w:numId="27" w16cid:durableId="1716469370">
    <w:abstractNumId w:val="33"/>
  </w:num>
  <w:num w:numId="28" w16cid:durableId="955020750">
    <w:abstractNumId w:val="10"/>
  </w:num>
  <w:num w:numId="29" w16cid:durableId="1419673454">
    <w:abstractNumId w:val="0"/>
  </w:num>
  <w:num w:numId="30" w16cid:durableId="27995387">
    <w:abstractNumId w:val="26"/>
  </w:num>
  <w:num w:numId="31" w16cid:durableId="843857452">
    <w:abstractNumId w:val="8"/>
  </w:num>
  <w:num w:numId="32" w16cid:durableId="175732251">
    <w:abstractNumId w:val="15"/>
  </w:num>
  <w:num w:numId="33" w16cid:durableId="1548756920">
    <w:abstractNumId w:val="31"/>
  </w:num>
  <w:num w:numId="34" w16cid:durableId="822894908">
    <w:abstractNumId w:val="32"/>
  </w:num>
  <w:num w:numId="35" w16cid:durableId="341393224">
    <w:abstractNumId w:val="28"/>
  </w:num>
  <w:num w:numId="36" w16cid:durableId="86924049">
    <w:abstractNumId w:val="38"/>
  </w:num>
  <w:num w:numId="37" w16cid:durableId="517935865">
    <w:abstractNumId w:val="3"/>
  </w:num>
  <w:num w:numId="38" w16cid:durableId="1101409765">
    <w:abstractNumId w:val="30"/>
  </w:num>
  <w:num w:numId="39" w16cid:durableId="484321391">
    <w:abstractNumId w:val="37"/>
  </w:num>
  <w:num w:numId="40" w16cid:durableId="15007823">
    <w:abstractNumId w:val="5"/>
  </w:num>
  <w:num w:numId="41" w16cid:durableId="1350839941">
    <w:abstractNumId w:val="19"/>
  </w:num>
  <w:num w:numId="42" w16cid:durableId="1699819279">
    <w:abstractNumId w:val="4"/>
  </w:num>
  <w:num w:numId="43" w16cid:durableId="19379772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5FD0"/>
    <w:rsid w:val="00011A15"/>
    <w:rsid w:val="000122FA"/>
    <w:rsid w:val="00013A34"/>
    <w:rsid w:val="00013F6E"/>
    <w:rsid w:val="00022752"/>
    <w:rsid w:val="00023E22"/>
    <w:rsid w:val="00030405"/>
    <w:rsid w:val="00032A9C"/>
    <w:rsid w:val="00034700"/>
    <w:rsid w:val="00035C44"/>
    <w:rsid w:val="00035EF1"/>
    <w:rsid w:val="00037AEC"/>
    <w:rsid w:val="00041E24"/>
    <w:rsid w:val="00043637"/>
    <w:rsid w:val="00046698"/>
    <w:rsid w:val="00050E93"/>
    <w:rsid w:val="00050EB7"/>
    <w:rsid w:val="000512AF"/>
    <w:rsid w:val="00051622"/>
    <w:rsid w:val="00053B67"/>
    <w:rsid w:val="00064133"/>
    <w:rsid w:val="00073030"/>
    <w:rsid w:val="00075973"/>
    <w:rsid w:val="0008001E"/>
    <w:rsid w:val="00081E85"/>
    <w:rsid w:val="000857DE"/>
    <w:rsid w:val="0009164A"/>
    <w:rsid w:val="00091B12"/>
    <w:rsid w:val="00095B1E"/>
    <w:rsid w:val="00095BF8"/>
    <w:rsid w:val="00096B47"/>
    <w:rsid w:val="000A23B0"/>
    <w:rsid w:val="000A2CB8"/>
    <w:rsid w:val="000A5C7A"/>
    <w:rsid w:val="000A5EA1"/>
    <w:rsid w:val="000B4CCB"/>
    <w:rsid w:val="000B5579"/>
    <w:rsid w:val="000B7CBB"/>
    <w:rsid w:val="000C2306"/>
    <w:rsid w:val="000C3E28"/>
    <w:rsid w:val="000D01CB"/>
    <w:rsid w:val="000D1D8B"/>
    <w:rsid w:val="000D1E9E"/>
    <w:rsid w:val="000D5A35"/>
    <w:rsid w:val="000D76C8"/>
    <w:rsid w:val="000E15C7"/>
    <w:rsid w:val="000E24ED"/>
    <w:rsid w:val="000E602C"/>
    <w:rsid w:val="000F1A99"/>
    <w:rsid w:val="000F3951"/>
    <w:rsid w:val="000F3FA4"/>
    <w:rsid w:val="00102FBD"/>
    <w:rsid w:val="0010332A"/>
    <w:rsid w:val="00104B17"/>
    <w:rsid w:val="00107641"/>
    <w:rsid w:val="00115073"/>
    <w:rsid w:val="00120F19"/>
    <w:rsid w:val="00121440"/>
    <w:rsid w:val="00124037"/>
    <w:rsid w:val="001256C7"/>
    <w:rsid w:val="001257E6"/>
    <w:rsid w:val="00126223"/>
    <w:rsid w:val="00126D44"/>
    <w:rsid w:val="00130392"/>
    <w:rsid w:val="001312B8"/>
    <w:rsid w:val="001314A7"/>
    <w:rsid w:val="001316A8"/>
    <w:rsid w:val="00132F74"/>
    <w:rsid w:val="001375CA"/>
    <w:rsid w:val="00143179"/>
    <w:rsid w:val="001515C1"/>
    <w:rsid w:val="00155564"/>
    <w:rsid w:val="0015681F"/>
    <w:rsid w:val="00156DBA"/>
    <w:rsid w:val="00157CBE"/>
    <w:rsid w:val="00164609"/>
    <w:rsid w:val="001649A3"/>
    <w:rsid w:val="0016722D"/>
    <w:rsid w:val="00171074"/>
    <w:rsid w:val="00171965"/>
    <w:rsid w:val="001720FA"/>
    <w:rsid w:val="0017285C"/>
    <w:rsid w:val="001764D8"/>
    <w:rsid w:val="00177399"/>
    <w:rsid w:val="00177708"/>
    <w:rsid w:val="00181C20"/>
    <w:rsid w:val="00181D97"/>
    <w:rsid w:val="001823D2"/>
    <w:rsid w:val="00182BFF"/>
    <w:rsid w:val="00190F08"/>
    <w:rsid w:val="001921B1"/>
    <w:rsid w:val="001A7F4C"/>
    <w:rsid w:val="001C0CD9"/>
    <w:rsid w:val="001C536F"/>
    <w:rsid w:val="001D3D82"/>
    <w:rsid w:val="001E1039"/>
    <w:rsid w:val="001E23FE"/>
    <w:rsid w:val="001E379A"/>
    <w:rsid w:val="001F14C2"/>
    <w:rsid w:val="001F1FDB"/>
    <w:rsid w:val="001F4C3F"/>
    <w:rsid w:val="00201ECA"/>
    <w:rsid w:val="00205389"/>
    <w:rsid w:val="00210D49"/>
    <w:rsid w:val="00211C44"/>
    <w:rsid w:val="002142F0"/>
    <w:rsid w:val="002146AE"/>
    <w:rsid w:val="0022366B"/>
    <w:rsid w:val="00230220"/>
    <w:rsid w:val="002375D0"/>
    <w:rsid w:val="00243516"/>
    <w:rsid w:val="002444D7"/>
    <w:rsid w:val="00245ECD"/>
    <w:rsid w:val="00251108"/>
    <w:rsid w:val="002540AD"/>
    <w:rsid w:val="00255898"/>
    <w:rsid w:val="002661D0"/>
    <w:rsid w:val="002673CC"/>
    <w:rsid w:val="002707EE"/>
    <w:rsid w:val="00275344"/>
    <w:rsid w:val="002766AE"/>
    <w:rsid w:val="00283B3C"/>
    <w:rsid w:val="00286A06"/>
    <w:rsid w:val="002923A7"/>
    <w:rsid w:val="0029267A"/>
    <w:rsid w:val="00294AA1"/>
    <w:rsid w:val="00294D50"/>
    <w:rsid w:val="00296F48"/>
    <w:rsid w:val="002A43FC"/>
    <w:rsid w:val="002A6662"/>
    <w:rsid w:val="002A6973"/>
    <w:rsid w:val="002B2430"/>
    <w:rsid w:val="002B37F0"/>
    <w:rsid w:val="002B5C12"/>
    <w:rsid w:val="002B6F5A"/>
    <w:rsid w:val="002B7F53"/>
    <w:rsid w:val="002C1749"/>
    <w:rsid w:val="002C473E"/>
    <w:rsid w:val="002C7FA4"/>
    <w:rsid w:val="002D3C66"/>
    <w:rsid w:val="002D713E"/>
    <w:rsid w:val="002E0209"/>
    <w:rsid w:val="002E0A1A"/>
    <w:rsid w:val="002E0FBA"/>
    <w:rsid w:val="002E1BAF"/>
    <w:rsid w:val="002E3185"/>
    <w:rsid w:val="002E69B3"/>
    <w:rsid w:val="002F0276"/>
    <w:rsid w:val="002F2F26"/>
    <w:rsid w:val="002F373C"/>
    <w:rsid w:val="002F426B"/>
    <w:rsid w:val="002F5EA3"/>
    <w:rsid w:val="002F69AA"/>
    <w:rsid w:val="0030135B"/>
    <w:rsid w:val="003116E3"/>
    <w:rsid w:val="00315EBB"/>
    <w:rsid w:val="00326808"/>
    <w:rsid w:val="00326A9F"/>
    <w:rsid w:val="0032719C"/>
    <w:rsid w:val="00330415"/>
    <w:rsid w:val="003406B3"/>
    <w:rsid w:val="00343ACD"/>
    <w:rsid w:val="00360805"/>
    <w:rsid w:val="00364368"/>
    <w:rsid w:val="003655D8"/>
    <w:rsid w:val="003658B4"/>
    <w:rsid w:val="0037048F"/>
    <w:rsid w:val="00372BAC"/>
    <w:rsid w:val="003739AE"/>
    <w:rsid w:val="00375F38"/>
    <w:rsid w:val="00377DA8"/>
    <w:rsid w:val="00381BD3"/>
    <w:rsid w:val="00387BB3"/>
    <w:rsid w:val="00396072"/>
    <w:rsid w:val="003971B1"/>
    <w:rsid w:val="003A0AD1"/>
    <w:rsid w:val="003A39CB"/>
    <w:rsid w:val="003A7E70"/>
    <w:rsid w:val="003B1742"/>
    <w:rsid w:val="003B24A3"/>
    <w:rsid w:val="003B3921"/>
    <w:rsid w:val="003B3DC5"/>
    <w:rsid w:val="003B6D79"/>
    <w:rsid w:val="003C1AD5"/>
    <w:rsid w:val="003C2302"/>
    <w:rsid w:val="003D0925"/>
    <w:rsid w:val="003D3140"/>
    <w:rsid w:val="003E0039"/>
    <w:rsid w:val="003E2E36"/>
    <w:rsid w:val="003F35FF"/>
    <w:rsid w:val="003F5D95"/>
    <w:rsid w:val="0040303A"/>
    <w:rsid w:val="004032C5"/>
    <w:rsid w:val="0040452A"/>
    <w:rsid w:val="00405C6D"/>
    <w:rsid w:val="00411395"/>
    <w:rsid w:val="004130DC"/>
    <w:rsid w:val="004138A2"/>
    <w:rsid w:val="004147F8"/>
    <w:rsid w:val="00415155"/>
    <w:rsid w:val="00416085"/>
    <w:rsid w:val="004162EA"/>
    <w:rsid w:val="00420FEC"/>
    <w:rsid w:val="004219B3"/>
    <w:rsid w:val="00421A3B"/>
    <w:rsid w:val="004239CD"/>
    <w:rsid w:val="00424C08"/>
    <w:rsid w:val="004272A2"/>
    <w:rsid w:val="0043061A"/>
    <w:rsid w:val="00437D8A"/>
    <w:rsid w:val="004404D7"/>
    <w:rsid w:val="0044095C"/>
    <w:rsid w:val="0044139D"/>
    <w:rsid w:val="0044738E"/>
    <w:rsid w:val="00461C9C"/>
    <w:rsid w:val="00462771"/>
    <w:rsid w:val="0046552F"/>
    <w:rsid w:val="00470BD2"/>
    <w:rsid w:val="0047270E"/>
    <w:rsid w:val="004757A5"/>
    <w:rsid w:val="00475D50"/>
    <w:rsid w:val="0047729C"/>
    <w:rsid w:val="0048075B"/>
    <w:rsid w:val="00480BD8"/>
    <w:rsid w:val="00490C26"/>
    <w:rsid w:val="00494304"/>
    <w:rsid w:val="00495EA7"/>
    <w:rsid w:val="004A05B7"/>
    <w:rsid w:val="004A2BCD"/>
    <w:rsid w:val="004A2CEB"/>
    <w:rsid w:val="004A3C22"/>
    <w:rsid w:val="004A3CD8"/>
    <w:rsid w:val="004A3F6A"/>
    <w:rsid w:val="004B1C76"/>
    <w:rsid w:val="004B5B04"/>
    <w:rsid w:val="004B7241"/>
    <w:rsid w:val="004C4B5C"/>
    <w:rsid w:val="004C76C7"/>
    <w:rsid w:val="004D2E5F"/>
    <w:rsid w:val="004D5A7C"/>
    <w:rsid w:val="004D7105"/>
    <w:rsid w:val="004E216B"/>
    <w:rsid w:val="004E24CE"/>
    <w:rsid w:val="004E2E13"/>
    <w:rsid w:val="004E3186"/>
    <w:rsid w:val="004E4974"/>
    <w:rsid w:val="004F1844"/>
    <w:rsid w:val="004F65DE"/>
    <w:rsid w:val="004F7E13"/>
    <w:rsid w:val="005025D7"/>
    <w:rsid w:val="0050560A"/>
    <w:rsid w:val="00505DF7"/>
    <w:rsid w:val="00512CD4"/>
    <w:rsid w:val="00516652"/>
    <w:rsid w:val="00525D9E"/>
    <w:rsid w:val="00533505"/>
    <w:rsid w:val="00533CAB"/>
    <w:rsid w:val="005346CF"/>
    <w:rsid w:val="0054120A"/>
    <w:rsid w:val="00542C8F"/>
    <w:rsid w:val="00544547"/>
    <w:rsid w:val="00545EB0"/>
    <w:rsid w:val="005537D0"/>
    <w:rsid w:val="0058013D"/>
    <w:rsid w:val="0058123F"/>
    <w:rsid w:val="00581795"/>
    <w:rsid w:val="0058572B"/>
    <w:rsid w:val="00585A6B"/>
    <w:rsid w:val="00585C32"/>
    <w:rsid w:val="00585CB6"/>
    <w:rsid w:val="00585E47"/>
    <w:rsid w:val="00586F6C"/>
    <w:rsid w:val="005901F1"/>
    <w:rsid w:val="00592EFC"/>
    <w:rsid w:val="005B12BB"/>
    <w:rsid w:val="005B3FAD"/>
    <w:rsid w:val="005B5263"/>
    <w:rsid w:val="005B70CF"/>
    <w:rsid w:val="005B72A8"/>
    <w:rsid w:val="005C4F96"/>
    <w:rsid w:val="005D0E58"/>
    <w:rsid w:val="005D1AA3"/>
    <w:rsid w:val="005D3069"/>
    <w:rsid w:val="005D3303"/>
    <w:rsid w:val="005F026D"/>
    <w:rsid w:val="005F53DB"/>
    <w:rsid w:val="005F68C2"/>
    <w:rsid w:val="005F780A"/>
    <w:rsid w:val="005F7FEB"/>
    <w:rsid w:val="006055C3"/>
    <w:rsid w:val="00611D53"/>
    <w:rsid w:val="00624A80"/>
    <w:rsid w:val="00632B1A"/>
    <w:rsid w:val="00632DCA"/>
    <w:rsid w:val="006368F4"/>
    <w:rsid w:val="00640A1B"/>
    <w:rsid w:val="0064482D"/>
    <w:rsid w:val="00652003"/>
    <w:rsid w:val="00653ECE"/>
    <w:rsid w:val="00655B98"/>
    <w:rsid w:val="00672B79"/>
    <w:rsid w:val="006776CF"/>
    <w:rsid w:val="00680D2D"/>
    <w:rsid w:val="00680EFA"/>
    <w:rsid w:val="0068530C"/>
    <w:rsid w:val="0068704B"/>
    <w:rsid w:val="00694EE6"/>
    <w:rsid w:val="006A15B9"/>
    <w:rsid w:val="006A2FD7"/>
    <w:rsid w:val="006A4782"/>
    <w:rsid w:val="006A5F30"/>
    <w:rsid w:val="006A64AB"/>
    <w:rsid w:val="006A66B4"/>
    <w:rsid w:val="006A6AD2"/>
    <w:rsid w:val="006B169E"/>
    <w:rsid w:val="006B5882"/>
    <w:rsid w:val="006C37EC"/>
    <w:rsid w:val="006C5D9C"/>
    <w:rsid w:val="006C67F0"/>
    <w:rsid w:val="006D0001"/>
    <w:rsid w:val="006D67BC"/>
    <w:rsid w:val="006E139F"/>
    <w:rsid w:val="006E547B"/>
    <w:rsid w:val="006E5913"/>
    <w:rsid w:val="006E6534"/>
    <w:rsid w:val="006F00DC"/>
    <w:rsid w:val="006F45E0"/>
    <w:rsid w:val="006F635A"/>
    <w:rsid w:val="00702953"/>
    <w:rsid w:val="00711717"/>
    <w:rsid w:val="00717320"/>
    <w:rsid w:val="007173AE"/>
    <w:rsid w:val="007200E8"/>
    <w:rsid w:val="00722D67"/>
    <w:rsid w:val="00725DB5"/>
    <w:rsid w:val="00734C0D"/>
    <w:rsid w:val="0073520A"/>
    <w:rsid w:val="00735861"/>
    <w:rsid w:val="00736AF7"/>
    <w:rsid w:val="00740383"/>
    <w:rsid w:val="00740A12"/>
    <w:rsid w:val="00741D53"/>
    <w:rsid w:val="00742A47"/>
    <w:rsid w:val="00744639"/>
    <w:rsid w:val="00752B93"/>
    <w:rsid w:val="007537D2"/>
    <w:rsid w:val="00754E62"/>
    <w:rsid w:val="00754F38"/>
    <w:rsid w:val="00760556"/>
    <w:rsid w:val="00762C66"/>
    <w:rsid w:val="00770CAF"/>
    <w:rsid w:val="007742AD"/>
    <w:rsid w:val="00774DCA"/>
    <w:rsid w:val="0077650C"/>
    <w:rsid w:val="00776AC2"/>
    <w:rsid w:val="007822D0"/>
    <w:rsid w:val="00782ACA"/>
    <w:rsid w:val="0079114F"/>
    <w:rsid w:val="00791F74"/>
    <w:rsid w:val="007A2999"/>
    <w:rsid w:val="007A3309"/>
    <w:rsid w:val="007A549A"/>
    <w:rsid w:val="007B1887"/>
    <w:rsid w:val="007C1A38"/>
    <w:rsid w:val="007D245A"/>
    <w:rsid w:val="007E1721"/>
    <w:rsid w:val="007E433A"/>
    <w:rsid w:val="007E46DE"/>
    <w:rsid w:val="007E592A"/>
    <w:rsid w:val="007F0CC8"/>
    <w:rsid w:val="007F0F7A"/>
    <w:rsid w:val="007F1251"/>
    <w:rsid w:val="0080245F"/>
    <w:rsid w:val="0080289E"/>
    <w:rsid w:val="00811782"/>
    <w:rsid w:val="00814A3C"/>
    <w:rsid w:val="008157F5"/>
    <w:rsid w:val="008236B6"/>
    <w:rsid w:val="00824CEC"/>
    <w:rsid w:val="008261DF"/>
    <w:rsid w:val="008411B1"/>
    <w:rsid w:val="00841755"/>
    <w:rsid w:val="00841E1B"/>
    <w:rsid w:val="00847980"/>
    <w:rsid w:val="00851BB5"/>
    <w:rsid w:val="00856F72"/>
    <w:rsid w:val="008634B2"/>
    <w:rsid w:val="00864C73"/>
    <w:rsid w:val="0086679A"/>
    <w:rsid w:val="0087347B"/>
    <w:rsid w:val="00877E24"/>
    <w:rsid w:val="00884FE7"/>
    <w:rsid w:val="0088640D"/>
    <w:rsid w:val="00886450"/>
    <w:rsid w:val="0089116A"/>
    <w:rsid w:val="0089584D"/>
    <w:rsid w:val="00897581"/>
    <w:rsid w:val="008A079B"/>
    <w:rsid w:val="008A6219"/>
    <w:rsid w:val="008B1831"/>
    <w:rsid w:val="008B2AF0"/>
    <w:rsid w:val="008B51D0"/>
    <w:rsid w:val="008B59C5"/>
    <w:rsid w:val="008B7357"/>
    <w:rsid w:val="008C3C71"/>
    <w:rsid w:val="008C54C0"/>
    <w:rsid w:val="008C5FF1"/>
    <w:rsid w:val="008C7FD6"/>
    <w:rsid w:val="008D1DB5"/>
    <w:rsid w:val="008D2C06"/>
    <w:rsid w:val="008E2F44"/>
    <w:rsid w:val="008E69BC"/>
    <w:rsid w:val="008F37D6"/>
    <w:rsid w:val="008F4E16"/>
    <w:rsid w:val="008F7600"/>
    <w:rsid w:val="0090131E"/>
    <w:rsid w:val="00901B47"/>
    <w:rsid w:val="00902CE1"/>
    <w:rsid w:val="00906944"/>
    <w:rsid w:val="00910AAB"/>
    <w:rsid w:val="00910EE1"/>
    <w:rsid w:val="00914291"/>
    <w:rsid w:val="009151DE"/>
    <w:rsid w:val="00916595"/>
    <w:rsid w:val="00922DE1"/>
    <w:rsid w:val="0092427D"/>
    <w:rsid w:val="009253EC"/>
    <w:rsid w:val="0093110F"/>
    <w:rsid w:val="009339DD"/>
    <w:rsid w:val="009341D7"/>
    <w:rsid w:val="00936FCF"/>
    <w:rsid w:val="00937211"/>
    <w:rsid w:val="00937C07"/>
    <w:rsid w:val="00940900"/>
    <w:rsid w:val="009422CC"/>
    <w:rsid w:val="00950B3F"/>
    <w:rsid w:val="0095409B"/>
    <w:rsid w:val="00957F79"/>
    <w:rsid w:val="00960B3E"/>
    <w:rsid w:val="00962BF3"/>
    <w:rsid w:val="00962EC3"/>
    <w:rsid w:val="009636F3"/>
    <w:rsid w:val="009646EB"/>
    <w:rsid w:val="00966F81"/>
    <w:rsid w:val="00967FF2"/>
    <w:rsid w:val="00972F46"/>
    <w:rsid w:val="0097476C"/>
    <w:rsid w:val="00984C13"/>
    <w:rsid w:val="00986762"/>
    <w:rsid w:val="00986CAC"/>
    <w:rsid w:val="009914D5"/>
    <w:rsid w:val="0099240E"/>
    <w:rsid w:val="00992DEC"/>
    <w:rsid w:val="00995886"/>
    <w:rsid w:val="00995CFC"/>
    <w:rsid w:val="00997C9A"/>
    <w:rsid w:val="009A76ED"/>
    <w:rsid w:val="009B0695"/>
    <w:rsid w:val="009B1B03"/>
    <w:rsid w:val="009B6516"/>
    <w:rsid w:val="009C07D8"/>
    <w:rsid w:val="009C0BD0"/>
    <w:rsid w:val="009C194C"/>
    <w:rsid w:val="009C6BAC"/>
    <w:rsid w:val="009C75FC"/>
    <w:rsid w:val="009D11BD"/>
    <w:rsid w:val="009D22EF"/>
    <w:rsid w:val="009D6BCB"/>
    <w:rsid w:val="009D7B0C"/>
    <w:rsid w:val="009E08DD"/>
    <w:rsid w:val="009E282D"/>
    <w:rsid w:val="009E4046"/>
    <w:rsid w:val="009F6379"/>
    <w:rsid w:val="00A03A6B"/>
    <w:rsid w:val="00A1343D"/>
    <w:rsid w:val="00A176D7"/>
    <w:rsid w:val="00A27D27"/>
    <w:rsid w:val="00A342AB"/>
    <w:rsid w:val="00A40EE8"/>
    <w:rsid w:val="00A43002"/>
    <w:rsid w:val="00A50A29"/>
    <w:rsid w:val="00A547E1"/>
    <w:rsid w:val="00A57400"/>
    <w:rsid w:val="00A6118B"/>
    <w:rsid w:val="00A63BB4"/>
    <w:rsid w:val="00A6692F"/>
    <w:rsid w:val="00A67978"/>
    <w:rsid w:val="00A7526A"/>
    <w:rsid w:val="00A7578A"/>
    <w:rsid w:val="00A77B25"/>
    <w:rsid w:val="00A8378B"/>
    <w:rsid w:val="00A85CD7"/>
    <w:rsid w:val="00A8723E"/>
    <w:rsid w:val="00A93BEB"/>
    <w:rsid w:val="00A93EE2"/>
    <w:rsid w:val="00A96752"/>
    <w:rsid w:val="00A96771"/>
    <w:rsid w:val="00A9719E"/>
    <w:rsid w:val="00A971EA"/>
    <w:rsid w:val="00A97ECA"/>
    <w:rsid w:val="00AA06B6"/>
    <w:rsid w:val="00AA4B37"/>
    <w:rsid w:val="00AA52B2"/>
    <w:rsid w:val="00AA6092"/>
    <w:rsid w:val="00AB369E"/>
    <w:rsid w:val="00AB43D4"/>
    <w:rsid w:val="00AC226F"/>
    <w:rsid w:val="00AC2EE3"/>
    <w:rsid w:val="00AD129B"/>
    <w:rsid w:val="00AD3B11"/>
    <w:rsid w:val="00AE1AA8"/>
    <w:rsid w:val="00AF1B54"/>
    <w:rsid w:val="00B0237A"/>
    <w:rsid w:val="00B048D9"/>
    <w:rsid w:val="00B107FF"/>
    <w:rsid w:val="00B2298E"/>
    <w:rsid w:val="00B35C60"/>
    <w:rsid w:val="00B4198F"/>
    <w:rsid w:val="00B422A4"/>
    <w:rsid w:val="00B45845"/>
    <w:rsid w:val="00B460AC"/>
    <w:rsid w:val="00B52817"/>
    <w:rsid w:val="00B56EC5"/>
    <w:rsid w:val="00B6291A"/>
    <w:rsid w:val="00B630B8"/>
    <w:rsid w:val="00B6649A"/>
    <w:rsid w:val="00B66D8E"/>
    <w:rsid w:val="00B67A6A"/>
    <w:rsid w:val="00B71C53"/>
    <w:rsid w:val="00B731CC"/>
    <w:rsid w:val="00B739AE"/>
    <w:rsid w:val="00B8038F"/>
    <w:rsid w:val="00B82D44"/>
    <w:rsid w:val="00B82FF9"/>
    <w:rsid w:val="00B84D37"/>
    <w:rsid w:val="00BA1978"/>
    <w:rsid w:val="00BA2143"/>
    <w:rsid w:val="00BA2D04"/>
    <w:rsid w:val="00BA7374"/>
    <w:rsid w:val="00BB366F"/>
    <w:rsid w:val="00BB4D00"/>
    <w:rsid w:val="00BC1B10"/>
    <w:rsid w:val="00BC32BB"/>
    <w:rsid w:val="00BC59FE"/>
    <w:rsid w:val="00BD27AA"/>
    <w:rsid w:val="00BE05F0"/>
    <w:rsid w:val="00BE2BA8"/>
    <w:rsid w:val="00BE3AD2"/>
    <w:rsid w:val="00BE450A"/>
    <w:rsid w:val="00BE5967"/>
    <w:rsid w:val="00BE5E20"/>
    <w:rsid w:val="00BE7599"/>
    <w:rsid w:val="00BF5436"/>
    <w:rsid w:val="00BF6A5F"/>
    <w:rsid w:val="00BF7DD7"/>
    <w:rsid w:val="00C008CB"/>
    <w:rsid w:val="00C01340"/>
    <w:rsid w:val="00C02EE2"/>
    <w:rsid w:val="00C12240"/>
    <w:rsid w:val="00C23C4B"/>
    <w:rsid w:val="00C244DA"/>
    <w:rsid w:val="00C27318"/>
    <w:rsid w:val="00C31452"/>
    <w:rsid w:val="00C359DF"/>
    <w:rsid w:val="00C50DAB"/>
    <w:rsid w:val="00C50E41"/>
    <w:rsid w:val="00C53901"/>
    <w:rsid w:val="00C53C60"/>
    <w:rsid w:val="00C601D1"/>
    <w:rsid w:val="00C6274D"/>
    <w:rsid w:val="00C6347F"/>
    <w:rsid w:val="00C75348"/>
    <w:rsid w:val="00C7779C"/>
    <w:rsid w:val="00C8772B"/>
    <w:rsid w:val="00CA402E"/>
    <w:rsid w:val="00CA4EC9"/>
    <w:rsid w:val="00CA5F19"/>
    <w:rsid w:val="00CB10CC"/>
    <w:rsid w:val="00CB169D"/>
    <w:rsid w:val="00CB4E84"/>
    <w:rsid w:val="00CB51D5"/>
    <w:rsid w:val="00CC4070"/>
    <w:rsid w:val="00CC695C"/>
    <w:rsid w:val="00CC77B4"/>
    <w:rsid w:val="00CD2602"/>
    <w:rsid w:val="00CD55A1"/>
    <w:rsid w:val="00CE06E4"/>
    <w:rsid w:val="00CE1875"/>
    <w:rsid w:val="00CE58B8"/>
    <w:rsid w:val="00CE7355"/>
    <w:rsid w:val="00CF6A9A"/>
    <w:rsid w:val="00D0089F"/>
    <w:rsid w:val="00D00CC0"/>
    <w:rsid w:val="00D016AD"/>
    <w:rsid w:val="00D01826"/>
    <w:rsid w:val="00D0319D"/>
    <w:rsid w:val="00D06103"/>
    <w:rsid w:val="00D07A41"/>
    <w:rsid w:val="00D10E31"/>
    <w:rsid w:val="00D16089"/>
    <w:rsid w:val="00D2566F"/>
    <w:rsid w:val="00D30014"/>
    <w:rsid w:val="00D33BA2"/>
    <w:rsid w:val="00D34337"/>
    <w:rsid w:val="00D34720"/>
    <w:rsid w:val="00D44E46"/>
    <w:rsid w:val="00D6020F"/>
    <w:rsid w:val="00D61C81"/>
    <w:rsid w:val="00D640CD"/>
    <w:rsid w:val="00D647F2"/>
    <w:rsid w:val="00D71196"/>
    <w:rsid w:val="00D71392"/>
    <w:rsid w:val="00D71D22"/>
    <w:rsid w:val="00D77EF6"/>
    <w:rsid w:val="00D854EE"/>
    <w:rsid w:val="00D91591"/>
    <w:rsid w:val="00DA117E"/>
    <w:rsid w:val="00DA3661"/>
    <w:rsid w:val="00DA661A"/>
    <w:rsid w:val="00DA6B8A"/>
    <w:rsid w:val="00DA6D1D"/>
    <w:rsid w:val="00DA7B2B"/>
    <w:rsid w:val="00DB0641"/>
    <w:rsid w:val="00DB0ABF"/>
    <w:rsid w:val="00DB12E7"/>
    <w:rsid w:val="00DB2001"/>
    <w:rsid w:val="00DB21AB"/>
    <w:rsid w:val="00DB257D"/>
    <w:rsid w:val="00DB5ACE"/>
    <w:rsid w:val="00DC22C9"/>
    <w:rsid w:val="00DC5D57"/>
    <w:rsid w:val="00DC6774"/>
    <w:rsid w:val="00DC6D9D"/>
    <w:rsid w:val="00DD0AF0"/>
    <w:rsid w:val="00DD2A2D"/>
    <w:rsid w:val="00DD3883"/>
    <w:rsid w:val="00DD51D3"/>
    <w:rsid w:val="00DD6B17"/>
    <w:rsid w:val="00DE2803"/>
    <w:rsid w:val="00DE33AF"/>
    <w:rsid w:val="00DE7750"/>
    <w:rsid w:val="00DF6748"/>
    <w:rsid w:val="00E026BF"/>
    <w:rsid w:val="00E05331"/>
    <w:rsid w:val="00E075D3"/>
    <w:rsid w:val="00E210F2"/>
    <w:rsid w:val="00E24D4B"/>
    <w:rsid w:val="00E2519B"/>
    <w:rsid w:val="00E326E8"/>
    <w:rsid w:val="00E32F58"/>
    <w:rsid w:val="00E3558A"/>
    <w:rsid w:val="00E35A09"/>
    <w:rsid w:val="00E372D4"/>
    <w:rsid w:val="00E42088"/>
    <w:rsid w:val="00E440EE"/>
    <w:rsid w:val="00E47CC5"/>
    <w:rsid w:val="00E527F9"/>
    <w:rsid w:val="00E5450E"/>
    <w:rsid w:val="00E54C4C"/>
    <w:rsid w:val="00E5633A"/>
    <w:rsid w:val="00E57981"/>
    <w:rsid w:val="00E61F88"/>
    <w:rsid w:val="00E711BB"/>
    <w:rsid w:val="00E71577"/>
    <w:rsid w:val="00E80555"/>
    <w:rsid w:val="00E8494B"/>
    <w:rsid w:val="00E85AB8"/>
    <w:rsid w:val="00E8678A"/>
    <w:rsid w:val="00E94374"/>
    <w:rsid w:val="00E95643"/>
    <w:rsid w:val="00EA05C0"/>
    <w:rsid w:val="00EA0C8E"/>
    <w:rsid w:val="00EA4F31"/>
    <w:rsid w:val="00EA5498"/>
    <w:rsid w:val="00EB03F5"/>
    <w:rsid w:val="00EB07A7"/>
    <w:rsid w:val="00EB5FF1"/>
    <w:rsid w:val="00EB78EF"/>
    <w:rsid w:val="00ED3D17"/>
    <w:rsid w:val="00ED470B"/>
    <w:rsid w:val="00ED51EE"/>
    <w:rsid w:val="00ED53BD"/>
    <w:rsid w:val="00ED7E36"/>
    <w:rsid w:val="00EE13D8"/>
    <w:rsid w:val="00EE18F4"/>
    <w:rsid w:val="00EE6E7F"/>
    <w:rsid w:val="00EE75F5"/>
    <w:rsid w:val="00F03FCB"/>
    <w:rsid w:val="00F04F25"/>
    <w:rsid w:val="00F05ACA"/>
    <w:rsid w:val="00F117B0"/>
    <w:rsid w:val="00F21ECE"/>
    <w:rsid w:val="00F240EE"/>
    <w:rsid w:val="00F307BF"/>
    <w:rsid w:val="00F32702"/>
    <w:rsid w:val="00F332FE"/>
    <w:rsid w:val="00F362A7"/>
    <w:rsid w:val="00F44750"/>
    <w:rsid w:val="00F466CF"/>
    <w:rsid w:val="00F47F0E"/>
    <w:rsid w:val="00F545D3"/>
    <w:rsid w:val="00F55732"/>
    <w:rsid w:val="00F5795D"/>
    <w:rsid w:val="00F603F9"/>
    <w:rsid w:val="00F622F9"/>
    <w:rsid w:val="00F66309"/>
    <w:rsid w:val="00F667E5"/>
    <w:rsid w:val="00F66D40"/>
    <w:rsid w:val="00F71374"/>
    <w:rsid w:val="00F72D0B"/>
    <w:rsid w:val="00F74F2A"/>
    <w:rsid w:val="00F76541"/>
    <w:rsid w:val="00F819D3"/>
    <w:rsid w:val="00F856B7"/>
    <w:rsid w:val="00F94F1A"/>
    <w:rsid w:val="00F97571"/>
    <w:rsid w:val="00FA38A1"/>
    <w:rsid w:val="00FB022F"/>
    <w:rsid w:val="00FC17FC"/>
    <w:rsid w:val="00FD1C50"/>
    <w:rsid w:val="00FD1C6B"/>
    <w:rsid w:val="00FD4A3A"/>
    <w:rsid w:val="00FD6726"/>
    <w:rsid w:val="00FE1529"/>
    <w:rsid w:val="00FE2B5F"/>
    <w:rsid w:val="00FE7633"/>
    <w:rsid w:val="00FF1234"/>
    <w:rsid w:val="00FF2778"/>
    <w:rsid w:val="00FF3A00"/>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ar"/>
    <w:uiPriority w:val="9"/>
    <w:unhideWhenUsed/>
    <w:qFormat/>
    <w:rsid w:val="00FF3A00"/>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aliases w:val="Listas,Lista vistosa - Énfasis 11,Cita texto,Footnote"/>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aliases w:val="Listas Car,Lista vistosa - Énfasis 11 Car,Cita texto Car,Footnote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Ttulo6Car">
    <w:name w:val="Título 6 Car"/>
    <w:basedOn w:val="Fuentedeprrafopredeter"/>
    <w:link w:val="Ttulo6"/>
    <w:uiPriority w:val="9"/>
    <w:rsid w:val="00FF3A00"/>
    <w:rPr>
      <w:rFonts w:asciiTheme="majorHAnsi" w:eastAsiaTheme="majorEastAsia" w:hAnsiTheme="majorHAnsi" w:cstheme="majorBidi"/>
      <w:color w:val="1F3763" w:themeColor="accent1" w:themeShade="7F"/>
      <w:sz w:val="22"/>
      <w:szCs w:val="22"/>
    </w:rPr>
  </w:style>
  <w:style w:type="paragraph" w:customStyle="1" w:styleId="Texto">
    <w:name w:val="Texto"/>
    <w:basedOn w:val="Normal"/>
    <w:rsid w:val="00DC6774"/>
    <w:pPr>
      <w:spacing w:after="101" w:line="216" w:lineRule="exact"/>
      <w:ind w:firstLine="288"/>
      <w:jc w:val="both"/>
    </w:pPr>
    <w:rPr>
      <w:rFonts w:ascii="Arial" w:eastAsia="Times New Roman"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393890944">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66658289">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305159859">
      <w:bodyDiv w:val="1"/>
      <w:marLeft w:val="0"/>
      <w:marRight w:val="0"/>
      <w:marTop w:val="0"/>
      <w:marBottom w:val="0"/>
      <w:divBdr>
        <w:top w:val="none" w:sz="0" w:space="0" w:color="auto"/>
        <w:left w:val="none" w:sz="0" w:space="0" w:color="auto"/>
        <w:bottom w:val="none" w:sz="0" w:space="0" w:color="auto"/>
        <w:right w:val="none" w:sz="0" w:space="0" w:color="auto"/>
      </w:divBdr>
      <w:divsChild>
        <w:div w:id="1891644278">
          <w:marLeft w:val="0"/>
          <w:marRight w:val="0"/>
          <w:marTop w:val="0"/>
          <w:marBottom w:val="0"/>
          <w:divBdr>
            <w:top w:val="none" w:sz="0" w:space="0" w:color="auto"/>
            <w:left w:val="none" w:sz="0" w:space="0" w:color="auto"/>
            <w:bottom w:val="none" w:sz="0" w:space="0" w:color="auto"/>
            <w:right w:val="none" w:sz="0" w:space="0" w:color="auto"/>
          </w:divBdr>
          <w:divsChild>
            <w:div w:id="1044718517">
              <w:marLeft w:val="0"/>
              <w:marRight w:val="0"/>
              <w:marTop w:val="0"/>
              <w:marBottom w:val="0"/>
              <w:divBdr>
                <w:top w:val="none" w:sz="0" w:space="0" w:color="auto"/>
                <w:left w:val="none" w:sz="0" w:space="0" w:color="auto"/>
                <w:bottom w:val="none" w:sz="0" w:space="0" w:color="auto"/>
                <w:right w:val="none" w:sz="0" w:space="0" w:color="auto"/>
              </w:divBdr>
              <w:divsChild>
                <w:div w:id="17608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6346">
          <w:marLeft w:val="0"/>
          <w:marRight w:val="0"/>
          <w:marTop w:val="0"/>
          <w:marBottom w:val="0"/>
          <w:divBdr>
            <w:top w:val="none" w:sz="0" w:space="0" w:color="auto"/>
            <w:left w:val="none" w:sz="0" w:space="0" w:color="auto"/>
            <w:bottom w:val="none" w:sz="0" w:space="0" w:color="auto"/>
            <w:right w:val="none" w:sz="0" w:space="0" w:color="auto"/>
          </w:divBdr>
          <w:divsChild>
            <w:div w:id="1828787178">
              <w:marLeft w:val="0"/>
              <w:marRight w:val="0"/>
              <w:marTop w:val="390"/>
              <w:marBottom w:val="0"/>
              <w:divBdr>
                <w:top w:val="single" w:sz="6" w:space="0" w:color="FFFFFF"/>
                <w:left w:val="single" w:sz="6" w:space="0" w:color="FFFFFF"/>
                <w:bottom w:val="none" w:sz="0" w:space="0" w:color="auto"/>
                <w:right w:val="single" w:sz="6" w:space="0" w:color="FFFFFF"/>
              </w:divBdr>
              <w:divsChild>
                <w:div w:id="1748765836">
                  <w:marLeft w:val="-225"/>
                  <w:marRight w:val="-225"/>
                  <w:marTop w:val="0"/>
                  <w:marBottom w:val="0"/>
                  <w:divBdr>
                    <w:top w:val="none" w:sz="0" w:space="0" w:color="auto"/>
                    <w:left w:val="none" w:sz="0" w:space="0" w:color="auto"/>
                    <w:bottom w:val="none" w:sz="0" w:space="0" w:color="auto"/>
                    <w:right w:val="none" w:sz="0" w:space="0" w:color="auto"/>
                  </w:divBdr>
                  <w:divsChild>
                    <w:div w:id="792943638">
                      <w:marLeft w:val="0"/>
                      <w:marRight w:val="0"/>
                      <w:marTop w:val="0"/>
                      <w:marBottom w:val="270"/>
                      <w:divBdr>
                        <w:top w:val="none" w:sz="0" w:space="0" w:color="auto"/>
                        <w:left w:val="none" w:sz="0" w:space="0" w:color="auto"/>
                        <w:bottom w:val="none" w:sz="0" w:space="0" w:color="auto"/>
                        <w:right w:val="none" w:sz="0" w:space="0" w:color="auto"/>
                      </w:divBdr>
                      <w:divsChild>
                        <w:div w:id="2067216055">
                          <w:marLeft w:val="0"/>
                          <w:marRight w:val="0"/>
                          <w:marTop w:val="0"/>
                          <w:marBottom w:val="0"/>
                          <w:divBdr>
                            <w:top w:val="none" w:sz="0" w:space="0" w:color="auto"/>
                            <w:left w:val="none" w:sz="0" w:space="0" w:color="auto"/>
                            <w:bottom w:val="none" w:sz="0" w:space="0" w:color="auto"/>
                            <w:right w:val="none" w:sz="0" w:space="0" w:color="auto"/>
                          </w:divBdr>
                          <w:divsChild>
                            <w:div w:id="1583370812">
                              <w:marLeft w:val="-225"/>
                              <w:marRight w:val="-225"/>
                              <w:marTop w:val="0"/>
                              <w:marBottom w:val="0"/>
                              <w:divBdr>
                                <w:top w:val="none" w:sz="0" w:space="0" w:color="auto"/>
                                <w:left w:val="none" w:sz="0" w:space="0" w:color="auto"/>
                                <w:bottom w:val="none" w:sz="0" w:space="0" w:color="auto"/>
                                <w:right w:val="none" w:sz="0" w:space="0" w:color="auto"/>
                              </w:divBdr>
                              <w:divsChild>
                                <w:div w:id="1243107528">
                                  <w:marLeft w:val="0"/>
                                  <w:marRight w:val="0"/>
                                  <w:marTop w:val="0"/>
                                  <w:marBottom w:val="0"/>
                                  <w:divBdr>
                                    <w:top w:val="none" w:sz="0" w:space="0" w:color="auto"/>
                                    <w:left w:val="none" w:sz="0" w:space="0" w:color="auto"/>
                                    <w:bottom w:val="none" w:sz="0" w:space="0" w:color="auto"/>
                                    <w:right w:val="none" w:sz="0" w:space="0" w:color="auto"/>
                                  </w:divBdr>
                                </w:div>
                                <w:div w:id="452135757">
                                  <w:marLeft w:val="0"/>
                                  <w:marRight w:val="0"/>
                                  <w:marTop w:val="0"/>
                                  <w:marBottom w:val="0"/>
                                  <w:divBdr>
                                    <w:top w:val="none" w:sz="0" w:space="0" w:color="auto"/>
                                    <w:left w:val="none" w:sz="0" w:space="0" w:color="auto"/>
                                    <w:bottom w:val="none" w:sz="0" w:space="0" w:color="auto"/>
                                    <w:right w:val="none" w:sz="0" w:space="0" w:color="auto"/>
                                  </w:divBdr>
                                </w:div>
                                <w:div w:id="3763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966097">
      <w:bodyDiv w:val="1"/>
      <w:marLeft w:val="0"/>
      <w:marRight w:val="0"/>
      <w:marTop w:val="0"/>
      <w:marBottom w:val="0"/>
      <w:divBdr>
        <w:top w:val="none" w:sz="0" w:space="0" w:color="auto"/>
        <w:left w:val="none" w:sz="0" w:space="0" w:color="auto"/>
        <w:bottom w:val="none" w:sz="0" w:space="0" w:color="auto"/>
        <w:right w:val="none" w:sz="0" w:space="0" w:color="auto"/>
      </w:divBdr>
    </w:div>
    <w:div w:id="1417165281">
      <w:bodyDiv w:val="1"/>
      <w:marLeft w:val="0"/>
      <w:marRight w:val="0"/>
      <w:marTop w:val="0"/>
      <w:marBottom w:val="0"/>
      <w:divBdr>
        <w:top w:val="none" w:sz="0" w:space="0" w:color="auto"/>
        <w:left w:val="none" w:sz="0" w:space="0" w:color="auto"/>
        <w:bottom w:val="none" w:sz="0" w:space="0" w:color="auto"/>
        <w:right w:val="none" w:sz="0" w:space="0" w:color="auto"/>
      </w:divBdr>
    </w:div>
    <w:div w:id="1479566473">
      <w:bodyDiv w:val="1"/>
      <w:marLeft w:val="0"/>
      <w:marRight w:val="0"/>
      <w:marTop w:val="0"/>
      <w:marBottom w:val="0"/>
      <w:divBdr>
        <w:top w:val="none" w:sz="0" w:space="0" w:color="auto"/>
        <w:left w:val="none" w:sz="0" w:space="0" w:color="auto"/>
        <w:bottom w:val="none" w:sz="0" w:space="0" w:color="auto"/>
        <w:right w:val="none" w:sz="0" w:space="0" w:color="auto"/>
      </w:divBdr>
    </w:div>
    <w:div w:id="1542404015">
      <w:bodyDiv w:val="1"/>
      <w:marLeft w:val="0"/>
      <w:marRight w:val="0"/>
      <w:marTop w:val="0"/>
      <w:marBottom w:val="0"/>
      <w:divBdr>
        <w:top w:val="none" w:sz="0" w:space="0" w:color="auto"/>
        <w:left w:val="none" w:sz="0" w:space="0" w:color="auto"/>
        <w:bottom w:val="none" w:sz="0" w:space="0" w:color="auto"/>
        <w:right w:val="none" w:sz="0" w:space="0" w:color="auto"/>
      </w:divBdr>
    </w:div>
    <w:div w:id="1877693865">
      <w:bodyDiv w:val="1"/>
      <w:marLeft w:val="0"/>
      <w:marRight w:val="0"/>
      <w:marTop w:val="0"/>
      <w:marBottom w:val="0"/>
      <w:divBdr>
        <w:top w:val="none" w:sz="0" w:space="0" w:color="auto"/>
        <w:left w:val="none" w:sz="0" w:space="0" w:color="auto"/>
        <w:bottom w:val="none" w:sz="0" w:space="0" w:color="auto"/>
        <w:right w:val="none" w:sz="0" w:space="0" w:color="auto"/>
      </w:divBdr>
    </w:div>
    <w:div w:id="203445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oneval.org.mx/coordinacion/entidades/Documents/Diagnostico_2023/Diagnostico_2023.pdf" TargetMode="External"/><Relationship Id="rId1" Type="http://schemas.openxmlformats.org/officeDocument/2006/relationships/hyperlink" Target="https://portalsocial.guanajuato.gob.mx/sites/default/files/documentos/20151030_GOBIERNO_DEL_ESTADO_Reglamento_ley_de_desarrollo_social_y_humano_en_materia_de_monitoreo_y_evaluacion_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2426</Words>
  <Characters>13348</Characters>
  <Application>Microsoft Office Word</Application>
  <DocSecurity>4</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dc:creator>
  <cp:keywords/>
  <dc:description/>
  <cp:lastModifiedBy>Mayra Alejandra Rodríguez Vázquez</cp:lastModifiedBy>
  <cp:revision>2</cp:revision>
  <cp:lastPrinted>2023-10-23T14:09:00Z</cp:lastPrinted>
  <dcterms:created xsi:type="dcterms:W3CDTF">2024-02-14T17:05:00Z</dcterms:created>
  <dcterms:modified xsi:type="dcterms:W3CDTF">2024-02-14T17:05:00Z</dcterms:modified>
</cp:coreProperties>
</file>