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74E47" w14:textId="77777777" w:rsidR="00E94374" w:rsidRPr="00B16675" w:rsidRDefault="00E94374" w:rsidP="00E94374">
      <w:pPr>
        <w:spacing w:line="276" w:lineRule="auto"/>
        <w:jc w:val="both"/>
        <w:rPr>
          <w:rFonts w:ascii="Century Gothic" w:hAnsi="Century Gothic" w:cs="Arial"/>
          <w:b/>
          <w:lang w:val="pt-PT"/>
        </w:rPr>
      </w:pPr>
      <w:r w:rsidRPr="00B16675">
        <w:rPr>
          <w:rFonts w:ascii="Century Gothic" w:hAnsi="Century Gothic" w:cs="Arial"/>
          <w:b/>
          <w:lang w:val="pt-PT"/>
        </w:rPr>
        <w:t>Presidencia del Congreso del Estado</w:t>
      </w:r>
    </w:p>
    <w:p w14:paraId="5CE2BB5B" w14:textId="77777777" w:rsidR="00E94374" w:rsidRPr="00B16675" w:rsidRDefault="00E94374" w:rsidP="00E94374">
      <w:pPr>
        <w:spacing w:line="276" w:lineRule="auto"/>
        <w:jc w:val="both"/>
        <w:rPr>
          <w:rFonts w:ascii="Century Gothic" w:hAnsi="Century Gothic" w:cs="Arial"/>
          <w:b/>
          <w:lang w:val="pt-PT"/>
        </w:rPr>
      </w:pPr>
      <w:r w:rsidRPr="00B16675">
        <w:rPr>
          <w:rFonts w:ascii="Century Gothic" w:hAnsi="Century Gothic" w:cs="Arial"/>
          <w:b/>
          <w:lang w:val="pt-PT"/>
        </w:rPr>
        <w:t>P r e s e n t e.</w:t>
      </w:r>
    </w:p>
    <w:p w14:paraId="013A696E" w14:textId="77777777" w:rsidR="00E94374" w:rsidRPr="00B16675" w:rsidRDefault="00E94374" w:rsidP="00E94374">
      <w:pPr>
        <w:spacing w:line="276" w:lineRule="auto"/>
        <w:jc w:val="both"/>
        <w:rPr>
          <w:rFonts w:ascii="Century Gothic" w:hAnsi="Century Gothic" w:cs="Arial"/>
          <w:lang w:val="pt-PT"/>
        </w:rPr>
      </w:pPr>
    </w:p>
    <w:p w14:paraId="38EB4C7F" w14:textId="77777777" w:rsidR="00E94374" w:rsidRPr="00B16675" w:rsidRDefault="00E94374" w:rsidP="00E94374">
      <w:pPr>
        <w:spacing w:line="276" w:lineRule="auto"/>
        <w:ind w:firstLine="851"/>
        <w:jc w:val="both"/>
        <w:rPr>
          <w:rFonts w:ascii="Century Gothic" w:hAnsi="Century Gothic" w:cs="Arial"/>
          <w:lang w:val="pt-PT"/>
        </w:rPr>
      </w:pPr>
    </w:p>
    <w:p w14:paraId="4563195B" w14:textId="729F2337" w:rsidR="00B16675" w:rsidRPr="001F355E" w:rsidRDefault="00E94374" w:rsidP="0097279B">
      <w:pPr>
        <w:pStyle w:val="Piedepgina"/>
        <w:spacing w:line="276" w:lineRule="auto"/>
        <w:ind w:firstLine="709"/>
        <w:jc w:val="both"/>
        <w:rPr>
          <w:rFonts w:ascii="Abadi" w:eastAsia="Arial" w:hAnsi="Abadi" w:cs="Arial"/>
          <w:b/>
          <w:bCs/>
          <w:color w:val="000000"/>
          <w:sz w:val="28"/>
          <w:szCs w:val="28"/>
        </w:rPr>
      </w:pPr>
      <w:r w:rsidRPr="00772FFB">
        <w:rPr>
          <w:rFonts w:ascii="Century Gothic" w:hAnsi="Century Gothic" w:cs="Arial"/>
        </w:rPr>
        <w:t xml:space="preserve">A la Comisión de Desarrollo Económico y Social de la Sexagésima Quinta Legislatura del Congreso del Estado de Guanajuato, le fue turnada </w:t>
      </w:r>
      <w:bookmarkStart w:id="0" w:name="_Hlk63767858"/>
      <w:r w:rsidRPr="00772FFB">
        <w:rPr>
          <w:rFonts w:ascii="Century Gothic" w:hAnsi="Century Gothic" w:cs="Arial"/>
        </w:rPr>
        <w:t>la propuesta de punto de acuerdo formulada por</w:t>
      </w:r>
      <w:r>
        <w:rPr>
          <w:rFonts w:ascii="Century Gothic" w:hAnsi="Century Gothic" w:cs="Arial"/>
        </w:rPr>
        <w:t xml:space="preserve"> </w:t>
      </w:r>
      <w:r w:rsidR="00B16675">
        <w:rPr>
          <w:rFonts w:ascii="Century Gothic" w:hAnsi="Century Gothic" w:cs="Arial"/>
        </w:rPr>
        <w:t xml:space="preserve">diputadas y diputados integrantes del Partido Acción Nacional a efecto de presentar </w:t>
      </w:r>
      <w:r w:rsidR="00B16675" w:rsidRPr="00B16675">
        <w:rPr>
          <w:rFonts w:ascii="Century Gothic" w:hAnsi="Century Gothic" w:cs="Arial"/>
        </w:rPr>
        <w:t>un respetuoso exhorto al Gobierno Federal, para que las adecuaciones que se realicen en el ejercicio del Presupuesto de Egresos de la Federación durante el ejercicio 2024, prioricen la atención de programas para la disminución de carencias sociales así como la asignación de recursos a fin de proteger a la población afectada por desastres naturales; asimismo, para que no se disminuyan los recursos autorizados en programas presupuestales orientados a mejorar los indicadores de carencias sociales del país y a la protección de derechos.</w:t>
      </w:r>
    </w:p>
    <w:p w14:paraId="35E26C12" w14:textId="05D09161" w:rsidR="00E94374" w:rsidRPr="00772FFB" w:rsidRDefault="00E94374" w:rsidP="00B16675">
      <w:pPr>
        <w:spacing w:after="46" w:line="276" w:lineRule="auto"/>
        <w:ind w:left="-5" w:firstLine="714"/>
        <w:jc w:val="both"/>
        <w:rPr>
          <w:rFonts w:ascii="Century Gothic" w:hAnsi="Century Gothic" w:cs="Arial"/>
        </w:rPr>
      </w:pPr>
    </w:p>
    <w:p w14:paraId="4A58BBDD" w14:textId="77777777" w:rsidR="00E94374" w:rsidRPr="00772FFB" w:rsidRDefault="00E94374" w:rsidP="00C359DF">
      <w:pPr>
        <w:spacing w:line="276" w:lineRule="auto"/>
        <w:ind w:firstLine="714"/>
        <w:jc w:val="both"/>
        <w:rPr>
          <w:rFonts w:ascii="Century Gothic" w:hAnsi="Century Gothic" w:cs="Arial"/>
        </w:rPr>
      </w:pPr>
    </w:p>
    <w:bookmarkEnd w:id="0"/>
    <w:p w14:paraId="492BF882" w14:textId="580DBFE3" w:rsidR="00E94374" w:rsidRPr="00260EED" w:rsidRDefault="00E94374" w:rsidP="00C359DF">
      <w:pPr>
        <w:spacing w:line="276" w:lineRule="auto"/>
        <w:ind w:firstLine="714"/>
        <w:jc w:val="both"/>
        <w:rPr>
          <w:rFonts w:ascii="Century Gothic" w:hAnsi="Century Gothic" w:cs="Arial"/>
        </w:rPr>
      </w:pPr>
      <w:r w:rsidRPr="00772FFB">
        <w:rPr>
          <w:rFonts w:ascii="Century Gothic" w:hAnsi="Century Gothic" w:cs="Arial"/>
        </w:rPr>
        <w:t>De conformidad con los artículos 89, fracción V; 107, fracción V</w:t>
      </w:r>
      <w:r w:rsidR="00E5014B">
        <w:rPr>
          <w:rFonts w:ascii="Century Gothic" w:hAnsi="Century Gothic" w:cs="Arial"/>
        </w:rPr>
        <w:t>I</w:t>
      </w:r>
      <w:r w:rsidRPr="00772FFB">
        <w:rPr>
          <w:rFonts w:ascii="Century Gothic" w:hAnsi="Century Gothic" w:cs="Arial"/>
        </w:rPr>
        <w:t xml:space="preserve"> y 171 de la Ley Orgánica del Poder Legislativo del Estado de Guanajuato, sometemos a la consideración de la </w:t>
      </w:r>
      <w:r w:rsidRPr="00260EED">
        <w:rPr>
          <w:rFonts w:ascii="Century Gothic" w:hAnsi="Century Gothic" w:cs="Arial"/>
        </w:rPr>
        <w:t>Asamblea el presente dictamen, con base en las siguientes:</w:t>
      </w:r>
    </w:p>
    <w:p w14:paraId="36E96A4B" w14:textId="77777777" w:rsidR="00E94374" w:rsidRPr="00260EED" w:rsidRDefault="00E94374" w:rsidP="00E94374">
      <w:pPr>
        <w:pStyle w:val="Sinespaciado"/>
        <w:spacing w:line="276" w:lineRule="auto"/>
        <w:jc w:val="both"/>
        <w:rPr>
          <w:rFonts w:ascii="Century Gothic" w:hAnsi="Century Gothic" w:cs="Arial"/>
          <w:szCs w:val="24"/>
        </w:rPr>
      </w:pPr>
    </w:p>
    <w:p w14:paraId="08A99BB2" w14:textId="09F8BA4D" w:rsidR="00B16675" w:rsidRPr="00260EED" w:rsidRDefault="00E94374" w:rsidP="00B16675">
      <w:pPr>
        <w:pStyle w:val="Sinespaciado"/>
        <w:spacing w:line="276" w:lineRule="auto"/>
        <w:jc w:val="center"/>
        <w:rPr>
          <w:rFonts w:ascii="Century Gothic" w:hAnsi="Century Gothic" w:cs="Arial"/>
          <w:b/>
          <w:sz w:val="24"/>
          <w:szCs w:val="24"/>
        </w:rPr>
      </w:pPr>
      <w:r w:rsidRPr="00260EED">
        <w:rPr>
          <w:rFonts w:ascii="Century Gothic" w:hAnsi="Century Gothic" w:cs="Arial"/>
          <w:b/>
          <w:sz w:val="24"/>
          <w:szCs w:val="24"/>
        </w:rPr>
        <w:t>Consideraciones</w:t>
      </w:r>
    </w:p>
    <w:p w14:paraId="7B731BA6" w14:textId="77777777" w:rsidR="00B16675" w:rsidRPr="00260EED" w:rsidRDefault="00B16675" w:rsidP="00E94374">
      <w:pPr>
        <w:pStyle w:val="Sinespaciado"/>
        <w:spacing w:line="276" w:lineRule="auto"/>
        <w:jc w:val="both"/>
        <w:rPr>
          <w:rFonts w:ascii="Century Gothic" w:hAnsi="Century Gothic" w:cs="Arial"/>
          <w:sz w:val="24"/>
          <w:szCs w:val="24"/>
        </w:rPr>
      </w:pPr>
    </w:p>
    <w:p w14:paraId="7CED0D6D" w14:textId="77777777" w:rsidR="00E94374" w:rsidRPr="00260EED" w:rsidRDefault="00E94374" w:rsidP="00E94374">
      <w:pPr>
        <w:pStyle w:val="Sinespaciado"/>
        <w:numPr>
          <w:ilvl w:val="0"/>
          <w:numId w:val="8"/>
        </w:numPr>
        <w:spacing w:line="276" w:lineRule="auto"/>
        <w:ind w:left="720"/>
        <w:jc w:val="both"/>
        <w:rPr>
          <w:rFonts w:ascii="Century Gothic" w:hAnsi="Century Gothic" w:cs="Arial"/>
          <w:b/>
          <w:sz w:val="24"/>
          <w:szCs w:val="24"/>
        </w:rPr>
      </w:pPr>
      <w:r w:rsidRPr="00260EED">
        <w:rPr>
          <w:rFonts w:ascii="Century Gothic" w:hAnsi="Century Gothic" w:cs="Arial"/>
          <w:b/>
          <w:sz w:val="24"/>
          <w:szCs w:val="24"/>
        </w:rPr>
        <w:t>Antecedentes</w:t>
      </w:r>
    </w:p>
    <w:p w14:paraId="2D290FED" w14:textId="77777777" w:rsidR="00E94374" w:rsidRPr="00260EED" w:rsidRDefault="00E94374" w:rsidP="00E94374">
      <w:pPr>
        <w:pStyle w:val="Sinespaciado"/>
        <w:spacing w:line="276" w:lineRule="auto"/>
        <w:jc w:val="both"/>
        <w:rPr>
          <w:rFonts w:ascii="Century Gothic" w:hAnsi="Century Gothic" w:cs="Arial"/>
          <w:sz w:val="24"/>
          <w:szCs w:val="24"/>
        </w:rPr>
      </w:pPr>
    </w:p>
    <w:p w14:paraId="4809B3C1" w14:textId="2B2FFCED" w:rsidR="001C3717" w:rsidRPr="00772FFB" w:rsidRDefault="001C3717" w:rsidP="001C3717">
      <w:pPr>
        <w:pStyle w:val="Sinespaciado"/>
        <w:spacing w:line="276" w:lineRule="auto"/>
        <w:ind w:firstLine="709"/>
        <w:jc w:val="both"/>
        <w:rPr>
          <w:rFonts w:ascii="Century Gothic" w:hAnsi="Century Gothic" w:cs="Arial"/>
          <w:sz w:val="24"/>
          <w:szCs w:val="24"/>
        </w:rPr>
      </w:pPr>
      <w:r w:rsidRPr="00260EED">
        <w:rPr>
          <w:rFonts w:ascii="Century Gothic" w:hAnsi="Century Gothic" w:cs="Arial"/>
          <w:sz w:val="24"/>
          <w:szCs w:val="24"/>
        </w:rPr>
        <w:t>En sesión ordinaria de 16 de noviembre de 202</w:t>
      </w:r>
      <w:r w:rsidR="0097279B" w:rsidRPr="00260EED">
        <w:rPr>
          <w:rFonts w:ascii="Century Gothic" w:hAnsi="Century Gothic" w:cs="Arial"/>
          <w:sz w:val="24"/>
          <w:szCs w:val="24"/>
        </w:rPr>
        <w:t>3</w:t>
      </w:r>
      <w:r w:rsidRPr="00260EED">
        <w:rPr>
          <w:rFonts w:ascii="Century Gothic" w:hAnsi="Century Gothic" w:cs="Arial"/>
          <w:sz w:val="24"/>
          <w:szCs w:val="24"/>
        </w:rPr>
        <w:t>, la presidencia</w:t>
      </w:r>
      <w:r w:rsidRPr="00772FFB">
        <w:rPr>
          <w:rFonts w:ascii="Century Gothic" w:hAnsi="Century Gothic" w:cs="Arial"/>
          <w:sz w:val="24"/>
          <w:szCs w:val="24"/>
        </w:rPr>
        <w:t xml:space="preserve"> de la Mesa Directiva turnó a la Comisión de Desarrollo Económico y Social, para efectos de su estudio y dictamen, la propuesta de punto de acuerdo referido en el proemio del presente dictamen</w:t>
      </w:r>
      <w:r>
        <w:rPr>
          <w:rFonts w:ascii="Century Gothic" w:hAnsi="Century Gothic" w:cs="Arial"/>
          <w:sz w:val="24"/>
          <w:szCs w:val="24"/>
        </w:rPr>
        <w:t xml:space="preserve"> con número de Expediente Legislativo Digital </w:t>
      </w:r>
      <w:r w:rsidRPr="001C3717">
        <w:rPr>
          <w:rFonts w:ascii="Century Gothic" w:hAnsi="Century Gothic" w:cs="Arial"/>
          <w:sz w:val="24"/>
          <w:szCs w:val="24"/>
        </w:rPr>
        <w:t>361/LXV-PPA</w:t>
      </w:r>
      <w:r>
        <w:rPr>
          <w:rFonts w:ascii="Century Gothic" w:hAnsi="Century Gothic" w:cs="Arial"/>
          <w:sz w:val="24"/>
          <w:szCs w:val="24"/>
        </w:rPr>
        <w:t xml:space="preserve">. Lo anterior </w:t>
      </w:r>
      <w:r w:rsidRPr="00772FFB">
        <w:rPr>
          <w:rFonts w:ascii="Century Gothic" w:hAnsi="Century Gothic" w:cs="Arial"/>
          <w:sz w:val="24"/>
          <w:szCs w:val="24"/>
        </w:rPr>
        <w:t xml:space="preserve">con fundamento en el artículo 107 </w:t>
      </w:r>
      <w:r w:rsidRPr="00772FFB">
        <w:rPr>
          <w:rFonts w:ascii="Century Gothic" w:hAnsi="Century Gothic" w:cs="Arial"/>
          <w:sz w:val="24"/>
          <w:szCs w:val="24"/>
        </w:rPr>
        <w:lastRenderedPageBreak/>
        <w:t xml:space="preserve">fracción </w:t>
      </w:r>
      <w:r>
        <w:rPr>
          <w:rFonts w:ascii="Century Gothic" w:hAnsi="Century Gothic" w:cs="Arial"/>
          <w:sz w:val="24"/>
          <w:szCs w:val="24"/>
        </w:rPr>
        <w:t>I</w:t>
      </w:r>
      <w:r w:rsidRPr="00772FFB">
        <w:rPr>
          <w:rFonts w:ascii="Century Gothic" w:hAnsi="Century Gothic" w:cs="Arial"/>
          <w:sz w:val="24"/>
          <w:szCs w:val="24"/>
        </w:rPr>
        <w:t>V de la Ley Orgánica del Poder Legislativo del Estado de Guanajuato.</w:t>
      </w:r>
    </w:p>
    <w:p w14:paraId="3741BDF8" w14:textId="77777777" w:rsidR="001C3717" w:rsidRPr="00772FFB" w:rsidRDefault="001C3717" w:rsidP="001C3717">
      <w:pPr>
        <w:pStyle w:val="Sinespaciado"/>
        <w:spacing w:line="276" w:lineRule="auto"/>
        <w:ind w:firstLine="851"/>
        <w:jc w:val="both"/>
        <w:rPr>
          <w:rFonts w:ascii="Century Gothic" w:hAnsi="Century Gothic" w:cs="Arial"/>
          <w:szCs w:val="24"/>
        </w:rPr>
      </w:pPr>
    </w:p>
    <w:p w14:paraId="7021982D" w14:textId="6F03753F" w:rsidR="001C3717" w:rsidRDefault="001C3717" w:rsidP="001C3717">
      <w:pPr>
        <w:pStyle w:val="Sinespaciado"/>
        <w:spacing w:line="276" w:lineRule="auto"/>
        <w:ind w:firstLine="709"/>
        <w:jc w:val="both"/>
        <w:rPr>
          <w:rFonts w:ascii="Century Gothic" w:hAnsi="Century Gothic" w:cs="Arial"/>
          <w:sz w:val="24"/>
          <w:szCs w:val="24"/>
        </w:rPr>
      </w:pPr>
      <w:r w:rsidRPr="00772FFB">
        <w:rPr>
          <w:rFonts w:ascii="Century Gothic" w:hAnsi="Century Gothic" w:cs="Arial"/>
          <w:sz w:val="24"/>
          <w:szCs w:val="24"/>
        </w:rPr>
        <w:t xml:space="preserve">El </w:t>
      </w:r>
      <w:r>
        <w:rPr>
          <w:rFonts w:ascii="Century Gothic" w:hAnsi="Century Gothic" w:cs="Arial"/>
          <w:sz w:val="24"/>
          <w:szCs w:val="24"/>
        </w:rPr>
        <w:t>06 de</w:t>
      </w:r>
      <w:r w:rsidR="00E5014B">
        <w:rPr>
          <w:rFonts w:ascii="Century Gothic" w:hAnsi="Century Gothic" w:cs="Arial"/>
          <w:sz w:val="24"/>
          <w:szCs w:val="24"/>
        </w:rPr>
        <w:t xml:space="preserve"> diciembre </w:t>
      </w:r>
      <w:r>
        <w:rPr>
          <w:rFonts w:ascii="Century Gothic" w:hAnsi="Century Gothic" w:cs="Arial"/>
          <w:sz w:val="24"/>
          <w:szCs w:val="24"/>
        </w:rPr>
        <w:t>del 2023</w:t>
      </w:r>
      <w:r w:rsidRPr="00772FFB">
        <w:rPr>
          <w:rFonts w:ascii="Century Gothic" w:hAnsi="Century Gothic" w:cs="Arial"/>
          <w:sz w:val="24"/>
          <w:szCs w:val="24"/>
        </w:rPr>
        <w:t xml:space="preserve">, </w:t>
      </w:r>
      <w:r w:rsidRPr="002E7D71">
        <w:rPr>
          <w:rFonts w:ascii="Century Gothic" w:hAnsi="Century Gothic" w:cs="Arial"/>
          <w:sz w:val="24"/>
          <w:szCs w:val="24"/>
        </w:rPr>
        <w:t>la comisión dictaminadora radicó la propuesta de punto de acuerdo</w:t>
      </w:r>
      <w:r w:rsidR="00E5014B">
        <w:rPr>
          <w:rFonts w:ascii="Century Gothic" w:hAnsi="Century Gothic" w:cs="Arial"/>
          <w:sz w:val="24"/>
          <w:szCs w:val="24"/>
        </w:rPr>
        <w:t xml:space="preserve"> y se otorgaron</w:t>
      </w:r>
      <w:r w:rsidR="00E5014B" w:rsidRPr="00E5014B">
        <w:rPr>
          <w:rFonts w:ascii="Century Gothic" w:hAnsi="Century Gothic" w:cs="Arial"/>
          <w:sz w:val="24"/>
          <w:szCs w:val="24"/>
        </w:rPr>
        <w:t xml:space="preserve"> 15 días a diputadas y diputados de comisión para </w:t>
      </w:r>
      <w:r w:rsidR="0097279B">
        <w:rPr>
          <w:rFonts w:ascii="Century Gothic" w:hAnsi="Century Gothic" w:cs="Arial"/>
          <w:sz w:val="24"/>
          <w:szCs w:val="24"/>
        </w:rPr>
        <w:t xml:space="preserve">que remitieran por conducto de la secretaría técnica sus </w:t>
      </w:r>
      <w:r w:rsidR="00E5014B" w:rsidRPr="00E5014B">
        <w:rPr>
          <w:rFonts w:ascii="Century Gothic" w:hAnsi="Century Gothic" w:cs="Arial"/>
          <w:sz w:val="24"/>
          <w:szCs w:val="24"/>
        </w:rPr>
        <w:t>comentarios</w:t>
      </w:r>
      <w:r w:rsidR="00E5014B">
        <w:rPr>
          <w:rFonts w:ascii="Century Gothic" w:hAnsi="Century Gothic" w:cs="Arial"/>
          <w:sz w:val="24"/>
          <w:szCs w:val="24"/>
        </w:rPr>
        <w:t>.</w:t>
      </w:r>
    </w:p>
    <w:p w14:paraId="3B95A388" w14:textId="77777777" w:rsidR="00E5014B" w:rsidRDefault="00E5014B" w:rsidP="001C3717">
      <w:pPr>
        <w:pStyle w:val="Sinespaciado"/>
        <w:spacing w:line="276" w:lineRule="auto"/>
        <w:ind w:firstLine="709"/>
        <w:jc w:val="both"/>
        <w:rPr>
          <w:rFonts w:ascii="Century Gothic" w:hAnsi="Century Gothic" w:cs="Arial"/>
          <w:sz w:val="24"/>
          <w:szCs w:val="24"/>
        </w:rPr>
      </w:pPr>
    </w:p>
    <w:p w14:paraId="465EA9CC" w14:textId="77777777" w:rsidR="00E5014B" w:rsidRPr="00772FFB" w:rsidRDefault="00E5014B" w:rsidP="00E5014B">
      <w:pPr>
        <w:pStyle w:val="Sinespaciado"/>
        <w:spacing w:line="276" w:lineRule="auto"/>
        <w:ind w:firstLine="709"/>
        <w:jc w:val="both"/>
        <w:rPr>
          <w:rFonts w:ascii="Century Gothic" w:hAnsi="Century Gothic" w:cs="Arial"/>
          <w:sz w:val="24"/>
          <w:szCs w:val="24"/>
        </w:rPr>
      </w:pPr>
      <w:r>
        <w:rPr>
          <w:rFonts w:ascii="Century Gothic" w:hAnsi="Century Gothic" w:cs="Arial"/>
          <w:sz w:val="24"/>
          <w:szCs w:val="24"/>
        </w:rPr>
        <w:t>Posteriormente y por facultad de la presidencia, con fundamento en los artículos 94 fracción VII y 272 fracción VIII, inciso e) de la Ley Orgánica del Poder Legislativo del Estado de Guanajuato, se instruyó para la elaboración del dictamen.</w:t>
      </w:r>
    </w:p>
    <w:p w14:paraId="4745C412" w14:textId="77777777" w:rsidR="00B16675" w:rsidRDefault="00B16675" w:rsidP="00E94374">
      <w:pPr>
        <w:pStyle w:val="Sinespaciado"/>
        <w:spacing w:line="276" w:lineRule="auto"/>
        <w:jc w:val="both"/>
        <w:rPr>
          <w:rFonts w:ascii="Century Gothic" w:hAnsi="Century Gothic" w:cs="Arial"/>
          <w:sz w:val="24"/>
          <w:szCs w:val="24"/>
        </w:rPr>
      </w:pPr>
    </w:p>
    <w:p w14:paraId="71FE5B2B" w14:textId="77777777" w:rsidR="00B16675" w:rsidRPr="00772FFB" w:rsidRDefault="00B16675" w:rsidP="00E94374">
      <w:pPr>
        <w:pStyle w:val="Sinespaciado"/>
        <w:spacing w:line="276" w:lineRule="auto"/>
        <w:jc w:val="both"/>
        <w:rPr>
          <w:rFonts w:ascii="Century Gothic" w:hAnsi="Century Gothic" w:cs="Arial"/>
          <w:sz w:val="24"/>
          <w:szCs w:val="24"/>
        </w:rPr>
      </w:pPr>
    </w:p>
    <w:p w14:paraId="481E0D80" w14:textId="77777777" w:rsidR="00E94374" w:rsidRPr="00772FFB" w:rsidRDefault="00E94374" w:rsidP="00E94374">
      <w:pPr>
        <w:pStyle w:val="Sinespaciado"/>
        <w:numPr>
          <w:ilvl w:val="0"/>
          <w:numId w:val="8"/>
        </w:numPr>
        <w:spacing w:line="276" w:lineRule="auto"/>
        <w:ind w:left="720"/>
        <w:jc w:val="both"/>
        <w:rPr>
          <w:rFonts w:ascii="Century Gothic" w:hAnsi="Century Gothic" w:cs="Arial"/>
          <w:b/>
          <w:sz w:val="24"/>
          <w:szCs w:val="24"/>
        </w:rPr>
      </w:pPr>
      <w:r w:rsidRPr="00772FFB">
        <w:rPr>
          <w:rFonts w:ascii="Century Gothic" w:hAnsi="Century Gothic" w:cs="Arial"/>
          <w:b/>
          <w:sz w:val="24"/>
          <w:szCs w:val="24"/>
        </w:rPr>
        <w:t>Valoración de la propuesta.</w:t>
      </w:r>
    </w:p>
    <w:p w14:paraId="43F8C409" w14:textId="77777777" w:rsidR="00E94374" w:rsidRPr="00772FFB" w:rsidRDefault="00E94374" w:rsidP="00E94374">
      <w:pPr>
        <w:pStyle w:val="Sinespaciado"/>
        <w:spacing w:line="276" w:lineRule="auto"/>
        <w:ind w:left="720"/>
        <w:jc w:val="both"/>
        <w:rPr>
          <w:rFonts w:ascii="Century Gothic" w:hAnsi="Century Gothic" w:cs="Arial"/>
          <w:b/>
          <w:sz w:val="24"/>
          <w:szCs w:val="24"/>
        </w:rPr>
      </w:pPr>
      <w:r w:rsidRPr="00772FFB">
        <w:rPr>
          <w:rFonts w:ascii="Century Gothic" w:hAnsi="Century Gothic" w:cs="Arial"/>
          <w:b/>
          <w:sz w:val="24"/>
          <w:szCs w:val="24"/>
        </w:rPr>
        <w:t xml:space="preserve"> </w:t>
      </w:r>
    </w:p>
    <w:p w14:paraId="19C56B4D" w14:textId="1337C7EA" w:rsidR="000A23B0" w:rsidRDefault="00E5014B" w:rsidP="0097279B">
      <w:pPr>
        <w:spacing w:line="276" w:lineRule="auto"/>
        <w:ind w:firstLine="851"/>
        <w:jc w:val="both"/>
        <w:rPr>
          <w:rFonts w:ascii="Century Gothic" w:hAnsi="Century Gothic" w:cs="Arial"/>
        </w:rPr>
      </w:pPr>
      <w:r>
        <w:rPr>
          <w:rFonts w:ascii="Century Gothic" w:hAnsi="Century Gothic" w:cs="Arial"/>
        </w:rPr>
        <w:t>Los iniciantes en sus consideraciones refieren:</w:t>
      </w:r>
    </w:p>
    <w:p w14:paraId="520233EA" w14:textId="77777777" w:rsidR="00E5014B" w:rsidRDefault="00E5014B" w:rsidP="001C0CD9">
      <w:pPr>
        <w:spacing w:line="276" w:lineRule="auto"/>
        <w:jc w:val="both"/>
        <w:rPr>
          <w:rFonts w:ascii="Century Gothic" w:hAnsi="Century Gothic" w:cs="Arial"/>
        </w:rPr>
      </w:pPr>
    </w:p>
    <w:p w14:paraId="166BE414" w14:textId="77777777" w:rsidR="0097279B" w:rsidRDefault="0097279B" w:rsidP="00E5014B">
      <w:pPr>
        <w:ind w:left="993"/>
        <w:jc w:val="both"/>
        <w:rPr>
          <w:rFonts w:ascii="Century Gothic" w:eastAsia="Times New Roman" w:hAnsi="Century Gothic" w:cs="Arial"/>
          <w:i/>
          <w:iCs/>
          <w:sz w:val="20"/>
          <w:szCs w:val="20"/>
          <w:lang w:eastAsia="es-MX"/>
        </w:rPr>
      </w:pPr>
      <w:r>
        <w:rPr>
          <w:rFonts w:ascii="Century Gothic" w:eastAsia="Times New Roman" w:hAnsi="Century Gothic" w:cs="Arial"/>
          <w:i/>
          <w:iCs/>
          <w:sz w:val="20"/>
          <w:szCs w:val="20"/>
          <w:lang w:eastAsia="es-MX"/>
        </w:rPr>
        <w:t>“…</w:t>
      </w:r>
    </w:p>
    <w:p w14:paraId="23A9094F" w14:textId="77777777" w:rsidR="0097279B" w:rsidRDefault="0097279B" w:rsidP="00536387">
      <w:pPr>
        <w:ind w:left="993" w:right="616"/>
        <w:jc w:val="both"/>
        <w:rPr>
          <w:rFonts w:ascii="Century Gothic" w:eastAsia="Times New Roman" w:hAnsi="Century Gothic" w:cs="Arial"/>
          <w:i/>
          <w:iCs/>
          <w:sz w:val="20"/>
          <w:szCs w:val="20"/>
          <w:lang w:eastAsia="es-MX"/>
        </w:rPr>
      </w:pPr>
    </w:p>
    <w:p w14:paraId="7C014DF5" w14:textId="44198FA8" w:rsidR="00E5014B" w:rsidRPr="0097279B" w:rsidRDefault="00E5014B" w:rsidP="00536387">
      <w:pPr>
        <w:ind w:left="993" w:right="616"/>
        <w:jc w:val="both"/>
        <w:rPr>
          <w:rFonts w:ascii="Century Gothic" w:eastAsia="Times New Roman" w:hAnsi="Century Gothic" w:cs="Arial"/>
          <w:i/>
          <w:iCs/>
          <w:sz w:val="20"/>
          <w:szCs w:val="20"/>
          <w:lang w:eastAsia="es-MX"/>
        </w:rPr>
      </w:pPr>
      <w:r w:rsidRPr="0097279B">
        <w:rPr>
          <w:rFonts w:ascii="Century Gothic" w:eastAsia="Times New Roman" w:hAnsi="Century Gothic" w:cs="Arial"/>
          <w:i/>
          <w:iCs/>
          <w:sz w:val="20"/>
          <w:szCs w:val="20"/>
          <w:lang w:eastAsia="es-MX"/>
        </w:rPr>
        <w:t xml:space="preserve">El pasado 9 de noviembre del año en curso la Cámara de Diputados aprobó el Decreto del Presupuesto de Egresos para el Ejercicio Fiscal 2024. Es el último Presupuesto de la actual administración federal que refleja las contradicciones que han prevalecido en el actual gobierno. </w:t>
      </w:r>
    </w:p>
    <w:p w14:paraId="59189E13" w14:textId="77777777" w:rsidR="00E5014B" w:rsidRPr="0097279B" w:rsidRDefault="00E5014B" w:rsidP="00536387">
      <w:pPr>
        <w:ind w:left="993" w:right="616"/>
        <w:jc w:val="both"/>
        <w:rPr>
          <w:rFonts w:ascii="Century Gothic" w:eastAsia="Times New Roman" w:hAnsi="Century Gothic" w:cs="Arial"/>
          <w:i/>
          <w:iCs/>
          <w:sz w:val="20"/>
          <w:szCs w:val="20"/>
          <w:lang w:eastAsia="es-MX"/>
        </w:rPr>
      </w:pPr>
    </w:p>
    <w:p w14:paraId="1815D226" w14:textId="77777777" w:rsidR="00E5014B" w:rsidRPr="0097279B" w:rsidRDefault="00E5014B" w:rsidP="00536387">
      <w:pPr>
        <w:ind w:left="993" w:right="616"/>
        <w:jc w:val="both"/>
        <w:rPr>
          <w:rFonts w:ascii="Century Gothic" w:eastAsia="Times New Roman" w:hAnsi="Century Gothic" w:cs="Arial"/>
          <w:i/>
          <w:iCs/>
          <w:sz w:val="20"/>
          <w:szCs w:val="20"/>
          <w:lang w:eastAsia="es-MX"/>
        </w:rPr>
      </w:pPr>
      <w:r w:rsidRPr="0097279B">
        <w:rPr>
          <w:rFonts w:ascii="Century Gothic" w:eastAsia="Times New Roman" w:hAnsi="Century Gothic" w:cs="Arial"/>
          <w:i/>
          <w:iCs/>
          <w:sz w:val="20"/>
          <w:szCs w:val="20"/>
          <w:lang w:eastAsia="es-MX"/>
        </w:rPr>
        <w:t xml:space="preserve">Antes que la protección de la salud, la atención de programas para abatir los rezagos educativos, la promoción de derechos de infancias o la implementación de acciones para población afectada por desastres naturales, en el paquete fiscal aprobado la prioridad de las asignaciones se reducen en la intención por concluir los proyectos emblema de la administración, cuyos sobrecostos se han documentado en revisiones de organismos de fiscalización. </w:t>
      </w:r>
    </w:p>
    <w:p w14:paraId="5E15B8A8" w14:textId="77777777" w:rsidR="00E5014B" w:rsidRPr="0097279B" w:rsidRDefault="00E5014B" w:rsidP="00536387">
      <w:pPr>
        <w:ind w:left="993" w:right="616"/>
        <w:jc w:val="both"/>
        <w:rPr>
          <w:rFonts w:ascii="Century Gothic" w:eastAsia="Times New Roman" w:hAnsi="Century Gothic" w:cs="Arial"/>
          <w:i/>
          <w:iCs/>
          <w:sz w:val="20"/>
          <w:szCs w:val="20"/>
          <w:lang w:eastAsia="es-MX"/>
        </w:rPr>
      </w:pPr>
    </w:p>
    <w:p w14:paraId="44C47070" w14:textId="77777777" w:rsidR="00E5014B" w:rsidRPr="0097279B" w:rsidRDefault="00E5014B" w:rsidP="00536387">
      <w:pPr>
        <w:ind w:left="993" w:right="616"/>
        <w:jc w:val="both"/>
        <w:rPr>
          <w:rFonts w:ascii="Century Gothic" w:eastAsia="Times New Roman" w:hAnsi="Century Gothic" w:cs="Arial"/>
          <w:i/>
          <w:iCs/>
          <w:sz w:val="20"/>
          <w:szCs w:val="20"/>
          <w:lang w:eastAsia="es-MX"/>
        </w:rPr>
      </w:pPr>
      <w:r w:rsidRPr="0097279B">
        <w:rPr>
          <w:rFonts w:ascii="Century Gothic" w:eastAsia="Times New Roman" w:hAnsi="Century Gothic" w:cs="Arial"/>
          <w:i/>
          <w:iCs/>
          <w:sz w:val="20"/>
          <w:szCs w:val="20"/>
          <w:lang w:eastAsia="es-MX"/>
        </w:rPr>
        <w:t xml:space="preserve">Los casos más indicativos de sus contradicciones son aquellos en materia del cumplimiento de derechos en donde contrastan sus compromisos y sus discursos con la realidad. </w:t>
      </w:r>
    </w:p>
    <w:p w14:paraId="703312D5" w14:textId="77777777" w:rsidR="00E5014B" w:rsidRPr="0097279B" w:rsidRDefault="00E5014B" w:rsidP="00536387">
      <w:pPr>
        <w:ind w:left="993" w:right="616"/>
        <w:jc w:val="both"/>
        <w:rPr>
          <w:rFonts w:ascii="Century Gothic" w:eastAsia="Times New Roman" w:hAnsi="Century Gothic" w:cs="Arial"/>
          <w:i/>
          <w:iCs/>
          <w:sz w:val="20"/>
          <w:szCs w:val="20"/>
          <w:lang w:eastAsia="es-MX"/>
        </w:rPr>
      </w:pPr>
    </w:p>
    <w:p w14:paraId="2455E031" w14:textId="77777777" w:rsidR="00E5014B" w:rsidRPr="0097279B" w:rsidRDefault="00E5014B" w:rsidP="00536387">
      <w:pPr>
        <w:ind w:left="993" w:right="616"/>
        <w:jc w:val="both"/>
        <w:rPr>
          <w:rFonts w:ascii="Century Gothic" w:eastAsia="Times New Roman" w:hAnsi="Century Gothic" w:cs="Arial"/>
          <w:i/>
          <w:iCs/>
          <w:sz w:val="20"/>
          <w:szCs w:val="20"/>
          <w:lang w:eastAsia="es-MX"/>
        </w:rPr>
      </w:pPr>
      <w:r w:rsidRPr="0097279B">
        <w:rPr>
          <w:rFonts w:ascii="Century Gothic" w:eastAsia="Times New Roman" w:hAnsi="Century Gothic" w:cs="Arial"/>
          <w:i/>
          <w:iCs/>
          <w:sz w:val="20"/>
          <w:szCs w:val="20"/>
          <w:lang w:eastAsia="es-MX"/>
        </w:rPr>
        <w:t xml:space="preserve">Un gobierno que ha insistido en proteger derechos, pero cuando se trata de asignar recursos para darles cumplimiento no se refleja en sus </w:t>
      </w:r>
      <w:r w:rsidRPr="0097279B">
        <w:rPr>
          <w:rFonts w:ascii="Century Gothic" w:eastAsia="Times New Roman" w:hAnsi="Century Gothic" w:cs="Arial"/>
          <w:i/>
          <w:iCs/>
          <w:sz w:val="20"/>
          <w:szCs w:val="20"/>
          <w:lang w:eastAsia="es-MX"/>
        </w:rPr>
        <w:lastRenderedPageBreak/>
        <w:t xml:space="preserve">prioridades, ya sea por fondos que no se autorizan e incluso por disminuir recursos a programas que beneficiarían a la población. </w:t>
      </w:r>
    </w:p>
    <w:p w14:paraId="7DC7BB2C" w14:textId="77777777" w:rsidR="00E5014B" w:rsidRPr="0097279B" w:rsidRDefault="00E5014B" w:rsidP="00536387">
      <w:pPr>
        <w:ind w:left="993" w:right="616"/>
        <w:jc w:val="both"/>
        <w:rPr>
          <w:rFonts w:ascii="Century Gothic" w:eastAsia="Times New Roman" w:hAnsi="Century Gothic" w:cs="Arial"/>
          <w:i/>
          <w:iCs/>
          <w:sz w:val="20"/>
          <w:szCs w:val="20"/>
          <w:lang w:eastAsia="es-MX"/>
        </w:rPr>
      </w:pPr>
    </w:p>
    <w:p w14:paraId="6CE341C3" w14:textId="77777777" w:rsidR="00E5014B" w:rsidRPr="0097279B" w:rsidRDefault="00E5014B" w:rsidP="00536387">
      <w:pPr>
        <w:ind w:left="993" w:right="616"/>
        <w:jc w:val="both"/>
        <w:rPr>
          <w:rFonts w:ascii="Century Gothic" w:eastAsia="Times New Roman" w:hAnsi="Century Gothic" w:cs="Arial"/>
          <w:i/>
          <w:iCs/>
          <w:sz w:val="20"/>
          <w:szCs w:val="20"/>
          <w:lang w:eastAsia="es-MX"/>
        </w:rPr>
      </w:pPr>
      <w:r w:rsidRPr="0097279B">
        <w:rPr>
          <w:rFonts w:ascii="Century Gothic" w:eastAsia="Times New Roman" w:hAnsi="Century Gothic" w:cs="Arial"/>
          <w:i/>
          <w:iCs/>
          <w:sz w:val="20"/>
          <w:szCs w:val="20"/>
          <w:lang w:eastAsia="es-MX"/>
        </w:rPr>
        <w:t xml:space="preserve">Es preciso levantar alertas sobre esas prioridades que concentran las ampliaciones presupuestales del Gobierno </w:t>
      </w:r>
      <w:proofErr w:type="gramStart"/>
      <w:r w:rsidRPr="0097279B">
        <w:rPr>
          <w:rFonts w:ascii="Century Gothic" w:eastAsia="Times New Roman" w:hAnsi="Century Gothic" w:cs="Arial"/>
          <w:i/>
          <w:iCs/>
          <w:sz w:val="20"/>
          <w:szCs w:val="20"/>
          <w:lang w:eastAsia="es-MX"/>
        </w:rPr>
        <w:t>Federal  y</w:t>
      </w:r>
      <w:proofErr w:type="gramEnd"/>
      <w:r w:rsidRPr="0097279B">
        <w:rPr>
          <w:rFonts w:ascii="Century Gothic" w:eastAsia="Times New Roman" w:hAnsi="Century Gothic" w:cs="Arial"/>
          <w:i/>
          <w:iCs/>
          <w:sz w:val="20"/>
          <w:szCs w:val="20"/>
          <w:lang w:eastAsia="es-MX"/>
        </w:rPr>
        <w:t xml:space="preserve"> las disminuciones que reflejan el doble discurso en la narrativa de la Cuarta Transformación.</w:t>
      </w:r>
    </w:p>
    <w:p w14:paraId="016BBF93" w14:textId="77777777" w:rsidR="00E5014B" w:rsidRPr="0097279B" w:rsidRDefault="00E5014B" w:rsidP="00536387">
      <w:pPr>
        <w:ind w:left="993" w:right="616"/>
        <w:jc w:val="both"/>
        <w:rPr>
          <w:rFonts w:ascii="Century Gothic" w:eastAsia="Times New Roman" w:hAnsi="Century Gothic" w:cs="Arial"/>
          <w:i/>
          <w:iCs/>
          <w:sz w:val="20"/>
          <w:szCs w:val="20"/>
          <w:lang w:eastAsia="es-MX"/>
        </w:rPr>
      </w:pPr>
    </w:p>
    <w:p w14:paraId="5B04301C" w14:textId="655ED058" w:rsidR="00E5014B" w:rsidRDefault="00E5014B" w:rsidP="00536387">
      <w:pPr>
        <w:ind w:left="993" w:right="616"/>
        <w:jc w:val="both"/>
        <w:rPr>
          <w:rFonts w:ascii="Century Gothic" w:eastAsia="Times New Roman" w:hAnsi="Century Gothic" w:cs="Arial"/>
          <w:i/>
          <w:iCs/>
          <w:sz w:val="20"/>
          <w:szCs w:val="20"/>
          <w:lang w:eastAsia="es-MX"/>
        </w:rPr>
      </w:pPr>
      <w:r w:rsidRPr="0097279B">
        <w:rPr>
          <w:rFonts w:ascii="Century Gothic" w:eastAsia="Times New Roman" w:hAnsi="Century Gothic" w:cs="Arial"/>
          <w:i/>
          <w:iCs/>
          <w:sz w:val="20"/>
          <w:szCs w:val="20"/>
          <w:lang w:eastAsia="es-MX"/>
        </w:rPr>
        <w:t>El objetivo principal es corregir en el ejercicio del gasto aquello que en la aprobación del Presupuesto para el próximo año la mayoría de la fracción parlamentaria de MORENA dejó desatendido; asimismo, evitar esa práctica de quitar recursos a programas sociales que se ha visto en el ejercicio del gasto en años previos.</w:t>
      </w:r>
    </w:p>
    <w:p w14:paraId="1B049571" w14:textId="77777777" w:rsidR="0097279B" w:rsidRDefault="0097279B" w:rsidP="00536387">
      <w:pPr>
        <w:ind w:left="993" w:right="616"/>
        <w:jc w:val="both"/>
        <w:rPr>
          <w:rFonts w:ascii="Century Gothic" w:eastAsia="Times New Roman" w:hAnsi="Century Gothic" w:cs="Arial"/>
          <w:i/>
          <w:iCs/>
          <w:sz w:val="20"/>
          <w:szCs w:val="20"/>
          <w:lang w:eastAsia="es-MX"/>
        </w:rPr>
      </w:pPr>
    </w:p>
    <w:p w14:paraId="229E54C6" w14:textId="27A3146B" w:rsidR="0097279B" w:rsidRPr="0097279B" w:rsidRDefault="0097279B" w:rsidP="00536387">
      <w:pPr>
        <w:ind w:left="993" w:right="616"/>
        <w:jc w:val="both"/>
        <w:rPr>
          <w:rFonts w:ascii="Century Gothic" w:eastAsia="Times New Roman" w:hAnsi="Century Gothic" w:cs="Arial"/>
          <w:i/>
          <w:iCs/>
          <w:sz w:val="20"/>
          <w:szCs w:val="20"/>
          <w:lang w:eastAsia="es-MX"/>
        </w:rPr>
      </w:pPr>
      <w:r>
        <w:rPr>
          <w:rFonts w:ascii="Century Gothic" w:eastAsia="Times New Roman" w:hAnsi="Century Gothic" w:cs="Arial"/>
          <w:i/>
          <w:iCs/>
          <w:sz w:val="20"/>
          <w:szCs w:val="20"/>
          <w:lang w:eastAsia="es-MX"/>
        </w:rPr>
        <w:t>…”</w:t>
      </w:r>
    </w:p>
    <w:p w14:paraId="702F20A4" w14:textId="77777777" w:rsidR="00E5014B" w:rsidRPr="00E5014B" w:rsidRDefault="00E5014B" w:rsidP="00E5014B">
      <w:pPr>
        <w:ind w:left="993"/>
        <w:jc w:val="both"/>
        <w:rPr>
          <w:rFonts w:ascii="Century Gothic" w:eastAsia="Times New Roman" w:hAnsi="Century Gothic" w:cs="Arial"/>
          <w:sz w:val="22"/>
          <w:szCs w:val="22"/>
          <w:lang w:eastAsia="es-MX"/>
        </w:rPr>
      </w:pPr>
    </w:p>
    <w:p w14:paraId="29A6B883" w14:textId="77777777" w:rsidR="00E5014B" w:rsidRDefault="00E5014B" w:rsidP="001C0CD9">
      <w:pPr>
        <w:spacing w:line="276" w:lineRule="auto"/>
        <w:jc w:val="both"/>
        <w:rPr>
          <w:rFonts w:ascii="Century Gothic" w:hAnsi="Century Gothic" w:cs="Arial"/>
        </w:rPr>
      </w:pPr>
    </w:p>
    <w:p w14:paraId="6E32CA5C" w14:textId="15F82B46" w:rsidR="00102FBD" w:rsidRPr="00CE58B8" w:rsidRDefault="00E5014B" w:rsidP="00E5014B">
      <w:pPr>
        <w:pStyle w:val="Sinespaciado"/>
        <w:numPr>
          <w:ilvl w:val="0"/>
          <w:numId w:val="8"/>
        </w:numPr>
        <w:spacing w:line="276" w:lineRule="auto"/>
        <w:ind w:left="0" w:firstLine="425"/>
        <w:jc w:val="both"/>
        <w:rPr>
          <w:rFonts w:ascii="Century Gothic" w:hAnsi="Century Gothic" w:cs="Arial"/>
          <w:b/>
          <w:sz w:val="24"/>
          <w:szCs w:val="24"/>
        </w:rPr>
      </w:pPr>
      <w:r>
        <w:rPr>
          <w:rFonts w:ascii="Century Gothic" w:hAnsi="Century Gothic" w:cs="Arial"/>
          <w:b/>
          <w:sz w:val="24"/>
          <w:szCs w:val="24"/>
        </w:rPr>
        <w:t xml:space="preserve">  </w:t>
      </w:r>
      <w:r w:rsidR="00102FBD" w:rsidRPr="00CE58B8">
        <w:rPr>
          <w:rFonts w:ascii="Century Gothic" w:hAnsi="Century Gothic" w:cs="Arial"/>
          <w:b/>
          <w:sz w:val="24"/>
          <w:szCs w:val="24"/>
        </w:rPr>
        <w:t xml:space="preserve">Análisis de la propuesta </w:t>
      </w:r>
    </w:p>
    <w:p w14:paraId="2D8A0F87" w14:textId="77777777" w:rsidR="00102FBD" w:rsidRDefault="00102FBD" w:rsidP="00914291">
      <w:pPr>
        <w:pStyle w:val="Sinespaciado"/>
        <w:spacing w:line="276" w:lineRule="auto"/>
        <w:ind w:left="426" w:firstLine="425"/>
        <w:jc w:val="both"/>
        <w:rPr>
          <w:rFonts w:ascii="Century Gothic" w:hAnsi="Century Gothic" w:cs="Arial"/>
          <w:b/>
          <w:sz w:val="24"/>
          <w:szCs w:val="24"/>
        </w:rPr>
      </w:pPr>
    </w:p>
    <w:p w14:paraId="72668E29" w14:textId="770B4198" w:rsidR="00876FC4" w:rsidRDefault="00876FC4" w:rsidP="00876FC4">
      <w:pPr>
        <w:spacing w:line="276" w:lineRule="auto"/>
        <w:ind w:firstLine="714"/>
        <w:jc w:val="both"/>
        <w:rPr>
          <w:rFonts w:ascii="Century Gothic" w:hAnsi="Century Gothic" w:cs="Arial"/>
        </w:rPr>
      </w:pPr>
      <w:r>
        <w:rPr>
          <w:rFonts w:ascii="Century Gothic" w:hAnsi="Century Gothic" w:cs="Arial"/>
        </w:rPr>
        <w:t>Quienes integramos esta Comisión dictaminadora coincidimos en la relevancia que tiene el presupuesto público como una de las principales vías para que</w:t>
      </w:r>
      <w:r w:rsidR="00F61A78">
        <w:rPr>
          <w:rFonts w:ascii="Century Gothic" w:hAnsi="Century Gothic" w:cs="Arial"/>
        </w:rPr>
        <w:t>,</w:t>
      </w:r>
      <w:r>
        <w:rPr>
          <w:rFonts w:ascii="Century Gothic" w:hAnsi="Century Gothic" w:cs="Arial"/>
        </w:rPr>
        <w:t xml:space="preserve"> a través de programas presupuestales específicos</w:t>
      </w:r>
      <w:r w:rsidR="00F61A78">
        <w:rPr>
          <w:rFonts w:ascii="Century Gothic" w:hAnsi="Century Gothic" w:cs="Arial"/>
        </w:rPr>
        <w:t>,</w:t>
      </w:r>
      <w:r>
        <w:rPr>
          <w:rFonts w:ascii="Century Gothic" w:hAnsi="Century Gothic" w:cs="Arial"/>
        </w:rPr>
        <w:t xml:space="preserve"> se procure la protección de derechos sociales.</w:t>
      </w:r>
    </w:p>
    <w:p w14:paraId="79734B5E" w14:textId="77777777" w:rsidR="00876FC4" w:rsidRDefault="00876FC4" w:rsidP="00876FC4">
      <w:pPr>
        <w:spacing w:line="276" w:lineRule="auto"/>
        <w:ind w:firstLine="714"/>
        <w:jc w:val="both"/>
        <w:rPr>
          <w:rFonts w:ascii="Century Gothic" w:hAnsi="Century Gothic" w:cs="Arial"/>
        </w:rPr>
      </w:pPr>
    </w:p>
    <w:p w14:paraId="66768252" w14:textId="36531DB8" w:rsidR="00876FC4" w:rsidRDefault="00876FC4" w:rsidP="00876FC4">
      <w:pPr>
        <w:spacing w:line="276" w:lineRule="auto"/>
        <w:ind w:firstLine="714"/>
        <w:jc w:val="both"/>
        <w:rPr>
          <w:rFonts w:ascii="Century Gothic" w:hAnsi="Century Gothic" w:cs="Arial"/>
        </w:rPr>
      </w:pPr>
      <w:r>
        <w:rPr>
          <w:rFonts w:ascii="Century Gothic" w:hAnsi="Century Gothic" w:cs="Arial"/>
        </w:rPr>
        <w:t>En ese sentido, resulta de la mayor relevancia</w:t>
      </w:r>
      <w:r w:rsidR="00F61A78">
        <w:rPr>
          <w:rFonts w:ascii="Century Gothic" w:hAnsi="Century Gothic" w:cs="Arial"/>
        </w:rPr>
        <w:t xml:space="preserve"> revisar tanto las asignaciones que se autorizan </w:t>
      </w:r>
      <w:r w:rsidR="008A1388">
        <w:rPr>
          <w:rFonts w:ascii="Century Gothic" w:hAnsi="Century Gothic" w:cs="Arial"/>
        </w:rPr>
        <w:t>en las</w:t>
      </w:r>
      <w:r>
        <w:rPr>
          <w:rFonts w:ascii="Century Gothic" w:hAnsi="Century Gothic" w:cs="Arial"/>
        </w:rPr>
        <w:t xml:space="preserve"> asignaciones </w:t>
      </w:r>
      <w:r w:rsidR="00F61A78">
        <w:rPr>
          <w:rFonts w:ascii="Century Gothic" w:hAnsi="Century Gothic" w:cs="Arial"/>
        </w:rPr>
        <w:t>establecidas</w:t>
      </w:r>
      <w:r>
        <w:rPr>
          <w:rFonts w:ascii="Century Gothic" w:hAnsi="Century Gothic" w:cs="Arial"/>
        </w:rPr>
        <w:t xml:space="preserve"> </w:t>
      </w:r>
      <w:r w:rsidR="00F61A78">
        <w:rPr>
          <w:rFonts w:ascii="Century Gothic" w:hAnsi="Century Gothic" w:cs="Arial"/>
        </w:rPr>
        <w:t xml:space="preserve">en el Decreto del </w:t>
      </w:r>
      <w:r w:rsidR="00F61A78" w:rsidRPr="00F61A78">
        <w:rPr>
          <w:rFonts w:ascii="Century Gothic" w:hAnsi="Century Gothic"/>
        </w:rPr>
        <w:t>Presupuesto de Egresos</w:t>
      </w:r>
      <w:r w:rsidR="00F61A78" w:rsidRPr="00F61A78">
        <w:rPr>
          <w:rFonts w:ascii="Century Gothic" w:hAnsi="Century Gothic" w:cs="Arial"/>
        </w:rPr>
        <w:t xml:space="preserve"> de la Federación para </w:t>
      </w:r>
      <w:r w:rsidR="00F61A78">
        <w:rPr>
          <w:rFonts w:ascii="Century Gothic" w:hAnsi="Century Gothic" w:cs="Arial"/>
        </w:rPr>
        <w:t xml:space="preserve">cada ejercicio fiscal, así como las reasignaciones que </w:t>
      </w:r>
      <w:r w:rsidR="00FF599D">
        <w:rPr>
          <w:rFonts w:ascii="Century Gothic" w:hAnsi="Century Gothic" w:cs="Arial"/>
        </w:rPr>
        <w:t xml:space="preserve">se </w:t>
      </w:r>
      <w:r w:rsidR="00F61A78">
        <w:rPr>
          <w:rFonts w:ascii="Century Gothic" w:hAnsi="Century Gothic" w:cs="Arial"/>
        </w:rPr>
        <w:t>autoriza</w:t>
      </w:r>
      <w:r w:rsidR="00FF599D">
        <w:rPr>
          <w:rFonts w:ascii="Century Gothic" w:hAnsi="Century Gothic" w:cs="Arial"/>
        </w:rPr>
        <w:t>n</w:t>
      </w:r>
      <w:r w:rsidR="00F61A78">
        <w:rPr>
          <w:rFonts w:ascii="Century Gothic" w:hAnsi="Century Gothic" w:cs="Arial"/>
        </w:rPr>
        <w:t xml:space="preserve"> en el periodo del ejercicio del gasto.</w:t>
      </w:r>
    </w:p>
    <w:p w14:paraId="3F96D521" w14:textId="77777777" w:rsidR="00876FC4" w:rsidRDefault="00876FC4" w:rsidP="00876FC4">
      <w:pPr>
        <w:spacing w:line="276" w:lineRule="auto"/>
        <w:ind w:firstLine="714"/>
        <w:jc w:val="both"/>
        <w:rPr>
          <w:rFonts w:ascii="Century Gothic" w:hAnsi="Century Gothic" w:cs="Arial"/>
        </w:rPr>
      </w:pPr>
    </w:p>
    <w:p w14:paraId="4A0EA032" w14:textId="00E8B4AF" w:rsidR="00876FC4" w:rsidRDefault="00876FC4" w:rsidP="00876FC4">
      <w:pPr>
        <w:spacing w:line="276" w:lineRule="auto"/>
        <w:ind w:firstLine="714"/>
        <w:jc w:val="both"/>
        <w:rPr>
          <w:rFonts w:ascii="Century Gothic" w:hAnsi="Century Gothic" w:cs="Arial"/>
        </w:rPr>
      </w:pPr>
      <w:r>
        <w:rPr>
          <w:rFonts w:ascii="Century Gothic" w:hAnsi="Century Gothic" w:cs="Arial"/>
        </w:rPr>
        <w:t xml:space="preserve">Esta Comisión  </w:t>
      </w:r>
      <w:r w:rsidR="00F61A78">
        <w:rPr>
          <w:rFonts w:ascii="Century Gothic" w:hAnsi="Century Gothic" w:cs="Arial"/>
        </w:rPr>
        <w:t xml:space="preserve">procedió a un análisis en dos principales ejes: el de índole jurídico, relativo a las facultades para </w:t>
      </w:r>
      <w:r w:rsidR="00740E81">
        <w:rPr>
          <w:rFonts w:ascii="Century Gothic" w:hAnsi="Century Gothic" w:cs="Arial"/>
        </w:rPr>
        <w:t xml:space="preserve">realizar </w:t>
      </w:r>
      <w:r w:rsidR="00F61A78">
        <w:rPr>
          <w:rFonts w:ascii="Century Gothic" w:hAnsi="Century Gothic" w:cs="Arial"/>
        </w:rPr>
        <w:t xml:space="preserve">las readecuaciones presupuestales que se autorizan en el ejercicio; </w:t>
      </w:r>
      <w:r w:rsidR="0097279B" w:rsidRPr="00260EED">
        <w:rPr>
          <w:rFonts w:ascii="Century Gothic" w:hAnsi="Century Gothic" w:cs="Arial"/>
        </w:rPr>
        <w:t>la revisión de</w:t>
      </w:r>
      <w:r w:rsidR="0097279B">
        <w:rPr>
          <w:rFonts w:ascii="Century Gothic" w:hAnsi="Century Gothic" w:cs="Arial"/>
        </w:rPr>
        <w:t xml:space="preserve"> </w:t>
      </w:r>
      <w:r w:rsidR="00F61A78">
        <w:rPr>
          <w:rFonts w:ascii="Century Gothic" w:hAnsi="Century Gothic" w:cs="Arial"/>
        </w:rPr>
        <w:t xml:space="preserve">las cifras de adecuaciones presupuestarias que se autorizaron durante el ejercicio fiscal 2023 </w:t>
      </w:r>
      <w:r w:rsidR="008A1388">
        <w:rPr>
          <w:rFonts w:ascii="Century Gothic" w:hAnsi="Century Gothic" w:cs="Arial"/>
        </w:rPr>
        <w:t>y las principales causas de variación del gasto</w:t>
      </w:r>
      <w:r w:rsidR="00740E81">
        <w:rPr>
          <w:rFonts w:ascii="Century Gothic" w:hAnsi="Century Gothic" w:cs="Arial"/>
        </w:rPr>
        <w:t xml:space="preserve"> en el presupuesto federal</w:t>
      </w:r>
      <w:r w:rsidR="008A1388">
        <w:rPr>
          <w:rFonts w:ascii="Century Gothic" w:hAnsi="Century Gothic" w:cs="Arial"/>
        </w:rPr>
        <w:t xml:space="preserve"> </w:t>
      </w:r>
      <w:r w:rsidR="00F61A78">
        <w:rPr>
          <w:rFonts w:ascii="Century Gothic" w:hAnsi="Century Gothic" w:cs="Arial"/>
        </w:rPr>
        <w:t xml:space="preserve">para revisar la naturaleza de las mismas y el tipo de prioridades a las que se les dio atención, así como aquellas rubros que se ajustaron a la baja. </w:t>
      </w:r>
    </w:p>
    <w:p w14:paraId="0D37EBF4" w14:textId="77777777" w:rsidR="00F61A78" w:rsidRDefault="00F61A78" w:rsidP="00876FC4">
      <w:pPr>
        <w:spacing w:line="276" w:lineRule="auto"/>
        <w:ind w:firstLine="714"/>
        <w:jc w:val="both"/>
        <w:rPr>
          <w:rFonts w:ascii="Century Gothic" w:hAnsi="Century Gothic" w:cs="Arial"/>
        </w:rPr>
      </w:pPr>
    </w:p>
    <w:p w14:paraId="4BABF99A" w14:textId="5BD9B481" w:rsidR="00F61A78" w:rsidRDefault="00F61A78" w:rsidP="00876FC4">
      <w:pPr>
        <w:spacing w:line="276" w:lineRule="auto"/>
        <w:ind w:firstLine="714"/>
        <w:jc w:val="both"/>
        <w:rPr>
          <w:rFonts w:ascii="Century Gothic" w:hAnsi="Century Gothic" w:cs="Arial"/>
        </w:rPr>
      </w:pPr>
      <w:r>
        <w:rPr>
          <w:rFonts w:ascii="Century Gothic" w:hAnsi="Century Gothic" w:cs="Arial"/>
        </w:rPr>
        <w:lastRenderedPageBreak/>
        <w:t xml:space="preserve">En la primera materia, de índole estrictamente jurídico, </w:t>
      </w:r>
      <w:r w:rsidR="00FF599D">
        <w:rPr>
          <w:rFonts w:ascii="Century Gothic" w:hAnsi="Century Gothic" w:cs="Arial"/>
        </w:rPr>
        <w:t>la Ley Federal de Presupuesto y Responsabilidad Hacendaria</w:t>
      </w:r>
      <w:r w:rsidR="0097279B">
        <w:rPr>
          <w:rStyle w:val="Refdenotaalpie"/>
          <w:rFonts w:ascii="Century Gothic" w:hAnsi="Century Gothic" w:cs="Arial"/>
        </w:rPr>
        <w:footnoteReference w:id="1"/>
      </w:r>
      <w:r w:rsidR="00FF599D">
        <w:rPr>
          <w:rFonts w:ascii="Century Gothic" w:hAnsi="Century Gothic" w:cs="Arial"/>
        </w:rPr>
        <w:t xml:space="preserve"> define en el artículo 2, fracción II</w:t>
      </w:r>
      <w:r w:rsidR="00740E81">
        <w:rPr>
          <w:rFonts w:ascii="Century Gothic" w:hAnsi="Century Gothic" w:cs="Arial"/>
        </w:rPr>
        <w:t>,</w:t>
      </w:r>
      <w:r w:rsidR="00FF599D">
        <w:rPr>
          <w:rFonts w:ascii="Century Gothic" w:hAnsi="Century Gothic" w:cs="Arial"/>
        </w:rPr>
        <w:t xml:space="preserve"> </w:t>
      </w:r>
      <w:r w:rsidR="0097279B">
        <w:rPr>
          <w:rFonts w:ascii="Century Gothic" w:hAnsi="Century Gothic" w:cs="Arial"/>
        </w:rPr>
        <w:t xml:space="preserve">que </w:t>
      </w:r>
      <w:r w:rsidR="00FF599D">
        <w:rPr>
          <w:rFonts w:ascii="Century Gothic" w:hAnsi="Century Gothic" w:cs="Arial"/>
        </w:rPr>
        <w:t>las adecuaciones presupuestarias como “</w:t>
      </w:r>
      <w:r w:rsidR="00FF599D" w:rsidRPr="00FF599D">
        <w:rPr>
          <w:rFonts w:ascii="Century Gothic" w:hAnsi="Century Gothic" w:cs="Arial"/>
        </w:rPr>
        <w:t>las modificaciones a las estructuras funcional programática, administrativa, y económica, a los calendarios de presupuesto y las ampliaciones y reducciones al Presupuesto de Egresos o a los flujos de efectivo correspondientes, siempre que permitan un mejor cumplimiento de los objetivos de los programas a cargo de los ejecutores de gasto</w:t>
      </w:r>
      <w:r w:rsidR="00FF599D">
        <w:rPr>
          <w:rFonts w:ascii="Century Gothic" w:hAnsi="Century Gothic" w:cs="Arial"/>
        </w:rPr>
        <w:t>”.</w:t>
      </w:r>
    </w:p>
    <w:p w14:paraId="4DB805D1" w14:textId="77777777" w:rsidR="00FF599D" w:rsidRDefault="00FF599D" w:rsidP="00876FC4">
      <w:pPr>
        <w:spacing w:line="276" w:lineRule="auto"/>
        <w:ind w:firstLine="714"/>
        <w:jc w:val="both"/>
        <w:rPr>
          <w:rFonts w:ascii="Century Gothic" w:hAnsi="Century Gothic" w:cs="Arial"/>
        </w:rPr>
      </w:pPr>
    </w:p>
    <w:p w14:paraId="2A612C81" w14:textId="230C70F4" w:rsidR="008A1388" w:rsidRDefault="00FF599D" w:rsidP="00876FC4">
      <w:pPr>
        <w:spacing w:line="276" w:lineRule="auto"/>
        <w:ind w:firstLine="714"/>
        <w:jc w:val="both"/>
        <w:rPr>
          <w:rFonts w:ascii="Century Gothic" w:hAnsi="Century Gothic" w:cs="Arial"/>
        </w:rPr>
      </w:pPr>
      <w:r>
        <w:rPr>
          <w:rFonts w:ascii="Century Gothic" w:hAnsi="Century Gothic" w:cs="Arial"/>
        </w:rPr>
        <w:t>La Ley referida, así como su Reglamento</w:t>
      </w:r>
      <w:r w:rsidR="0097279B">
        <w:rPr>
          <w:rStyle w:val="Refdenotaalpie"/>
          <w:rFonts w:ascii="Century Gothic" w:hAnsi="Century Gothic" w:cs="Arial"/>
        </w:rPr>
        <w:footnoteReference w:id="2"/>
      </w:r>
      <w:r>
        <w:rPr>
          <w:rFonts w:ascii="Century Gothic" w:hAnsi="Century Gothic" w:cs="Arial"/>
        </w:rPr>
        <w:t xml:space="preserve">, establecen la naturaleza, condiciones y alcances </w:t>
      </w:r>
      <w:r w:rsidR="008A1388">
        <w:rPr>
          <w:rFonts w:ascii="Century Gothic" w:hAnsi="Century Gothic" w:cs="Arial"/>
        </w:rPr>
        <w:t xml:space="preserve">aplicables a las adecuaciones presupuestarias por lo que es preciso señalar que, por su condición estrictamente legal, existen disposiciones que permiten a dependencias y entidades del gobierno federal dar prioridad a aquellos programas presupuestales que permitan el mayor cumplimiento de derechos sociales a fin de abatir las desigualdades prevalecientes en el país. </w:t>
      </w:r>
    </w:p>
    <w:p w14:paraId="1A910BF0" w14:textId="77777777" w:rsidR="008A1388" w:rsidRDefault="008A1388" w:rsidP="00876FC4">
      <w:pPr>
        <w:spacing w:line="276" w:lineRule="auto"/>
        <w:ind w:firstLine="714"/>
        <w:jc w:val="both"/>
        <w:rPr>
          <w:rFonts w:ascii="Century Gothic" w:hAnsi="Century Gothic" w:cs="Arial"/>
        </w:rPr>
      </w:pPr>
    </w:p>
    <w:p w14:paraId="7595D9A5" w14:textId="77777777" w:rsidR="00740E81" w:rsidRDefault="008A1388" w:rsidP="00876FC4">
      <w:pPr>
        <w:spacing w:line="276" w:lineRule="auto"/>
        <w:ind w:firstLine="714"/>
        <w:jc w:val="both"/>
        <w:rPr>
          <w:rFonts w:ascii="Century Gothic" w:hAnsi="Century Gothic" w:cs="Arial"/>
        </w:rPr>
      </w:pPr>
      <w:r>
        <w:rPr>
          <w:rFonts w:ascii="Century Gothic" w:hAnsi="Century Gothic" w:cs="Arial"/>
        </w:rPr>
        <w:t xml:space="preserve">Al revisar las principales causas de variación durante el ejercicio fiscal 2023 destacan rubros que </w:t>
      </w:r>
      <w:r w:rsidR="006114F8">
        <w:rPr>
          <w:rFonts w:ascii="Century Gothic" w:hAnsi="Century Gothic" w:cs="Arial"/>
        </w:rPr>
        <w:t xml:space="preserve">muestran el tipo de prioridades que concentraron las modificaciones autorizadas en el ejercicio. </w:t>
      </w:r>
    </w:p>
    <w:p w14:paraId="6D590383" w14:textId="77777777" w:rsidR="00740E81" w:rsidRDefault="00740E81" w:rsidP="00876FC4">
      <w:pPr>
        <w:spacing w:line="276" w:lineRule="auto"/>
        <w:ind w:firstLine="714"/>
        <w:jc w:val="both"/>
        <w:rPr>
          <w:rFonts w:ascii="Century Gothic" w:hAnsi="Century Gothic" w:cs="Arial"/>
        </w:rPr>
      </w:pPr>
    </w:p>
    <w:p w14:paraId="5B6CAC4A" w14:textId="52AD651C" w:rsidR="008A1388" w:rsidRDefault="006114F8" w:rsidP="00876FC4">
      <w:pPr>
        <w:spacing w:line="276" w:lineRule="auto"/>
        <w:ind w:firstLine="714"/>
        <w:jc w:val="both"/>
        <w:rPr>
          <w:rFonts w:ascii="Century Gothic" w:hAnsi="Century Gothic" w:cs="Arial"/>
        </w:rPr>
      </w:pPr>
      <w:r>
        <w:rPr>
          <w:rFonts w:ascii="Century Gothic" w:hAnsi="Century Gothic" w:cs="Arial"/>
        </w:rPr>
        <w:t>El rubro que más destac</w:t>
      </w:r>
      <w:r w:rsidR="00740E81">
        <w:rPr>
          <w:rFonts w:ascii="Century Gothic" w:hAnsi="Century Gothic" w:cs="Arial"/>
        </w:rPr>
        <w:t xml:space="preserve">ó durante el ejercicio fiscal 2023 </w:t>
      </w:r>
      <w:r>
        <w:rPr>
          <w:rFonts w:ascii="Century Gothic" w:hAnsi="Century Gothic" w:cs="Arial"/>
        </w:rPr>
        <w:t>se concentra en el sector en</w:t>
      </w:r>
      <w:r w:rsidR="00740E81">
        <w:rPr>
          <w:rFonts w:ascii="Century Gothic" w:hAnsi="Century Gothic" w:cs="Arial"/>
        </w:rPr>
        <w:t>ergético</w:t>
      </w:r>
      <w:r>
        <w:rPr>
          <w:rFonts w:ascii="Century Gothic" w:hAnsi="Century Gothic" w:cs="Arial"/>
        </w:rPr>
        <w:t xml:space="preserve"> con una variación superior al 263 % y un monto que supera los $129 mil millones de pesos bajo la siguiente explicación:</w:t>
      </w:r>
    </w:p>
    <w:p w14:paraId="5B7CF3F4" w14:textId="77777777" w:rsidR="006114F8" w:rsidRDefault="006114F8" w:rsidP="00876FC4">
      <w:pPr>
        <w:spacing w:line="276" w:lineRule="auto"/>
        <w:ind w:firstLine="714"/>
        <w:jc w:val="both"/>
        <w:rPr>
          <w:rFonts w:ascii="Century Gothic" w:hAnsi="Century Gothic" w:cs="Arial"/>
        </w:rPr>
      </w:pPr>
    </w:p>
    <w:p w14:paraId="32A9D4DC" w14:textId="203D8B56" w:rsidR="006114F8" w:rsidRPr="0097279B" w:rsidRDefault="006114F8" w:rsidP="00536387">
      <w:pPr>
        <w:spacing w:line="276" w:lineRule="auto"/>
        <w:ind w:left="708" w:right="616" w:firstLine="6"/>
        <w:jc w:val="both"/>
        <w:rPr>
          <w:rFonts w:ascii="Century Gothic" w:hAnsi="Century Gothic" w:cs="Arial"/>
          <w:i/>
          <w:iCs/>
          <w:sz w:val="20"/>
          <w:szCs w:val="20"/>
        </w:rPr>
      </w:pPr>
      <w:r w:rsidRPr="0097279B">
        <w:rPr>
          <w:rFonts w:ascii="Century Gothic" w:hAnsi="Century Gothic" w:cs="Arial"/>
          <w:i/>
          <w:iCs/>
          <w:sz w:val="20"/>
          <w:szCs w:val="20"/>
        </w:rPr>
        <w:t>“Incremento de inversión en la refinería Olmeca-Dos Bocas, la rehabilitación de otras refinerías y el mantenimiento de plantas fertilizantes; el fortalecimiento financiero de Pemex; así como para la coordinación de la política energética en hidrocarburos”</w:t>
      </w:r>
    </w:p>
    <w:p w14:paraId="38019EFA" w14:textId="77777777" w:rsidR="006114F8" w:rsidRDefault="006114F8" w:rsidP="00536387">
      <w:pPr>
        <w:spacing w:line="276" w:lineRule="auto"/>
        <w:ind w:left="708" w:right="616" w:firstLine="6"/>
        <w:jc w:val="both"/>
        <w:rPr>
          <w:rFonts w:ascii="Century Gothic" w:hAnsi="Century Gothic" w:cs="Arial"/>
          <w:i/>
          <w:iCs/>
          <w:sz w:val="22"/>
          <w:szCs w:val="22"/>
        </w:rPr>
      </w:pPr>
    </w:p>
    <w:p w14:paraId="0115C49F" w14:textId="77777777" w:rsidR="006114F8" w:rsidRDefault="006114F8" w:rsidP="006114F8">
      <w:pPr>
        <w:spacing w:line="276" w:lineRule="auto"/>
        <w:ind w:left="708" w:firstLine="6"/>
        <w:jc w:val="both"/>
        <w:rPr>
          <w:rFonts w:ascii="Century Gothic" w:hAnsi="Century Gothic" w:cs="Arial"/>
          <w:i/>
          <w:iCs/>
          <w:sz w:val="22"/>
          <w:szCs w:val="22"/>
        </w:rPr>
      </w:pPr>
    </w:p>
    <w:p w14:paraId="0CC81279" w14:textId="77777777" w:rsidR="006114F8" w:rsidRPr="006114F8" w:rsidRDefault="006114F8" w:rsidP="006114F8">
      <w:pPr>
        <w:spacing w:line="276" w:lineRule="auto"/>
        <w:ind w:left="708" w:firstLine="6"/>
        <w:jc w:val="both"/>
        <w:rPr>
          <w:rFonts w:ascii="Century Gothic" w:hAnsi="Century Gothic" w:cs="Arial"/>
          <w:i/>
          <w:iCs/>
          <w:sz w:val="22"/>
          <w:szCs w:val="22"/>
        </w:rPr>
      </w:pPr>
    </w:p>
    <w:p w14:paraId="10D0B6F8" w14:textId="77777777" w:rsidR="008A1388" w:rsidRDefault="008A1388" w:rsidP="00876FC4">
      <w:pPr>
        <w:spacing w:line="276" w:lineRule="auto"/>
        <w:ind w:firstLine="714"/>
        <w:jc w:val="both"/>
        <w:rPr>
          <w:rFonts w:ascii="Century Gothic" w:hAnsi="Century Gothic" w:cs="Arial"/>
        </w:rPr>
      </w:pPr>
    </w:p>
    <w:p w14:paraId="26D884F4" w14:textId="6CF5126C" w:rsidR="00FF599D" w:rsidRPr="00772FFB" w:rsidRDefault="00FF599D" w:rsidP="00876FC4">
      <w:pPr>
        <w:spacing w:line="276" w:lineRule="auto"/>
        <w:ind w:firstLine="714"/>
        <w:jc w:val="both"/>
        <w:rPr>
          <w:rFonts w:ascii="Century Gothic" w:hAnsi="Century Gothic" w:cs="Arial"/>
        </w:rPr>
      </w:pPr>
      <w:r>
        <w:rPr>
          <w:rFonts w:ascii="Century Gothic" w:hAnsi="Century Gothic" w:cs="Arial"/>
        </w:rPr>
        <w:t xml:space="preserve"> </w:t>
      </w:r>
    </w:p>
    <w:p w14:paraId="3D70F13E" w14:textId="7F3E3AFE" w:rsidR="00611D53" w:rsidRDefault="00186E6F" w:rsidP="00740E81">
      <w:pPr>
        <w:pStyle w:val="Prrafodelista"/>
        <w:spacing w:line="276" w:lineRule="auto"/>
        <w:ind w:left="426" w:firstLine="282"/>
        <w:jc w:val="both"/>
        <w:rPr>
          <w:rFonts w:ascii="Century Gothic" w:hAnsi="Century Gothic"/>
          <w:sz w:val="24"/>
          <w:szCs w:val="24"/>
        </w:rPr>
      </w:pPr>
      <w:r w:rsidRPr="00260EED">
        <w:rPr>
          <w:rFonts w:ascii="Century Gothic" w:hAnsi="Century Gothic"/>
          <w:sz w:val="24"/>
          <w:szCs w:val="24"/>
        </w:rPr>
        <w:t>Frente a es</w:t>
      </w:r>
      <w:r w:rsidR="00D06006" w:rsidRPr="00260EED">
        <w:rPr>
          <w:rFonts w:ascii="Century Gothic" w:hAnsi="Century Gothic"/>
          <w:sz w:val="24"/>
          <w:szCs w:val="24"/>
        </w:rPr>
        <w:t>ta</w:t>
      </w:r>
      <w:r w:rsidRPr="00260EED">
        <w:rPr>
          <w:rFonts w:ascii="Century Gothic" w:hAnsi="Century Gothic"/>
          <w:sz w:val="24"/>
          <w:szCs w:val="24"/>
        </w:rPr>
        <w:t xml:space="preserve"> cifra</w:t>
      </w:r>
      <w:r w:rsidR="00740E81">
        <w:rPr>
          <w:rFonts w:ascii="Century Gothic" w:hAnsi="Century Gothic"/>
          <w:sz w:val="24"/>
          <w:szCs w:val="24"/>
        </w:rPr>
        <w:t>,</w:t>
      </w:r>
      <w:r>
        <w:rPr>
          <w:rFonts w:ascii="Century Gothic" w:hAnsi="Century Gothic"/>
          <w:sz w:val="24"/>
          <w:szCs w:val="24"/>
        </w:rPr>
        <w:t xml:space="preserve"> el reporte de las Adecuaciones Presupuestarias Superiores a 5% que se publica en el Informe Trimestral Sobre la Situación Económica, las Finanzas Públicas y la Deuda Pública</w:t>
      </w:r>
      <w:r w:rsidR="00563D4D">
        <w:rPr>
          <w:rStyle w:val="Refdenotaalpie"/>
          <w:rFonts w:ascii="Century Gothic" w:hAnsi="Century Gothic"/>
          <w:sz w:val="24"/>
          <w:szCs w:val="24"/>
        </w:rPr>
        <w:footnoteReference w:id="3"/>
      </w:r>
      <w:r>
        <w:rPr>
          <w:rFonts w:ascii="Century Gothic" w:hAnsi="Century Gothic"/>
          <w:sz w:val="24"/>
          <w:szCs w:val="24"/>
        </w:rPr>
        <w:t xml:space="preserve"> indica:</w:t>
      </w:r>
    </w:p>
    <w:p w14:paraId="12A0EB09" w14:textId="77777777" w:rsidR="00186E6F" w:rsidRDefault="00186E6F" w:rsidP="00D6020F">
      <w:pPr>
        <w:pStyle w:val="Prrafodelista"/>
        <w:spacing w:line="276" w:lineRule="auto"/>
        <w:ind w:left="426"/>
        <w:jc w:val="both"/>
        <w:rPr>
          <w:rFonts w:ascii="Century Gothic" w:hAnsi="Century Gothic"/>
          <w:sz w:val="24"/>
          <w:szCs w:val="24"/>
        </w:rPr>
      </w:pPr>
    </w:p>
    <w:p w14:paraId="4878C955" w14:textId="141DA0E8" w:rsidR="00186E6F" w:rsidRDefault="00186E6F" w:rsidP="00186E6F">
      <w:pPr>
        <w:pStyle w:val="Prrafodelista"/>
        <w:numPr>
          <w:ilvl w:val="0"/>
          <w:numId w:val="40"/>
        </w:numPr>
        <w:spacing w:line="276" w:lineRule="auto"/>
        <w:jc w:val="both"/>
        <w:rPr>
          <w:rFonts w:ascii="Century Gothic" w:hAnsi="Century Gothic"/>
          <w:sz w:val="24"/>
          <w:szCs w:val="24"/>
        </w:rPr>
      </w:pPr>
      <w:r>
        <w:rPr>
          <w:rFonts w:ascii="Century Gothic" w:hAnsi="Century Gothic"/>
          <w:sz w:val="24"/>
          <w:szCs w:val="24"/>
        </w:rPr>
        <w:t xml:space="preserve">Disminución </w:t>
      </w:r>
      <w:r w:rsidR="00A14FC2">
        <w:rPr>
          <w:rFonts w:ascii="Century Gothic" w:hAnsi="Century Gothic"/>
          <w:sz w:val="24"/>
          <w:szCs w:val="24"/>
        </w:rPr>
        <w:t>de 24</w:t>
      </w:r>
      <w:r>
        <w:rPr>
          <w:rFonts w:ascii="Century Gothic" w:hAnsi="Century Gothic"/>
          <w:sz w:val="24"/>
          <w:szCs w:val="24"/>
        </w:rPr>
        <w:t xml:space="preserve">% en el presupuesto de la </w:t>
      </w:r>
      <w:r w:rsidRPr="00186E6F">
        <w:rPr>
          <w:rFonts w:ascii="Century Gothic" w:hAnsi="Century Gothic"/>
          <w:sz w:val="24"/>
          <w:szCs w:val="24"/>
        </w:rPr>
        <w:t>Secretaría Ejecutiva del Sistema Nacional de Protección Integral de Niñas, Niños y Adolescentes</w:t>
      </w:r>
      <w:r>
        <w:rPr>
          <w:rFonts w:ascii="Century Gothic" w:hAnsi="Century Gothic"/>
          <w:sz w:val="24"/>
          <w:szCs w:val="24"/>
        </w:rPr>
        <w:t>.</w:t>
      </w:r>
    </w:p>
    <w:p w14:paraId="6057E99D" w14:textId="77777777" w:rsidR="00186E6F" w:rsidRDefault="00186E6F" w:rsidP="00186E6F">
      <w:pPr>
        <w:pStyle w:val="Prrafodelista"/>
        <w:spacing w:line="276" w:lineRule="auto"/>
        <w:ind w:left="1146"/>
        <w:jc w:val="both"/>
        <w:rPr>
          <w:rFonts w:ascii="Century Gothic" w:hAnsi="Century Gothic"/>
          <w:sz w:val="24"/>
          <w:szCs w:val="24"/>
        </w:rPr>
      </w:pPr>
    </w:p>
    <w:p w14:paraId="028D3042" w14:textId="6B7A2A2B" w:rsidR="00A14FC2" w:rsidRDefault="00186E6F" w:rsidP="00186E6F">
      <w:pPr>
        <w:pStyle w:val="Prrafodelista"/>
        <w:numPr>
          <w:ilvl w:val="0"/>
          <w:numId w:val="40"/>
        </w:numPr>
        <w:spacing w:line="276" w:lineRule="auto"/>
        <w:jc w:val="both"/>
        <w:rPr>
          <w:rFonts w:ascii="Century Gothic" w:hAnsi="Century Gothic"/>
          <w:sz w:val="24"/>
          <w:szCs w:val="24"/>
        </w:rPr>
      </w:pPr>
      <w:r>
        <w:rPr>
          <w:rFonts w:ascii="Century Gothic" w:hAnsi="Century Gothic"/>
          <w:sz w:val="24"/>
          <w:szCs w:val="24"/>
        </w:rPr>
        <w:t xml:space="preserve">Variación </w:t>
      </w:r>
      <w:r w:rsidR="00A14FC2">
        <w:rPr>
          <w:rFonts w:ascii="Century Gothic" w:hAnsi="Century Gothic"/>
          <w:sz w:val="24"/>
          <w:szCs w:val="24"/>
        </w:rPr>
        <w:t xml:space="preserve">a la baja en un </w:t>
      </w:r>
      <w:r>
        <w:rPr>
          <w:rFonts w:ascii="Century Gothic" w:hAnsi="Century Gothic"/>
          <w:sz w:val="24"/>
          <w:szCs w:val="24"/>
        </w:rPr>
        <w:t xml:space="preserve">73% en los recursos del sector central de Salud. Se ha señalado que la disminución de este porcentaje responde a la </w:t>
      </w:r>
      <w:proofErr w:type="spellStart"/>
      <w:r>
        <w:rPr>
          <w:rFonts w:ascii="Century Gothic" w:hAnsi="Century Gothic"/>
          <w:sz w:val="24"/>
          <w:szCs w:val="24"/>
        </w:rPr>
        <w:t>resectorización</w:t>
      </w:r>
      <w:proofErr w:type="spellEnd"/>
      <w:r>
        <w:rPr>
          <w:rFonts w:ascii="Century Gothic" w:hAnsi="Century Gothic"/>
          <w:sz w:val="24"/>
          <w:szCs w:val="24"/>
        </w:rPr>
        <w:t xml:space="preserve"> de recursos al IMSS-Bienestar</w:t>
      </w:r>
      <w:r w:rsidR="00A14FC2">
        <w:rPr>
          <w:rFonts w:ascii="Century Gothic" w:hAnsi="Century Gothic"/>
          <w:sz w:val="24"/>
          <w:szCs w:val="24"/>
        </w:rPr>
        <w:t>. S</w:t>
      </w:r>
      <w:r>
        <w:rPr>
          <w:rFonts w:ascii="Century Gothic" w:hAnsi="Century Gothic"/>
          <w:sz w:val="24"/>
          <w:szCs w:val="24"/>
        </w:rPr>
        <w:t>in embargo, frente a los rezagos generados por decisiones impulsadas por el gobierno federal que derivaron en aumentos de la carencia de cobertura en el sector, es evidente que</w:t>
      </w:r>
      <w:r w:rsidR="00A14FC2">
        <w:rPr>
          <w:rFonts w:ascii="Century Gothic" w:hAnsi="Century Gothic"/>
          <w:sz w:val="24"/>
          <w:szCs w:val="24"/>
        </w:rPr>
        <w:t>,</w:t>
      </w:r>
      <w:r>
        <w:rPr>
          <w:rFonts w:ascii="Century Gothic" w:hAnsi="Century Gothic"/>
          <w:sz w:val="24"/>
          <w:szCs w:val="24"/>
        </w:rPr>
        <w:t xml:space="preserve"> más allá de una solución estrictamente de índole administrativo sobre la </w:t>
      </w:r>
      <w:r w:rsidR="000C49B5">
        <w:rPr>
          <w:rFonts w:ascii="Century Gothic" w:hAnsi="Century Gothic"/>
          <w:sz w:val="24"/>
          <w:szCs w:val="24"/>
        </w:rPr>
        <w:t xml:space="preserve">unidad responsable </w:t>
      </w:r>
      <w:r>
        <w:rPr>
          <w:rFonts w:ascii="Century Gothic" w:hAnsi="Century Gothic"/>
          <w:sz w:val="24"/>
          <w:szCs w:val="24"/>
        </w:rPr>
        <w:t xml:space="preserve">a la que se le asigna el gasto, es fundamental establecer acciones presupuestales adicionales que permitan dar cumplimiento a un derecho humano a la salud que establece el texto constitucional. </w:t>
      </w:r>
    </w:p>
    <w:p w14:paraId="589AAF3D" w14:textId="77777777" w:rsidR="00A14FC2" w:rsidRDefault="00A14FC2" w:rsidP="00A14FC2">
      <w:pPr>
        <w:pStyle w:val="Prrafodelista"/>
        <w:spacing w:line="276" w:lineRule="auto"/>
        <w:ind w:left="1146"/>
        <w:jc w:val="both"/>
        <w:rPr>
          <w:rFonts w:ascii="Century Gothic" w:hAnsi="Century Gothic"/>
          <w:sz w:val="24"/>
          <w:szCs w:val="24"/>
        </w:rPr>
      </w:pPr>
    </w:p>
    <w:p w14:paraId="6F4D41EF" w14:textId="77777777" w:rsidR="00A14FC2" w:rsidRDefault="00A14FC2" w:rsidP="00A14FC2">
      <w:pPr>
        <w:pStyle w:val="Prrafodelista"/>
        <w:spacing w:line="276" w:lineRule="auto"/>
        <w:ind w:left="1146"/>
        <w:jc w:val="both"/>
        <w:rPr>
          <w:rFonts w:ascii="Century Gothic" w:hAnsi="Century Gothic"/>
          <w:sz w:val="24"/>
          <w:szCs w:val="24"/>
        </w:rPr>
      </w:pPr>
      <w:r>
        <w:rPr>
          <w:rFonts w:ascii="Century Gothic" w:hAnsi="Century Gothic"/>
          <w:sz w:val="24"/>
          <w:szCs w:val="24"/>
        </w:rPr>
        <w:t xml:space="preserve">Además de que ese hecho no explica diversas disminuciones adicionales que se presentaron en múltiples órganos desconcentrados en el sector salud y que han dejado sin protección programas de equidad de género y salud reproductiva; atención psiquiátrica; atención contra las adicciones; prevención y control del VIH/SIDA, entre otros. </w:t>
      </w:r>
    </w:p>
    <w:p w14:paraId="238975EB" w14:textId="77777777" w:rsidR="00A14FC2" w:rsidRDefault="00A14FC2" w:rsidP="00A14FC2">
      <w:pPr>
        <w:pStyle w:val="Prrafodelista"/>
        <w:spacing w:line="276" w:lineRule="auto"/>
        <w:ind w:left="1146"/>
        <w:jc w:val="both"/>
        <w:rPr>
          <w:rFonts w:ascii="Century Gothic" w:hAnsi="Century Gothic"/>
          <w:sz w:val="24"/>
          <w:szCs w:val="24"/>
        </w:rPr>
      </w:pPr>
    </w:p>
    <w:p w14:paraId="56EBF6EE" w14:textId="185A0B84" w:rsidR="00A14FC2" w:rsidRDefault="00A14FC2" w:rsidP="00A14FC2">
      <w:pPr>
        <w:pStyle w:val="Prrafodelista"/>
        <w:numPr>
          <w:ilvl w:val="0"/>
          <w:numId w:val="40"/>
        </w:numPr>
        <w:spacing w:line="276" w:lineRule="auto"/>
        <w:jc w:val="both"/>
        <w:rPr>
          <w:rFonts w:ascii="Century Gothic" w:hAnsi="Century Gothic"/>
          <w:sz w:val="24"/>
          <w:szCs w:val="24"/>
        </w:rPr>
      </w:pPr>
      <w:r w:rsidRPr="00A14FC2">
        <w:rPr>
          <w:rFonts w:ascii="Century Gothic" w:hAnsi="Century Gothic"/>
          <w:sz w:val="24"/>
          <w:szCs w:val="24"/>
        </w:rPr>
        <w:t>Diminución de más de 51% del presupuesto al Consejo Nacional para el Desarrollo y la Inclusión de las Personas con Discapacidad</w:t>
      </w:r>
      <w:r>
        <w:rPr>
          <w:rFonts w:ascii="Century Gothic" w:hAnsi="Century Gothic"/>
          <w:sz w:val="24"/>
          <w:szCs w:val="24"/>
        </w:rPr>
        <w:t>.</w:t>
      </w:r>
    </w:p>
    <w:p w14:paraId="32FB41CE" w14:textId="77777777" w:rsidR="00A14FC2" w:rsidRDefault="00A14FC2" w:rsidP="00A14FC2">
      <w:pPr>
        <w:pStyle w:val="Prrafodelista"/>
        <w:spacing w:line="276" w:lineRule="auto"/>
        <w:ind w:left="1146"/>
        <w:jc w:val="both"/>
        <w:rPr>
          <w:rFonts w:ascii="Century Gothic" w:hAnsi="Century Gothic"/>
          <w:sz w:val="24"/>
          <w:szCs w:val="24"/>
        </w:rPr>
      </w:pPr>
    </w:p>
    <w:p w14:paraId="19227B6D" w14:textId="6C185B84" w:rsidR="00A14FC2" w:rsidRDefault="00A14FC2" w:rsidP="00A14FC2">
      <w:pPr>
        <w:pStyle w:val="Prrafodelista"/>
        <w:numPr>
          <w:ilvl w:val="0"/>
          <w:numId w:val="40"/>
        </w:numPr>
        <w:spacing w:line="276" w:lineRule="auto"/>
        <w:jc w:val="both"/>
        <w:rPr>
          <w:rFonts w:ascii="Century Gothic" w:hAnsi="Century Gothic"/>
          <w:sz w:val="24"/>
          <w:szCs w:val="24"/>
        </w:rPr>
      </w:pPr>
      <w:r>
        <w:rPr>
          <w:rFonts w:ascii="Century Gothic" w:hAnsi="Century Gothic"/>
          <w:sz w:val="24"/>
          <w:szCs w:val="24"/>
        </w:rPr>
        <w:t>Disminución de 68% a programas de atención a la juventud.</w:t>
      </w:r>
    </w:p>
    <w:p w14:paraId="12B7CE2E" w14:textId="77777777" w:rsidR="00A14FC2" w:rsidRDefault="00A14FC2" w:rsidP="00A14FC2">
      <w:pPr>
        <w:spacing w:line="276" w:lineRule="auto"/>
        <w:jc w:val="both"/>
        <w:rPr>
          <w:rFonts w:ascii="Century Gothic" w:hAnsi="Century Gothic"/>
        </w:rPr>
      </w:pPr>
    </w:p>
    <w:p w14:paraId="1C4B98C5" w14:textId="55DD1839" w:rsidR="00A14FC2" w:rsidRDefault="00A14FC2" w:rsidP="00AB213A">
      <w:pPr>
        <w:spacing w:line="276" w:lineRule="auto"/>
        <w:ind w:firstLine="708"/>
        <w:jc w:val="both"/>
        <w:rPr>
          <w:rFonts w:ascii="Century Gothic" w:hAnsi="Century Gothic"/>
        </w:rPr>
      </w:pPr>
      <w:r>
        <w:rPr>
          <w:rFonts w:ascii="Century Gothic" w:hAnsi="Century Gothic"/>
        </w:rPr>
        <w:t>Las cifras previamente referidas deben ser motivo de atención pues vía las adecuaciones presupuestales que se realizan durante el ejercicio del gasto se están dejando de atender derecho</w:t>
      </w:r>
      <w:r w:rsidR="00AB213A">
        <w:rPr>
          <w:rFonts w:ascii="Century Gothic" w:hAnsi="Century Gothic"/>
        </w:rPr>
        <w:t>s</w:t>
      </w:r>
      <w:r>
        <w:rPr>
          <w:rFonts w:ascii="Century Gothic" w:hAnsi="Century Gothic"/>
        </w:rPr>
        <w:t xml:space="preserve"> sociales. Es contrastante la prioridad </w:t>
      </w:r>
      <w:r w:rsidR="00AB213A">
        <w:rPr>
          <w:rFonts w:ascii="Century Gothic" w:hAnsi="Century Gothic"/>
        </w:rPr>
        <w:t xml:space="preserve">que se ha dado al sector hidrocarburos frente a los ajustes a la baja en presupuesto de dependencias y entidades cuyos objetivos están orientados a proteger a la población en condiciones de mayor vulnerabilidad. </w:t>
      </w:r>
    </w:p>
    <w:p w14:paraId="4C9AD4A7" w14:textId="77777777" w:rsidR="00AB213A" w:rsidRDefault="00AB213A" w:rsidP="00AB213A">
      <w:pPr>
        <w:spacing w:line="276" w:lineRule="auto"/>
        <w:ind w:firstLine="708"/>
        <w:jc w:val="both"/>
        <w:rPr>
          <w:rFonts w:ascii="Century Gothic" w:hAnsi="Century Gothic"/>
        </w:rPr>
      </w:pPr>
    </w:p>
    <w:p w14:paraId="36636D32" w14:textId="260F7709" w:rsidR="00D90709" w:rsidRDefault="00AB213A" w:rsidP="00A14FC2">
      <w:pPr>
        <w:spacing w:line="276" w:lineRule="auto"/>
        <w:jc w:val="both"/>
        <w:rPr>
          <w:rFonts w:ascii="Century Gothic" w:hAnsi="Century Gothic"/>
        </w:rPr>
      </w:pPr>
      <w:r>
        <w:rPr>
          <w:rFonts w:ascii="Century Gothic" w:hAnsi="Century Gothic"/>
        </w:rPr>
        <w:tab/>
      </w:r>
      <w:r w:rsidR="00CF2DC4">
        <w:rPr>
          <w:rFonts w:ascii="Century Gothic" w:hAnsi="Century Gothic"/>
        </w:rPr>
        <w:t>De la información contenida en l</w:t>
      </w:r>
      <w:r>
        <w:rPr>
          <w:rFonts w:ascii="Century Gothic" w:hAnsi="Century Gothic"/>
        </w:rPr>
        <w:t xml:space="preserve">os Informes Trimestrales </w:t>
      </w:r>
      <w:r w:rsidR="00CF2DC4">
        <w:rPr>
          <w:rFonts w:ascii="Century Gothic" w:hAnsi="Century Gothic"/>
        </w:rPr>
        <w:t>es posible deducir que</w:t>
      </w:r>
      <w:r>
        <w:rPr>
          <w:rFonts w:ascii="Century Gothic" w:hAnsi="Century Gothic"/>
        </w:rPr>
        <w:t xml:space="preserve"> </w:t>
      </w:r>
      <w:r w:rsidR="00D90709">
        <w:rPr>
          <w:rFonts w:ascii="Century Gothic" w:hAnsi="Century Gothic"/>
        </w:rPr>
        <w:t>los ajustes a la baja en programas sociales no se explican por un tema de presiones en el espacio fiscal disponible, sino por el tipo de prioridades que han concentrado las ampliaciones del gasto y que, por mucho, se han c</w:t>
      </w:r>
      <w:r w:rsidR="00CF2DC4">
        <w:rPr>
          <w:rFonts w:ascii="Century Gothic" w:hAnsi="Century Gothic"/>
        </w:rPr>
        <w:t>entralizado</w:t>
      </w:r>
      <w:r w:rsidR="00D90709">
        <w:rPr>
          <w:rFonts w:ascii="Century Gothic" w:hAnsi="Century Gothic"/>
        </w:rPr>
        <w:t xml:space="preserve"> en el sector energético. </w:t>
      </w:r>
    </w:p>
    <w:p w14:paraId="228CF472" w14:textId="77777777" w:rsidR="00D90709" w:rsidRDefault="00D90709" w:rsidP="00A14FC2">
      <w:pPr>
        <w:spacing w:line="276" w:lineRule="auto"/>
        <w:jc w:val="both"/>
        <w:rPr>
          <w:rFonts w:ascii="Century Gothic" w:hAnsi="Century Gothic"/>
        </w:rPr>
      </w:pPr>
    </w:p>
    <w:p w14:paraId="218B09F2" w14:textId="728E4230" w:rsidR="00D90709" w:rsidRDefault="00D90709" w:rsidP="00A14FC2">
      <w:pPr>
        <w:spacing w:line="276" w:lineRule="auto"/>
        <w:jc w:val="both"/>
        <w:rPr>
          <w:rFonts w:ascii="Century Gothic" w:hAnsi="Century Gothic"/>
        </w:rPr>
      </w:pPr>
      <w:r>
        <w:rPr>
          <w:rFonts w:ascii="Century Gothic" w:hAnsi="Century Gothic"/>
        </w:rPr>
        <w:tab/>
        <w:t xml:space="preserve">En ese sentido, los integrantes de esta Comisión estimamos necesario que las adecuaciones al presupuesto durante el ejercicio fiscal tengan un enfoque de cumplimiento de derechos a fin de abatir desigualdades sociales que existen en el país. </w:t>
      </w:r>
      <w:r w:rsidR="003F69C0">
        <w:rPr>
          <w:rFonts w:ascii="Century Gothic" w:hAnsi="Century Gothic"/>
        </w:rPr>
        <w:t>E</w:t>
      </w:r>
      <w:r w:rsidR="00D827F0">
        <w:rPr>
          <w:rFonts w:ascii="Century Gothic" w:hAnsi="Century Gothic"/>
        </w:rPr>
        <w:t>n las decisiones de administración del presupuesto público, es preciso</w:t>
      </w:r>
      <w:r>
        <w:rPr>
          <w:rFonts w:ascii="Century Gothic" w:hAnsi="Century Gothic"/>
        </w:rPr>
        <w:t xml:space="preserve"> tener una visión más a</w:t>
      </w:r>
      <w:r w:rsidR="00CF2DC4">
        <w:rPr>
          <w:rFonts w:ascii="Century Gothic" w:hAnsi="Century Gothic"/>
        </w:rPr>
        <w:t>mplia que in</w:t>
      </w:r>
      <w:r w:rsidR="00D827F0">
        <w:rPr>
          <w:rFonts w:ascii="Century Gothic" w:hAnsi="Century Gothic"/>
        </w:rPr>
        <w:t>tegre</w:t>
      </w:r>
      <w:r w:rsidR="00CF2DC4">
        <w:rPr>
          <w:rFonts w:ascii="Century Gothic" w:hAnsi="Century Gothic"/>
        </w:rPr>
        <w:t xml:space="preserve"> un compromiso social </w:t>
      </w:r>
      <w:r w:rsidR="003A361B">
        <w:rPr>
          <w:rFonts w:ascii="Century Gothic" w:hAnsi="Century Gothic"/>
        </w:rPr>
        <w:t xml:space="preserve">para evitar la vulneración de derechos y para impulsar programas presupuestales </w:t>
      </w:r>
      <w:r w:rsidR="00D827F0">
        <w:rPr>
          <w:rFonts w:ascii="Century Gothic" w:hAnsi="Century Gothic"/>
        </w:rPr>
        <w:t xml:space="preserve">que garanticen la inclusión. </w:t>
      </w:r>
    </w:p>
    <w:p w14:paraId="62705860" w14:textId="0A24C5F9" w:rsidR="00AB213A" w:rsidRDefault="00D90709" w:rsidP="00D90709">
      <w:pPr>
        <w:spacing w:line="276" w:lineRule="auto"/>
        <w:jc w:val="both"/>
        <w:rPr>
          <w:rFonts w:ascii="Century Gothic" w:hAnsi="Century Gothic"/>
        </w:rPr>
      </w:pPr>
      <w:r>
        <w:rPr>
          <w:rFonts w:ascii="Century Gothic" w:hAnsi="Century Gothic"/>
        </w:rPr>
        <w:t xml:space="preserve"> </w:t>
      </w:r>
    </w:p>
    <w:p w14:paraId="207F703A" w14:textId="2CC139A7" w:rsidR="00662BC2" w:rsidRPr="003971B1" w:rsidRDefault="00AB213A" w:rsidP="00662BC2">
      <w:pPr>
        <w:spacing w:line="276" w:lineRule="auto"/>
        <w:ind w:firstLine="709"/>
        <w:jc w:val="both"/>
        <w:rPr>
          <w:rFonts w:ascii="Century Gothic" w:hAnsi="Century Gothic"/>
        </w:rPr>
      </w:pPr>
      <w:r>
        <w:rPr>
          <w:rFonts w:ascii="Century Gothic" w:hAnsi="Century Gothic"/>
        </w:rPr>
        <w:t xml:space="preserve">Las consideraciones previamente referidas nos unen en los objetivos que se comparten </w:t>
      </w:r>
      <w:r w:rsidR="00CF2DC4">
        <w:rPr>
          <w:rFonts w:ascii="Century Gothic" w:hAnsi="Century Gothic"/>
        </w:rPr>
        <w:t xml:space="preserve">por parte de los iniciantes </w:t>
      </w:r>
      <w:r>
        <w:rPr>
          <w:rFonts w:ascii="Century Gothic" w:hAnsi="Century Gothic"/>
        </w:rPr>
        <w:t>en el exhorto motivo del presente</w:t>
      </w:r>
      <w:r w:rsidR="00D90709">
        <w:rPr>
          <w:rFonts w:ascii="Century Gothic" w:hAnsi="Century Gothic"/>
        </w:rPr>
        <w:t xml:space="preserve">, por </w:t>
      </w:r>
      <w:r w:rsidR="00CF2DC4">
        <w:rPr>
          <w:rFonts w:ascii="Century Gothic" w:hAnsi="Century Gothic"/>
        </w:rPr>
        <w:t xml:space="preserve">lo que </w:t>
      </w:r>
      <w:r w:rsidR="00D90709">
        <w:rPr>
          <w:rFonts w:ascii="Century Gothic" w:hAnsi="Century Gothic"/>
        </w:rPr>
        <w:t xml:space="preserve">las y los integrantes de esta Comisión, coinciden </w:t>
      </w:r>
      <w:r w:rsidR="00662BC2">
        <w:rPr>
          <w:rFonts w:ascii="Century Gothic" w:hAnsi="Century Gothic"/>
        </w:rPr>
        <w:t>en</w:t>
      </w:r>
      <w:r w:rsidR="00662BC2" w:rsidRPr="003971B1">
        <w:rPr>
          <w:rFonts w:ascii="Century Gothic" w:hAnsi="Century Gothic"/>
        </w:rPr>
        <w:t xml:space="preserve"> proponer a la Asamblea la aprobación del siguiente: </w:t>
      </w:r>
    </w:p>
    <w:p w14:paraId="50683268" w14:textId="5401185E" w:rsidR="00186E6F" w:rsidRPr="00A14FC2" w:rsidRDefault="00186E6F" w:rsidP="00662BC2">
      <w:pPr>
        <w:spacing w:line="276" w:lineRule="auto"/>
        <w:ind w:firstLine="708"/>
        <w:jc w:val="both"/>
        <w:rPr>
          <w:rFonts w:ascii="Century Gothic" w:hAnsi="Century Gothic"/>
        </w:rPr>
      </w:pPr>
    </w:p>
    <w:p w14:paraId="671AA0A4" w14:textId="063DBD16" w:rsidR="00FF3A00" w:rsidRPr="00CE58B8" w:rsidRDefault="00AD3B11" w:rsidP="001C0CD9">
      <w:pPr>
        <w:spacing w:line="276" w:lineRule="auto"/>
        <w:jc w:val="center"/>
        <w:rPr>
          <w:rFonts w:ascii="Century Gothic" w:hAnsi="Century Gothic" w:cstheme="majorHAnsi"/>
          <w:b/>
          <w:color w:val="000000" w:themeColor="text1"/>
        </w:rPr>
      </w:pPr>
      <w:bookmarkStart w:id="1" w:name="_Hlk148700553"/>
      <w:r>
        <w:rPr>
          <w:rFonts w:ascii="Century Gothic" w:hAnsi="Century Gothic" w:cstheme="majorHAnsi"/>
          <w:b/>
          <w:color w:val="000000" w:themeColor="text1"/>
        </w:rPr>
        <w:lastRenderedPageBreak/>
        <w:t>ACUERDO</w:t>
      </w:r>
    </w:p>
    <w:p w14:paraId="0391AF5D" w14:textId="77777777" w:rsidR="00FF3A00" w:rsidRPr="00CE58B8" w:rsidRDefault="00FF3A00" w:rsidP="001C0CD9">
      <w:pPr>
        <w:spacing w:line="276" w:lineRule="auto"/>
        <w:jc w:val="center"/>
        <w:rPr>
          <w:rFonts w:ascii="Century Gothic" w:hAnsi="Century Gothic" w:cstheme="majorHAnsi"/>
          <w:b/>
          <w:color w:val="000000" w:themeColor="text1"/>
        </w:rPr>
      </w:pPr>
    </w:p>
    <w:p w14:paraId="01BA452C" w14:textId="772AC57A" w:rsidR="00D90709" w:rsidRPr="00A14FC2" w:rsidRDefault="00FF3A00" w:rsidP="00D90709">
      <w:pPr>
        <w:spacing w:line="276" w:lineRule="auto"/>
        <w:ind w:firstLine="708"/>
        <w:jc w:val="both"/>
        <w:rPr>
          <w:rFonts w:ascii="Century Gothic" w:hAnsi="Century Gothic"/>
        </w:rPr>
      </w:pPr>
      <w:r w:rsidRPr="00CE58B8">
        <w:rPr>
          <w:rFonts w:ascii="Century Gothic" w:eastAsia="Times New Roman" w:hAnsi="Century Gothic" w:cstheme="majorHAnsi"/>
          <w:b/>
          <w:bCs/>
          <w:lang w:eastAsia="es-MX"/>
        </w:rPr>
        <w:t>ÚNICO</w:t>
      </w:r>
      <w:r w:rsidR="00124037">
        <w:rPr>
          <w:rFonts w:ascii="Century Gothic" w:hAnsi="Century Gothic" w:cs="Arial"/>
        </w:rPr>
        <w:t xml:space="preserve">. </w:t>
      </w:r>
      <w:r w:rsidR="00D90709">
        <w:rPr>
          <w:rFonts w:ascii="Century Gothic" w:hAnsi="Century Gothic" w:cs="Arial"/>
        </w:rPr>
        <w:t xml:space="preserve">Se envía respetuoso exhorto al gobierno federal para que </w:t>
      </w:r>
      <w:r w:rsidR="00D90709">
        <w:rPr>
          <w:rFonts w:ascii="Century Gothic" w:hAnsi="Century Gothic"/>
        </w:rPr>
        <w:t xml:space="preserve">las adecuaciones que se </w:t>
      </w:r>
      <w:r w:rsidR="00D90709" w:rsidRPr="00260EED">
        <w:rPr>
          <w:rFonts w:ascii="Century Gothic" w:hAnsi="Century Gothic"/>
        </w:rPr>
        <w:t>realice</w:t>
      </w:r>
      <w:r w:rsidR="00563D4D" w:rsidRPr="00260EED">
        <w:rPr>
          <w:rFonts w:ascii="Century Gothic" w:hAnsi="Century Gothic"/>
        </w:rPr>
        <w:t>n</w:t>
      </w:r>
      <w:r w:rsidR="00D90709" w:rsidRPr="00260EED">
        <w:rPr>
          <w:rFonts w:ascii="Century Gothic" w:hAnsi="Century Gothic"/>
        </w:rPr>
        <w:t xml:space="preserve"> en el </w:t>
      </w:r>
      <w:r w:rsidR="00C33FB1" w:rsidRPr="00260EED">
        <w:rPr>
          <w:rFonts w:ascii="Century Gothic" w:hAnsi="Century Gothic"/>
        </w:rPr>
        <w:t>P</w:t>
      </w:r>
      <w:r w:rsidR="00D90709" w:rsidRPr="00260EED">
        <w:rPr>
          <w:rFonts w:ascii="Century Gothic" w:hAnsi="Century Gothic"/>
        </w:rPr>
        <w:t>resupuesto</w:t>
      </w:r>
      <w:r w:rsidR="001F0976" w:rsidRPr="00260EED">
        <w:rPr>
          <w:rFonts w:ascii="Century Gothic" w:hAnsi="Century Gothic"/>
        </w:rPr>
        <w:t xml:space="preserve"> de </w:t>
      </w:r>
      <w:r w:rsidR="00C33FB1" w:rsidRPr="00260EED">
        <w:rPr>
          <w:rFonts w:ascii="Century Gothic" w:hAnsi="Century Gothic"/>
        </w:rPr>
        <w:t>E</w:t>
      </w:r>
      <w:r w:rsidR="001F0976" w:rsidRPr="00260EED">
        <w:rPr>
          <w:rFonts w:ascii="Century Gothic" w:hAnsi="Century Gothic"/>
        </w:rPr>
        <w:t xml:space="preserve">gresos </w:t>
      </w:r>
      <w:r w:rsidR="00C33FB1" w:rsidRPr="00260EED">
        <w:rPr>
          <w:rFonts w:ascii="Century Gothic" w:hAnsi="Century Gothic"/>
        </w:rPr>
        <w:t xml:space="preserve">durante el ejercicio </w:t>
      </w:r>
      <w:r w:rsidR="00D90709" w:rsidRPr="00260EED">
        <w:rPr>
          <w:rFonts w:ascii="Century Gothic" w:hAnsi="Century Gothic"/>
        </w:rPr>
        <w:t>2024</w:t>
      </w:r>
      <w:r w:rsidR="00563D4D" w:rsidRPr="00260EED">
        <w:rPr>
          <w:rFonts w:ascii="Century Gothic" w:hAnsi="Century Gothic"/>
        </w:rPr>
        <w:t>,</w:t>
      </w:r>
      <w:r w:rsidR="00D90709" w:rsidRPr="00260EED">
        <w:rPr>
          <w:rFonts w:ascii="Century Gothic" w:hAnsi="Century Gothic"/>
        </w:rPr>
        <w:t xml:space="preserve"> prioricen la atención de programas para la disminución de carencias </w:t>
      </w:r>
      <w:r w:rsidR="00563D4D" w:rsidRPr="00260EED">
        <w:rPr>
          <w:rFonts w:ascii="Century Gothic" w:hAnsi="Century Gothic"/>
        </w:rPr>
        <w:t>sociales,</w:t>
      </w:r>
      <w:r w:rsidR="00D90709" w:rsidRPr="00260EED">
        <w:rPr>
          <w:rFonts w:ascii="Century Gothic" w:hAnsi="Century Gothic"/>
        </w:rPr>
        <w:t xml:space="preserve"> así como la asignación</w:t>
      </w:r>
      <w:r w:rsidR="00D90709" w:rsidRPr="00563D4D">
        <w:rPr>
          <w:rFonts w:ascii="Century Gothic" w:hAnsi="Century Gothic"/>
        </w:rPr>
        <w:t xml:space="preserve"> de recursos a fin de proteger a la población afectada</w:t>
      </w:r>
      <w:r w:rsidR="00D90709" w:rsidRPr="00AB213A">
        <w:rPr>
          <w:rFonts w:ascii="Century Gothic" w:hAnsi="Century Gothic"/>
        </w:rPr>
        <w:t xml:space="preserve"> por desastres naturales; asimismo, para que no se disminuyan los recursos autorizados en programas presupuestales orientados a mejorar los indicadores de carencias sociales del país y a la protección de derechos.</w:t>
      </w:r>
    </w:p>
    <w:p w14:paraId="1FE1DDE0" w14:textId="61FC4801" w:rsidR="00AD3B11" w:rsidRPr="00CC695C" w:rsidRDefault="00AD3B11" w:rsidP="00AD3B11">
      <w:pPr>
        <w:autoSpaceDE w:val="0"/>
        <w:autoSpaceDN w:val="0"/>
        <w:adjustRightInd w:val="0"/>
        <w:spacing w:line="276" w:lineRule="auto"/>
        <w:jc w:val="both"/>
        <w:rPr>
          <w:rFonts w:ascii="Century Gothic" w:hAnsi="Century Gothic"/>
        </w:rPr>
      </w:pPr>
    </w:p>
    <w:p w14:paraId="470A7274" w14:textId="3709A12F" w:rsidR="00124037" w:rsidRDefault="00124037" w:rsidP="00124037">
      <w:pPr>
        <w:spacing w:line="276" w:lineRule="auto"/>
        <w:ind w:right="78"/>
        <w:jc w:val="both"/>
        <w:rPr>
          <w:rFonts w:ascii="Century Gothic" w:hAnsi="Century Gothic" w:cs="Arial"/>
        </w:rPr>
      </w:pPr>
    </w:p>
    <w:p w14:paraId="4EEDCB6D" w14:textId="77777777" w:rsidR="003971B1" w:rsidRPr="00DA7B2B" w:rsidRDefault="003971B1" w:rsidP="00124037">
      <w:pPr>
        <w:spacing w:line="276" w:lineRule="auto"/>
        <w:ind w:right="78"/>
        <w:jc w:val="both"/>
        <w:rPr>
          <w:rFonts w:ascii="Century Gothic" w:hAnsi="Century Gothic" w:cs="Arial"/>
        </w:rPr>
      </w:pPr>
    </w:p>
    <w:bookmarkEnd w:id="1"/>
    <w:p w14:paraId="2D729F5A" w14:textId="2A07B07A" w:rsidR="00102FBD"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 xml:space="preserve">Guanajuato, </w:t>
      </w:r>
      <w:proofErr w:type="spellStart"/>
      <w:r w:rsidRPr="00CE58B8">
        <w:rPr>
          <w:rFonts w:ascii="Century Gothic" w:eastAsia="Arial Unicode MS" w:hAnsi="Century Gothic" w:cs="Arial"/>
          <w:b/>
          <w:sz w:val="24"/>
          <w:szCs w:val="24"/>
        </w:rPr>
        <w:t>Gto</w:t>
      </w:r>
      <w:proofErr w:type="spellEnd"/>
      <w:r w:rsidRPr="00CE58B8">
        <w:rPr>
          <w:rFonts w:ascii="Century Gothic" w:eastAsia="Arial Unicode MS" w:hAnsi="Century Gothic" w:cs="Arial"/>
          <w:b/>
          <w:sz w:val="24"/>
          <w:szCs w:val="24"/>
        </w:rPr>
        <w:t>.,</w:t>
      </w:r>
      <w:r w:rsidR="00ED51EE" w:rsidRPr="00CE58B8">
        <w:rPr>
          <w:rFonts w:ascii="Century Gothic" w:eastAsia="Arial Unicode MS" w:hAnsi="Century Gothic" w:cs="Arial"/>
          <w:b/>
          <w:sz w:val="24"/>
          <w:szCs w:val="24"/>
        </w:rPr>
        <w:t xml:space="preserve"> </w:t>
      </w:r>
      <w:r w:rsidR="003971B1">
        <w:rPr>
          <w:rFonts w:ascii="Century Gothic" w:eastAsia="Arial Unicode MS" w:hAnsi="Century Gothic" w:cs="Arial"/>
          <w:b/>
          <w:sz w:val="24"/>
          <w:szCs w:val="24"/>
        </w:rPr>
        <w:t>15 de febrero</w:t>
      </w:r>
      <w:r w:rsidR="006E139F">
        <w:rPr>
          <w:rFonts w:ascii="Century Gothic" w:eastAsia="Arial Unicode MS" w:hAnsi="Century Gothic" w:cs="Arial"/>
          <w:b/>
          <w:sz w:val="24"/>
          <w:szCs w:val="24"/>
        </w:rPr>
        <w:t xml:space="preserve"> de 2024</w:t>
      </w:r>
    </w:p>
    <w:p w14:paraId="21580FB9" w14:textId="77777777" w:rsidR="00102FBD"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La Comisión de Desarrollo Económico y Social</w:t>
      </w:r>
    </w:p>
    <w:p w14:paraId="5E7C070F" w14:textId="4BFF299D" w:rsidR="00102FBD" w:rsidRPr="00CE58B8" w:rsidRDefault="00102FBD" w:rsidP="001C0CD9">
      <w:pPr>
        <w:pStyle w:val="Sinespaciado"/>
        <w:spacing w:line="276" w:lineRule="auto"/>
        <w:jc w:val="both"/>
        <w:rPr>
          <w:rFonts w:ascii="Century Gothic" w:eastAsia="Arial Unicode MS" w:hAnsi="Century Gothic" w:cs="Arial"/>
          <w:sz w:val="24"/>
          <w:szCs w:val="24"/>
        </w:rPr>
      </w:pPr>
    </w:p>
    <w:p w14:paraId="67537384" w14:textId="77777777" w:rsidR="00A176D7" w:rsidRPr="00CE58B8" w:rsidRDefault="00A176D7" w:rsidP="001C0CD9">
      <w:pPr>
        <w:pStyle w:val="Sinespaciado"/>
        <w:spacing w:line="276" w:lineRule="auto"/>
        <w:ind w:firstLine="708"/>
        <w:jc w:val="both"/>
        <w:rPr>
          <w:rFonts w:ascii="Century Gothic" w:eastAsia="Arial Unicode MS" w:hAnsi="Century Gothic" w:cs="Arial"/>
          <w:sz w:val="24"/>
          <w:szCs w:val="24"/>
        </w:rPr>
      </w:pPr>
    </w:p>
    <w:tbl>
      <w:tblPr>
        <w:tblW w:w="0" w:type="auto"/>
        <w:tblLook w:val="04A0" w:firstRow="1" w:lastRow="0" w:firstColumn="1" w:lastColumn="0" w:noHBand="0" w:noVBand="1"/>
      </w:tblPr>
      <w:tblGrid>
        <w:gridCol w:w="4411"/>
        <w:gridCol w:w="4427"/>
      </w:tblGrid>
      <w:tr w:rsidR="00102FBD" w:rsidRPr="00CE58B8" w14:paraId="79583E5F" w14:textId="77777777" w:rsidTr="00C87A27">
        <w:tc>
          <w:tcPr>
            <w:tcW w:w="8838" w:type="dxa"/>
            <w:gridSpan w:val="2"/>
          </w:tcPr>
          <w:p w14:paraId="5727B525" w14:textId="77777777" w:rsidR="00102FBD"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Dip. Miguel Ángel Salim Alle</w:t>
            </w:r>
          </w:p>
          <w:p w14:paraId="42433963" w14:textId="77777777" w:rsidR="00102FBD"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Presidente</w:t>
            </w:r>
          </w:p>
          <w:p w14:paraId="295D3F75" w14:textId="4BB6E385" w:rsidR="00BA2143" w:rsidRPr="00CE58B8" w:rsidRDefault="00BA2143" w:rsidP="001C0CD9">
            <w:pPr>
              <w:pStyle w:val="Sinespaciado"/>
              <w:spacing w:line="276" w:lineRule="auto"/>
              <w:ind w:firstLine="708"/>
              <w:jc w:val="center"/>
              <w:rPr>
                <w:rFonts w:ascii="Century Gothic" w:eastAsia="Arial Unicode MS" w:hAnsi="Century Gothic" w:cs="Arial"/>
                <w:b/>
                <w:sz w:val="24"/>
                <w:szCs w:val="24"/>
              </w:rPr>
            </w:pPr>
          </w:p>
        </w:tc>
      </w:tr>
      <w:tr w:rsidR="00102FBD" w:rsidRPr="001720FA" w14:paraId="5A9FD428" w14:textId="77777777" w:rsidTr="00C87A27">
        <w:tc>
          <w:tcPr>
            <w:tcW w:w="4411" w:type="dxa"/>
          </w:tcPr>
          <w:p w14:paraId="2C687F36" w14:textId="457BC0D4" w:rsidR="00102FBD" w:rsidRPr="00CE58B8" w:rsidRDefault="00102FBD" w:rsidP="001C0CD9">
            <w:pPr>
              <w:pStyle w:val="Sinespaciado"/>
              <w:spacing w:line="276" w:lineRule="auto"/>
              <w:rPr>
                <w:rFonts w:ascii="Century Gothic" w:eastAsia="Arial Unicode MS" w:hAnsi="Century Gothic" w:cs="Arial"/>
                <w:b/>
                <w:sz w:val="24"/>
                <w:szCs w:val="24"/>
              </w:rPr>
            </w:pPr>
          </w:p>
          <w:p w14:paraId="37A14C80" w14:textId="77777777" w:rsidR="00FD1C6B" w:rsidRPr="00CE58B8" w:rsidRDefault="00FD1C6B" w:rsidP="001C0CD9">
            <w:pPr>
              <w:pStyle w:val="Sinespaciado"/>
              <w:spacing w:line="276" w:lineRule="auto"/>
              <w:jc w:val="center"/>
              <w:rPr>
                <w:rFonts w:ascii="Century Gothic" w:eastAsia="Arial Unicode MS" w:hAnsi="Century Gothic" w:cs="Arial"/>
                <w:b/>
                <w:sz w:val="24"/>
                <w:szCs w:val="24"/>
              </w:rPr>
            </w:pPr>
          </w:p>
          <w:p w14:paraId="3FE51355" w14:textId="211622BE" w:rsidR="00102FBD" w:rsidRPr="00CE58B8" w:rsidRDefault="00102FBD" w:rsidP="001C0CD9">
            <w:pPr>
              <w:pStyle w:val="Sinespaciado"/>
              <w:spacing w:line="276" w:lineRule="auto"/>
              <w:ind w:hanging="9"/>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 xml:space="preserve">Dip. </w:t>
            </w:r>
            <w:r w:rsidR="00326808" w:rsidRPr="00CE58B8">
              <w:rPr>
                <w:rFonts w:ascii="Century Gothic" w:eastAsia="Arial Unicode MS" w:hAnsi="Century Gothic" w:cs="Arial"/>
                <w:b/>
                <w:sz w:val="24"/>
                <w:szCs w:val="24"/>
              </w:rPr>
              <w:t>Alejandro Arias Ávila</w:t>
            </w:r>
          </w:p>
          <w:p w14:paraId="44838115" w14:textId="77777777" w:rsidR="00586F6C"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Secretario</w:t>
            </w:r>
          </w:p>
          <w:p w14:paraId="6F236653" w14:textId="77777777" w:rsidR="00586F6C" w:rsidRPr="00CE58B8" w:rsidRDefault="00586F6C" w:rsidP="001C0CD9">
            <w:pPr>
              <w:pStyle w:val="Sinespaciado"/>
              <w:spacing w:line="276" w:lineRule="auto"/>
              <w:jc w:val="center"/>
              <w:rPr>
                <w:rFonts w:ascii="Century Gothic" w:eastAsia="Arial Unicode MS" w:hAnsi="Century Gothic" w:cs="Arial"/>
                <w:b/>
                <w:sz w:val="24"/>
                <w:szCs w:val="24"/>
              </w:rPr>
            </w:pPr>
          </w:p>
          <w:p w14:paraId="3DEBD1B3" w14:textId="77777777" w:rsidR="00BA2143" w:rsidRPr="00CE58B8" w:rsidRDefault="00BA2143" w:rsidP="001C0CD9">
            <w:pPr>
              <w:pStyle w:val="Sinespaciado"/>
              <w:spacing w:line="276" w:lineRule="auto"/>
              <w:rPr>
                <w:rFonts w:ascii="Century Gothic" w:eastAsia="Arial Unicode MS" w:hAnsi="Century Gothic" w:cs="Arial"/>
                <w:b/>
                <w:sz w:val="24"/>
                <w:szCs w:val="24"/>
              </w:rPr>
            </w:pPr>
          </w:p>
          <w:p w14:paraId="02870251" w14:textId="77777777" w:rsidR="00102FBD" w:rsidRPr="00CE58B8" w:rsidRDefault="00102FBD" w:rsidP="001C0CD9">
            <w:pPr>
              <w:pStyle w:val="Sinespaciado"/>
              <w:spacing w:line="276" w:lineRule="auto"/>
              <w:jc w:val="center"/>
              <w:rPr>
                <w:rFonts w:ascii="Century Gothic" w:eastAsia="Arial Unicode MS" w:hAnsi="Century Gothic" w:cs="Arial"/>
                <w:b/>
                <w:sz w:val="24"/>
                <w:szCs w:val="24"/>
              </w:rPr>
            </w:pPr>
          </w:p>
          <w:p w14:paraId="07279B98" w14:textId="77777777" w:rsidR="00586F6C" w:rsidRPr="00CE58B8" w:rsidRDefault="00586F6C"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Dip. Vícto</w:t>
            </w:r>
            <w:r w:rsidR="0090131E" w:rsidRPr="00CE58B8">
              <w:rPr>
                <w:rFonts w:ascii="Century Gothic" w:eastAsia="Arial Unicode MS" w:hAnsi="Century Gothic" w:cs="Arial"/>
                <w:b/>
                <w:sz w:val="24"/>
                <w:szCs w:val="24"/>
              </w:rPr>
              <w:t>r Manuel Zanella Huerta</w:t>
            </w:r>
          </w:p>
          <w:p w14:paraId="36F6C961" w14:textId="31D492D7" w:rsidR="0090131E" w:rsidRPr="00CE58B8" w:rsidRDefault="0090131E"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Vocal</w:t>
            </w:r>
          </w:p>
        </w:tc>
        <w:tc>
          <w:tcPr>
            <w:tcW w:w="4427" w:type="dxa"/>
          </w:tcPr>
          <w:p w14:paraId="534876AE" w14:textId="420088EA" w:rsidR="00102FBD" w:rsidRPr="00CE58B8" w:rsidRDefault="00102FBD" w:rsidP="001C0CD9">
            <w:pPr>
              <w:pStyle w:val="Sinespaciado"/>
              <w:spacing w:line="276" w:lineRule="auto"/>
              <w:rPr>
                <w:rFonts w:ascii="Century Gothic" w:eastAsia="Arial Unicode MS" w:hAnsi="Century Gothic" w:cs="Arial"/>
                <w:b/>
                <w:sz w:val="24"/>
                <w:szCs w:val="24"/>
              </w:rPr>
            </w:pPr>
          </w:p>
          <w:p w14:paraId="29915E9D" w14:textId="77777777" w:rsidR="00FD1C6B" w:rsidRPr="00CE58B8" w:rsidRDefault="00FD1C6B" w:rsidP="001C0CD9">
            <w:pPr>
              <w:pStyle w:val="Sinespaciado"/>
              <w:spacing w:line="276" w:lineRule="auto"/>
              <w:ind w:firstLine="708"/>
              <w:jc w:val="center"/>
              <w:rPr>
                <w:rFonts w:ascii="Century Gothic" w:eastAsia="Arial Unicode MS" w:hAnsi="Century Gothic" w:cs="Arial"/>
                <w:b/>
                <w:sz w:val="24"/>
                <w:szCs w:val="24"/>
              </w:rPr>
            </w:pPr>
          </w:p>
          <w:p w14:paraId="5C09FA69" w14:textId="77777777" w:rsidR="00102FBD" w:rsidRPr="00CE58B8" w:rsidRDefault="00102FBD" w:rsidP="001C0CD9">
            <w:pPr>
              <w:pStyle w:val="Sinespaciado"/>
              <w:spacing w:line="276" w:lineRule="auto"/>
              <w:ind w:hanging="9"/>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 xml:space="preserve">Dip. </w:t>
            </w:r>
            <w:r w:rsidR="00326808" w:rsidRPr="00CE58B8">
              <w:rPr>
                <w:rFonts w:ascii="Century Gothic" w:eastAsia="Arial Unicode MS" w:hAnsi="Century Gothic" w:cs="Arial"/>
                <w:b/>
                <w:sz w:val="24"/>
                <w:szCs w:val="24"/>
              </w:rPr>
              <w:t xml:space="preserve">Janet Melanie </w:t>
            </w:r>
            <w:r w:rsidR="00586F6C" w:rsidRPr="00CE58B8">
              <w:rPr>
                <w:rFonts w:ascii="Century Gothic" w:eastAsia="Arial Unicode MS" w:hAnsi="Century Gothic" w:cs="Arial"/>
                <w:b/>
                <w:sz w:val="24"/>
                <w:szCs w:val="24"/>
              </w:rPr>
              <w:t xml:space="preserve">Murillo Chávez </w:t>
            </w:r>
            <w:r w:rsidRPr="00CE58B8">
              <w:rPr>
                <w:rFonts w:ascii="Century Gothic" w:eastAsia="Arial Unicode MS" w:hAnsi="Century Gothic" w:cs="Arial"/>
                <w:b/>
                <w:sz w:val="24"/>
                <w:szCs w:val="24"/>
              </w:rPr>
              <w:t>Vocal</w:t>
            </w:r>
          </w:p>
          <w:p w14:paraId="59EC0249" w14:textId="1AD897C5" w:rsidR="0090131E" w:rsidRPr="00CE58B8" w:rsidRDefault="0090131E" w:rsidP="001C0CD9">
            <w:pPr>
              <w:pStyle w:val="Sinespaciado"/>
              <w:spacing w:line="276" w:lineRule="auto"/>
              <w:ind w:hanging="9"/>
              <w:jc w:val="center"/>
              <w:rPr>
                <w:rFonts w:ascii="Century Gothic" w:eastAsia="Arial Unicode MS" w:hAnsi="Century Gothic" w:cs="Arial"/>
                <w:b/>
                <w:sz w:val="24"/>
                <w:szCs w:val="24"/>
              </w:rPr>
            </w:pPr>
          </w:p>
          <w:p w14:paraId="02432EF2" w14:textId="77777777" w:rsidR="00BA2143" w:rsidRPr="00CE58B8" w:rsidRDefault="00BA2143" w:rsidP="001C0CD9">
            <w:pPr>
              <w:pStyle w:val="Sinespaciado"/>
              <w:spacing w:line="276" w:lineRule="auto"/>
              <w:ind w:hanging="9"/>
              <w:jc w:val="center"/>
              <w:rPr>
                <w:rFonts w:ascii="Century Gothic" w:eastAsia="Arial Unicode MS" w:hAnsi="Century Gothic" w:cs="Arial"/>
                <w:b/>
                <w:sz w:val="24"/>
                <w:szCs w:val="24"/>
              </w:rPr>
            </w:pPr>
          </w:p>
          <w:p w14:paraId="55F51ACC" w14:textId="77777777" w:rsidR="0090131E" w:rsidRPr="00CE58B8" w:rsidRDefault="0090131E" w:rsidP="001C0CD9">
            <w:pPr>
              <w:pStyle w:val="Sinespaciado"/>
              <w:spacing w:line="276" w:lineRule="auto"/>
              <w:rPr>
                <w:rFonts w:ascii="Century Gothic" w:eastAsia="Arial Unicode MS" w:hAnsi="Century Gothic" w:cs="Arial"/>
                <w:b/>
                <w:sz w:val="24"/>
                <w:szCs w:val="24"/>
              </w:rPr>
            </w:pPr>
          </w:p>
          <w:p w14:paraId="6D223891" w14:textId="77777777" w:rsidR="0090131E" w:rsidRPr="00CE58B8" w:rsidRDefault="0090131E" w:rsidP="001C0CD9">
            <w:pPr>
              <w:pStyle w:val="Sinespaciado"/>
              <w:spacing w:line="276" w:lineRule="auto"/>
              <w:rPr>
                <w:rFonts w:ascii="Century Gothic" w:eastAsia="Arial Unicode MS" w:hAnsi="Century Gothic" w:cs="Arial"/>
                <w:b/>
                <w:sz w:val="24"/>
                <w:szCs w:val="24"/>
              </w:rPr>
            </w:pPr>
            <w:r w:rsidRPr="00CE58B8">
              <w:rPr>
                <w:rFonts w:ascii="Century Gothic" w:eastAsia="Arial Unicode MS" w:hAnsi="Century Gothic" w:cs="Arial"/>
                <w:b/>
                <w:sz w:val="24"/>
                <w:szCs w:val="24"/>
              </w:rPr>
              <w:t xml:space="preserve">Dip. Martha Edith Moreno </w:t>
            </w:r>
            <w:r w:rsidR="00BA2143" w:rsidRPr="00CE58B8">
              <w:rPr>
                <w:rFonts w:ascii="Century Gothic" w:eastAsia="Arial Unicode MS" w:hAnsi="Century Gothic" w:cs="Arial"/>
                <w:b/>
                <w:sz w:val="24"/>
                <w:szCs w:val="24"/>
              </w:rPr>
              <w:t>Valencia</w:t>
            </w:r>
          </w:p>
          <w:p w14:paraId="3062D55B" w14:textId="5BFA27BD" w:rsidR="00BA2143" w:rsidRPr="001720FA" w:rsidRDefault="00BA2143"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Voca</w:t>
            </w:r>
            <w:r w:rsidR="00480BD8" w:rsidRPr="00CE58B8">
              <w:rPr>
                <w:rFonts w:ascii="Century Gothic" w:eastAsia="Arial Unicode MS" w:hAnsi="Century Gothic" w:cs="Arial"/>
                <w:b/>
                <w:sz w:val="24"/>
                <w:szCs w:val="24"/>
              </w:rPr>
              <w:t>l</w:t>
            </w:r>
          </w:p>
        </w:tc>
      </w:tr>
    </w:tbl>
    <w:p w14:paraId="1C91ABB3" w14:textId="421DD136" w:rsidR="00A176D7" w:rsidRPr="001720FA" w:rsidRDefault="00A176D7" w:rsidP="001C0CD9">
      <w:pPr>
        <w:spacing w:line="276" w:lineRule="auto"/>
        <w:jc w:val="both"/>
        <w:rPr>
          <w:rFonts w:ascii="Century Gothic" w:hAnsi="Century Gothic" w:cs="Arial"/>
          <w:b/>
          <w:bCs/>
        </w:rPr>
      </w:pPr>
    </w:p>
    <w:sectPr w:rsidR="00A176D7" w:rsidRPr="001720FA" w:rsidSect="00452878">
      <w:headerReference w:type="default" r:id="rId8"/>
      <w:footerReference w:type="default" r:id="rId9"/>
      <w:pgSz w:w="12240" w:h="15840"/>
      <w:pgMar w:top="3241" w:right="1701" w:bottom="1134"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81293" w14:textId="77777777" w:rsidR="00452878" w:rsidRDefault="00452878" w:rsidP="008157F5">
      <w:r>
        <w:separator/>
      </w:r>
    </w:p>
  </w:endnote>
  <w:endnote w:type="continuationSeparator" w:id="0">
    <w:p w14:paraId="462929F1" w14:textId="77777777" w:rsidR="00452878" w:rsidRDefault="00452878"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Abadi">
    <w:charset w:val="00"/>
    <w:family w:val="swiss"/>
    <w:pitch w:val="variable"/>
    <w:sig w:usb0="8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06180" w14:textId="77777777" w:rsidR="00452878" w:rsidRDefault="00452878" w:rsidP="008157F5">
      <w:r>
        <w:separator/>
      </w:r>
    </w:p>
  </w:footnote>
  <w:footnote w:type="continuationSeparator" w:id="0">
    <w:p w14:paraId="140BE816" w14:textId="77777777" w:rsidR="00452878" w:rsidRDefault="00452878" w:rsidP="008157F5">
      <w:r>
        <w:continuationSeparator/>
      </w:r>
    </w:p>
  </w:footnote>
  <w:footnote w:id="1">
    <w:p w14:paraId="3E129699" w14:textId="366C1662" w:rsidR="0097279B" w:rsidRDefault="0097279B" w:rsidP="0097279B">
      <w:pPr>
        <w:pStyle w:val="Textonotapie"/>
        <w:jc w:val="both"/>
      </w:pPr>
      <w:r>
        <w:rPr>
          <w:rStyle w:val="Refdenotaalpie"/>
        </w:rPr>
        <w:footnoteRef/>
      </w:r>
      <w:r>
        <w:t xml:space="preserve"> </w:t>
      </w:r>
      <w:r w:rsidRPr="0097279B">
        <w:rPr>
          <w:rFonts w:ascii="Century Gothic" w:hAnsi="Century Gothic" w:cs="Arial"/>
          <w:sz w:val="16"/>
          <w:szCs w:val="16"/>
        </w:rPr>
        <w:t xml:space="preserve">Ley Federal de Presupuesto y Responsabilidad Hacendaria. Consultada: </w:t>
      </w:r>
      <w:hyperlink r:id="rId1" w:history="1">
        <w:r w:rsidRPr="0097279B">
          <w:rPr>
            <w:rStyle w:val="Hipervnculo"/>
            <w:rFonts w:ascii="Century Gothic" w:hAnsi="Century Gothic" w:cs="Arial"/>
            <w:sz w:val="16"/>
            <w:szCs w:val="16"/>
          </w:rPr>
          <w:t>https://www.diputados.gob.mx/LeyesBiblio/pdf/LFPRH.pdf</w:t>
        </w:r>
      </w:hyperlink>
      <w:r>
        <w:rPr>
          <w:rFonts w:ascii="Century Gothic" w:hAnsi="Century Gothic" w:cs="Arial"/>
        </w:rPr>
        <w:t xml:space="preserve"> </w:t>
      </w:r>
    </w:p>
  </w:footnote>
  <w:footnote w:id="2">
    <w:p w14:paraId="2F5602CE" w14:textId="627E7581" w:rsidR="0097279B" w:rsidRDefault="0097279B" w:rsidP="0097279B">
      <w:pPr>
        <w:pStyle w:val="Textonotapie"/>
        <w:jc w:val="both"/>
      </w:pPr>
      <w:r>
        <w:rPr>
          <w:rStyle w:val="Refdenotaalpie"/>
        </w:rPr>
        <w:footnoteRef/>
      </w:r>
      <w:r>
        <w:t xml:space="preserve">  </w:t>
      </w:r>
      <w:r w:rsidRPr="0097279B">
        <w:rPr>
          <w:rFonts w:ascii="Century Gothic" w:hAnsi="Century Gothic" w:cs="Arial"/>
          <w:sz w:val="16"/>
          <w:szCs w:val="16"/>
        </w:rPr>
        <w:t xml:space="preserve">Reglamento de la Ley Federal de Presupuesto y Responsabilidad Hacendaria. Consultado: </w:t>
      </w:r>
      <w:hyperlink r:id="rId2" w:history="1">
        <w:r w:rsidRPr="0097279B">
          <w:rPr>
            <w:rStyle w:val="Hipervnculo"/>
            <w:rFonts w:ascii="Century Gothic" w:hAnsi="Century Gothic" w:cs="Arial"/>
            <w:sz w:val="16"/>
            <w:szCs w:val="16"/>
          </w:rPr>
          <w:t>https://www.diputados.gob.mx/LeyesBiblio/regley/Reg_LFPRH_131120.pdf</w:t>
        </w:r>
      </w:hyperlink>
      <w:r w:rsidRPr="0097279B">
        <w:rPr>
          <w:rFonts w:ascii="Century Gothic" w:hAnsi="Century Gothic" w:cs="Arial"/>
          <w:sz w:val="16"/>
          <w:szCs w:val="16"/>
        </w:rPr>
        <w:t xml:space="preserve"> </w:t>
      </w:r>
    </w:p>
  </w:footnote>
  <w:footnote w:id="3">
    <w:p w14:paraId="116A0C9A" w14:textId="5FBF7B85" w:rsidR="00563D4D" w:rsidRDefault="00563D4D" w:rsidP="00563D4D">
      <w:pPr>
        <w:pStyle w:val="Textonotapie"/>
        <w:jc w:val="both"/>
      </w:pPr>
      <w:r>
        <w:rPr>
          <w:rStyle w:val="Refdenotaalpie"/>
        </w:rPr>
        <w:footnoteRef/>
      </w:r>
      <w:r>
        <w:t xml:space="preserve"> </w:t>
      </w:r>
      <w:r w:rsidRPr="00563D4D">
        <w:rPr>
          <w:rFonts w:ascii="Century Gothic" w:hAnsi="Century Gothic"/>
          <w:sz w:val="16"/>
          <w:szCs w:val="16"/>
        </w:rPr>
        <w:t>Informe Trimestral Sobre la Situación Económica, las Finanzas Públicas y la Deuda Pública</w:t>
      </w:r>
      <w:r>
        <w:rPr>
          <w:rFonts w:ascii="Century Gothic" w:hAnsi="Century Gothic"/>
          <w:sz w:val="16"/>
          <w:szCs w:val="16"/>
        </w:rPr>
        <w:t xml:space="preserve">. Consultado: </w:t>
      </w:r>
      <w:r w:rsidRPr="00563D4D">
        <w:rPr>
          <w:rFonts w:ascii="Century Gothic" w:hAnsi="Century Gothic"/>
          <w:sz w:val="16"/>
          <w:szCs w:val="16"/>
        </w:rPr>
        <w:t xml:space="preserve"> </w:t>
      </w:r>
      <w:hyperlink r:id="rId3" w:history="1">
        <w:r w:rsidRPr="00563D4D">
          <w:rPr>
            <w:rStyle w:val="Hipervnculo"/>
            <w:rFonts w:ascii="Century Gothic" w:hAnsi="Century Gothic"/>
            <w:sz w:val="16"/>
            <w:szCs w:val="16"/>
          </w:rPr>
          <w:t>https://www.finanzaspublicas.hacienda.gob.mx/work/models/Finanzas_Publicas/docs/congreso/infotrim/2023/ivt/01inf/itindc_202304.pdf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6D0F" w14:textId="2D92CDDA" w:rsidR="008157F5" w:rsidRDefault="008157F5" w:rsidP="00AC2EE3">
    <w:pPr>
      <w:pStyle w:val="Encabezado"/>
    </w:pPr>
    <w:r>
      <w:rPr>
        <w:noProof/>
      </w:rPr>
      <w:drawing>
        <wp:inline distT="0" distB="0" distL="0" distR="0" wp14:anchorId="0CC2D033" wp14:editId="73EFE574">
          <wp:extent cx="1307432" cy="1265705"/>
          <wp:effectExtent l="0" t="0" r="1270" b="4445"/>
          <wp:docPr id="1128669930" name="Imagen 112866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25111" cy="1282820"/>
                  </a:xfrm>
                  <a:prstGeom prst="rect">
                    <a:avLst/>
                  </a:prstGeom>
                </pic:spPr>
              </pic:pic>
            </a:graphicData>
          </a:graphic>
        </wp:inline>
      </w:drawing>
    </w:r>
    <w:r w:rsidR="00AC2EE3">
      <w:tab/>
    </w:r>
    <w:r w:rsidR="00AC2EE3">
      <w:tab/>
    </w:r>
    <w:r w:rsidR="00AC2EE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5pt;height:1.15pt;visibility:visible;mso-wrap-style:square" o:bullet="t">
        <v:imagedata r:id="rId1" o:title=""/>
      </v:shape>
    </w:pict>
  </w:numPicBullet>
  <w:abstractNum w:abstractNumId="0" w15:restartNumberingAfterBreak="0">
    <w:nsid w:val="9A71C8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D3419"/>
    <w:multiLevelType w:val="hybridMultilevel"/>
    <w:tmpl w:val="860C0A68"/>
    <w:lvl w:ilvl="0" w:tplc="8848B5BA">
      <w:start w:val="5"/>
      <w:numFmt w:val="upperRoman"/>
      <w:lvlText w:val="%1."/>
      <w:lvlJc w:val="left"/>
      <w:pPr>
        <w:ind w:left="3403" w:hanging="423"/>
      </w:pPr>
      <w:rPr>
        <w:rFonts w:ascii="Century Gothic" w:eastAsia="Century Gothic" w:hAnsi="Century Gothic" w:cs="Century Gothic" w:hint="default"/>
        <w:b w:val="0"/>
        <w:bCs w:val="0"/>
        <w:i w:val="0"/>
        <w:iCs w:val="0"/>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E91D40"/>
    <w:multiLevelType w:val="hybridMultilevel"/>
    <w:tmpl w:val="CC52D946"/>
    <w:lvl w:ilvl="0" w:tplc="B366C960">
      <w:start w:val="1"/>
      <w:numFmt w:val="low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F0113A"/>
    <w:multiLevelType w:val="hybridMultilevel"/>
    <w:tmpl w:val="BD60A5A2"/>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18F53162"/>
    <w:multiLevelType w:val="hybridMultilevel"/>
    <w:tmpl w:val="29B421C4"/>
    <w:lvl w:ilvl="0" w:tplc="C5BC65B0">
      <w:start w:val="1"/>
      <w:numFmt w:val="upperRoman"/>
      <w:lvlText w:val="%1."/>
      <w:lvlJc w:val="left"/>
      <w:pPr>
        <w:ind w:left="1080" w:hanging="72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8921B1"/>
    <w:multiLevelType w:val="hybridMultilevel"/>
    <w:tmpl w:val="9668B844"/>
    <w:lvl w:ilvl="0" w:tplc="FFFFFFFF">
      <w:start w:val="1"/>
      <w:numFmt w:val="upperRoman"/>
      <w:lvlText w:val="%1."/>
      <w:lvlJc w:val="left"/>
      <w:pPr>
        <w:ind w:left="862" w:hanging="720"/>
      </w:pPr>
      <w:rPr>
        <w:rFonts w:hint="default"/>
        <w:b w:val="0"/>
        <w:bCs/>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1F1B76DD"/>
    <w:multiLevelType w:val="hybridMultilevel"/>
    <w:tmpl w:val="4E36CB3C"/>
    <w:lvl w:ilvl="0" w:tplc="25AE123E">
      <w:start w:val="1"/>
      <w:numFmt w:val="upperRoman"/>
      <w:lvlText w:val="%1."/>
      <w:lvlJc w:val="left"/>
      <w:pPr>
        <w:ind w:left="862" w:hanging="7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8" w15:restartNumberingAfterBreak="0">
    <w:nsid w:val="2063289A"/>
    <w:multiLevelType w:val="hybridMultilevel"/>
    <w:tmpl w:val="3FE45FCE"/>
    <w:lvl w:ilvl="0" w:tplc="4BFC6BB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20726D77"/>
    <w:multiLevelType w:val="multilevel"/>
    <w:tmpl w:val="6C9E72B8"/>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0" w15:restartNumberingAfterBreak="0">
    <w:nsid w:val="279C4515"/>
    <w:multiLevelType w:val="multilevel"/>
    <w:tmpl w:val="363E72C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33091456"/>
    <w:multiLevelType w:val="multilevel"/>
    <w:tmpl w:val="BBAEB0B8"/>
    <w:lvl w:ilvl="0">
      <w:start w:val="1"/>
      <w:numFmt w:val="decimal"/>
      <w:lvlText w:val="%1."/>
      <w:lvlJc w:val="left"/>
      <w:pPr>
        <w:ind w:left="100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474"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2964" w:hanging="1800"/>
      </w:pPr>
      <w:rPr>
        <w:rFonts w:hint="default"/>
      </w:rPr>
    </w:lvl>
  </w:abstractNum>
  <w:abstractNum w:abstractNumId="12"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13" w15:restartNumberingAfterBreak="0">
    <w:nsid w:val="39FE7B11"/>
    <w:multiLevelType w:val="hybridMultilevel"/>
    <w:tmpl w:val="FFEA6AE2"/>
    <w:lvl w:ilvl="0" w:tplc="7C36CB04">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44147C87"/>
    <w:multiLevelType w:val="hybridMultilevel"/>
    <w:tmpl w:val="9668B844"/>
    <w:lvl w:ilvl="0" w:tplc="90DCEBA6">
      <w:start w:val="1"/>
      <w:numFmt w:val="upperRoman"/>
      <w:lvlText w:val="%1."/>
      <w:lvlJc w:val="left"/>
      <w:pPr>
        <w:ind w:left="862" w:hanging="720"/>
      </w:pPr>
      <w:rPr>
        <w:rFonts w:hint="default"/>
        <w:b w:val="0"/>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5" w15:restartNumberingAfterBreak="0">
    <w:nsid w:val="480A79B9"/>
    <w:multiLevelType w:val="hybridMultilevel"/>
    <w:tmpl w:val="19F07E00"/>
    <w:lvl w:ilvl="0" w:tplc="4EF2FD6C">
      <w:start w:val="1"/>
      <w:numFmt w:val="decimal"/>
      <w:lvlText w:val="%1."/>
      <w:lvlJc w:val="left"/>
      <w:pPr>
        <w:ind w:left="852"/>
      </w:pPr>
      <w:rPr>
        <w:rFonts w:ascii="Arial" w:eastAsia="Bookman Old Style" w:hAnsi="Arial" w:cs="Arial" w:hint="default"/>
        <w:b/>
        <w:bCs/>
        <w:i w:val="0"/>
        <w:strike w:val="0"/>
        <w:dstrike w:val="0"/>
        <w:color w:val="000000"/>
        <w:sz w:val="20"/>
        <w:szCs w:val="20"/>
        <w:u w:val="none" w:color="000000"/>
        <w:bdr w:val="none" w:sz="0" w:space="0" w:color="auto"/>
        <w:shd w:val="clear" w:color="auto" w:fill="auto"/>
        <w:vertAlign w:val="baseline"/>
      </w:rPr>
    </w:lvl>
    <w:lvl w:ilvl="1" w:tplc="6F4C1158">
      <w:start w:val="1"/>
      <w:numFmt w:val="bullet"/>
      <w:lvlText w:val="•"/>
      <w:lvlJc w:val="left"/>
      <w:pPr>
        <w:ind w:left="12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910F3DA">
      <w:start w:val="1"/>
      <w:numFmt w:val="bullet"/>
      <w:lvlText w:val="▪"/>
      <w:lvlJc w:val="left"/>
      <w:pPr>
        <w:ind w:left="19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93324E6C">
      <w:start w:val="1"/>
      <w:numFmt w:val="bullet"/>
      <w:lvlText w:val="•"/>
      <w:lvlJc w:val="left"/>
      <w:pPr>
        <w:ind w:left="26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B6EA698">
      <w:start w:val="1"/>
      <w:numFmt w:val="bullet"/>
      <w:lvlText w:val="o"/>
      <w:lvlJc w:val="left"/>
      <w:pPr>
        <w:ind w:left="33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9D8B370">
      <w:start w:val="1"/>
      <w:numFmt w:val="bullet"/>
      <w:lvlText w:val="▪"/>
      <w:lvlJc w:val="left"/>
      <w:pPr>
        <w:ind w:left="40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EB86998">
      <w:start w:val="1"/>
      <w:numFmt w:val="bullet"/>
      <w:lvlText w:val="•"/>
      <w:lvlJc w:val="left"/>
      <w:pPr>
        <w:ind w:left="48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05CF080">
      <w:start w:val="1"/>
      <w:numFmt w:val="bullet"/>
      <w:lvlText w:val="o"/>
      <w:lvlJc w:val="left"/>
      <w:pPr>
        <w:ind w:left="55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F6C8C16">
      <w:start w:val="1"/>
      <w:numFmt w:val="bullet"/>
      <w:lvlText w:val="▪"/>
      <w:lvlJc w:val="left"/>
      <w:pPr>
        <w:ind w:left="62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48495B9E"/>
    <w:multiLevelType w:val="hybridMultilevel"/>
    <w:tmpl w:val="25382BD6"/>
    <w:lvl w:ilvl="0" w:tplc="F50A255A">
      <w:start w:val="1"/>
      <w:numFmt w:val="bullet"/>
      <w:lvlText w:val="•"/>
      <w:lvlJc w:val="left"/>
      <w:pPr>
        <w:ind w:left="1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48D448">
      <w:start w:val="1"/>
      <w:numFmt w:val="bullet"/>
      <w:lvlText w:val="o"/>
      <w:lvlJc w:val="left"/>
      <w:pPr>
        <w:ind w:left="2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1A1AD0">
      <w:start w:val="1"/>
      <w:numFmt w:val="bullet"/>
      <w:lvlText w:val="▪"/>
      <w:lvlJc w:val="left"/>
      <w:pPr>
        <w:ind w:left="2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7226E6">
      <w:start w:val="1"/>
      <w:numFmt w:val="bullet"/>
      <w:lvlText w:val="•"/>
      <w:lvlJc w:val="left"/>
      <w:pPr>
        <w:ind w:left="3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6A2718">
      <w:start w:val="1"/>
      <w:numFmt w:val="bullet"/>
      <w:lvlText w:val="o"/>
      <w:lvlJc w:val="left"/>
      <w:pPr>
        <w:ind w:left="4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A23226">
      <w:start w:val="1"/>
      <w:numFmt w:val="bullet"/>
      <w:lvlText w:val="▪"/>
      <w:lvlJc w:val="left"/>
      <w:pPr>
        <w:ind w:left="5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EC1F72">
      <w:start w:val="1"/>
      <w:numFmt w:val="bullet"/>
      <w:lvlText w:val="•"/>
      <w:lvlJc w:val="left"/>
      <w:pPr>
        <w:ind w:left="5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1A8C8C">
      <w:start w:val="1"/>
      <w:numFmt w:val="bullet"/>
      <w:lvlText w:val="o"/>
      <w:lvlJc w:val="left"/>
      <w:pPr>
        <w:ind w:left="6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501408">
      <w:start w:val="1"/>
      <w:numFmt w:val="bullet"/>
      <w:lvlText w:val="▪"/>
      <w:lvlJc w:val="left"/>
      <w:pPr>
        <w:ind w:left="7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439560E"/>
    <w:multiLevelType w:val="hybridMultilevel"/>
    <w:tmpl w:val="746A9724"/>
    <w:lvl w:ilvl="0" w:tplc="A4DCF3CA">
      <w:start w:val="5"/>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019C3BD4">
      <w:start w:val="1"/>
      <w:numFmt w:val="lowerLetter"/>
      <w:lvlText w:val="%2"/>
      <w:lvlJc w:val="left"/>
      <w:pPr>
        <w:ind w:left="10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2" w:tplc="C4F6A4A2">
      <w:start w:val="1"/>
      <w:numFmt w:val="lowerRoman"/>
      <w:lvlText w:val="%3"/>
      <w:lvlJc w:val="left"/>
      <w:pPr>
        <w:ind w:left="18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3" w:tplc="4F5AC7CE">
      <w:start w:val="1"/>
      <w:numFmt w:val="decimal"/>
      <w:lvlText w:val="%4"/>
      <w:lvlJc w:val="left"/>
      <w:pPr>
        <w:ind w:left="25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4" w:tplc="C07AA470">
      <w:start w:val="1"/>
      <w:numFmt w:val="lowerLetter"/>
      <w:lvlText w:val="%5"/>
      <w:lvlJc w:val="left"/>
      <w:pPr>
        <w:ind w:left="325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5" w:tplc="F7F4F7E4">
      <w:start w:val="1"/>
      <w:numFmt w:val="lowerRoman"/>
      <w:lvlText w:val="%6"/>
      <w:lvlJc w:val="left"/>
      <w:pPr>
        <w:ind w:left="397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6" w:tplc="AEF69C32">
      <w:start w:val="1"/>
      <w:numFmt w:val="decimal"/>
      <w:lvlText w:val="%7"/>
      <w:lvlJc w:val="left"/>
      <w:pPr>
        <w:ind w:left="46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7" w:tplc="AE88304C">
      <w:start w:val="1"/>
      <w:numFmt w:val="lowerLetter"/>
      <w:lvlText w:val="%8"/>
      <w:lvlJc w:val="left"/>
      <w:pPr>
        <w:ind w:left="54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8" w:tplc="5600958A">
      <w:start w:val="1"/>
      <w:numFmt w:val="lowerRoman"/>
      <w:lvlText w:val="%9"/>
      <w:lvlJc w:val="left"/>
      <w:pPr>
        <w:ind w:left="61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abstractNum>
  <w:abstractNum w:abstractNumId="19" w15:restartNumberingAfterBreak="0">
    <w:nsid w:val="549E6937"/>
    <w:multiLevelType w:val="multilevel"/>
    <w:tmpl w:val="8ED64410"/>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55491FA9"/>
    <w:multiLevelType w:val="hybridMultilevel"/>
    <w:tmpl w:val="B4E8B942"/>
    <w:lvl w:ilvl="0" w:tplc="9ED28AA4">
      <w:start w:val="4"/>
      <w:numFmt w:val="upperRoman"/>
      <w:lvlText w:val="%1."/>
      <w:lvlJc w:val="left"/>
      <w:pPr>
        <w:ind w:left="3403" w:hanging="423"/>
      </w:pPr>
      <w:rPr>
        <w:rFonts w:ascii="Century Gothic" w:eastAsia="Century Gothic" w:hAnsi="Century Gothic" w:cs="Century Gothic" w:hint="default"/>
        <w:b w:val="0"/>
        <w:bCs w:val="0"/>
        <w:i w:val="0"/>
        <w:iCs w:val="0"/>
        <w:w w:val="100"/>
        <w:sz w:val="22"/>
        <w:szCs w:val="22"/>
        <w:lang w:val="es-ES" w:eastAsia="en-US" w:bidi="ar-SA"/>
      </w:rPr>
    </w:lvl>
    <w:lvl w:ilvl="1" w:tplc="7064371A">
      <w:numFmt w:val="bullet"/>
      <w:lvlText w:val="•"/>
      <w:lvlJc w:val="left"/>
      <w:pPr>
        <w:ind w:left="4284" w:hanging="423"/>
      </w:pPr>
      <w:rPr>
        <w:rFonts w:hint="default"/>
        <w:lang w:val="es-ES" w:eastAsia="en-US" w:bidi="ar-SA"/>
      </w:rPr>
    </w:lvl>
    <w:lvl w:ilvl="2" w:tplc="5A5C116C">
      <w:numFmt w:val="bullet"/>
      <w:lvlText w:val="•"/>
      <w:lvlJc w:val="left"/>
      <w:pPr>
        <w:ind w:left="5168" w:hanging="423"/>
      </w:pPr>
      <w:rPr>
        <w:rFonts w:hint="default"/>
        <w:lang w:val="es-ES" w:eastAsia="en-US" w:bidi="ar-SA"/>
      </w:rPr>
    </w:lvl>
    <w:lvl w:ilvl="3" w:tplc="DA8847CC">
      <w:numFmt w:val="bullet"/>
      <w:lvlText w:val="•"/>
      <w:lvlJc w:val="left"/>
      <w:pPr>
        <w:ind w:left="6052" w:hanging="423"/>
      </w:pPr>
      <w:rPr>
        <w:rFonts w:hint="default"/>
        <w:lang w:val="es-ES" w:eastAsia="en-US" w:bidi="ar-SA"/>
      </w:rPr>
    </w:lvl>
    <w:lvl w:ilvl="4" w:tplc="CAC2291A">
      <w:numFmt w:val="bullet"/>
      <w:lvlText w:val="•"/>
      <w:lvlJc w:val="left"/>
      <w:pPr>
        <w:ind w:left="6936" w:hanging="423"/>
      </w:pPr>
      <w:rPr>
        <w:rFonts w:hint="default"/>
        <w:lang w:val="es-ES" w:eastAsia="en-US" w:bidi="ar-SA"/>
      </w:rPr>
    </w:lvl>
    <w:lvl w:ilvl="5" w:tplc="224C18E0">
      <w:numFmt w:val="bullet"/>
      <w:lvlText w:val="•"/>
      <w:lvlJc w:val="left"/>
      <w:pPr>
        <w:ind w:left="7820" w:hanging="423"/>
      </w:pPr>
      <w:rPr>
        <w:rFonts w:hint="default"/>
        <w:lang w:val="es-ES" w:eastAsia="en-US" w:bidi="ar-SA"/>
      </w:rPr>
    </w:lvl>
    <w:lvl w:ilvl="6" w:tplc="B73E7C04">
      <w:numFmt w:val="bullet"/>
      <w:lvlText w:val="•"/>
      <w:lvlJc w:val="left"/>
      <w:pPr>
        <w:ind w:left="8704" w:hanging="423"/>
      </w:pPr>
      <w:rPr>
        <w:rFonts w:hint="default"/>
        <w:lang w:val="es-ES" w:eastAsia="en-US" w:bidi="ar-SA"/>
      </w:rPr>
    </w:lvl>
    <w:lvl w:ilvl="7" w:tplc="074AEAEC">
      <w:numFmt w:val="bullet"/>
      <w:lvlText w:val="•"/>
      <w:lvlJc w:val="left"/>
      <w:pPr>
        <w:ind w:left="9588" w:hanging="423"/>
      </w:pPr>
      <w:rPr>
        <w:rFonts w:hint="default"/>
        <w:lang w:val="es-ES" w:eastAsia="en-US" w:bidi="ar-SA"/>
      </w:rPr>
    </w:lvl>
    <w:lvl w:ilvl="8" w:tplc="211235A8">
      <w:numFmt w:val="bullet"/>
      <w:lvlText w:val="•"/>
      <w:lvlJc w:val="left"/>
      <w:pPr>
        <w:ind w:left="10472" w:hanging="423"/>
      </w:pPr>
      <w:rPr>
        <w:rFonts w:hint="default"/>
        <w:lang w:val="es-ES" w:eastAsia="en-US" w:bidi="ar-SA"/>
      </w:rPr>
    </w:lvl>
  </w:abstractNum>
  <w:abstractNum w:abstractNumId="21" w15:restartNumberingAfterBreak="0">
    <w:nsid w:val="572D3122"/>
    <w:multiLevelType w:val="hybridMultilevel"/>
    <w:tmpl w:val="5BCAAE0A"/>
    <w:lvl w:ilvl="0" w:tplc="28E2CAD8">
      <w:start w:val="6"/>
      <w:numFmt w:val="upperRoman"/>
      <w:lvlText w:val="%1."/>
      <w:lvlJc w:val="left"/>
      <w:pPr>
        <w:ind w:left="598" w:hanging="354"/>
      </w:pPr>
      <w:rPr>
        <w:rFonts w:hint="default"/>
        <w:spacing w:val="-1"/>
        <w:w w:val="107"/>
        <w:lang w:val="es-ES" w:eastAsia="en-US" w:bidi="ar-SA"/>
      </w:rPr>
    </w:lvl>
    <w:lvl w:ilvl="1" w:tplc="093E0FDC">
      <w:numFmt w:val="bullet"/>
      <w:lvlText w:val="•"/>
      <w:lvlJc w:val="left"/>
      <w:pPr>
        <w:ind w:left="1618" w:hanging="354"/>
      </w:pPr>
      <w:rPr>
        <w:rFonts w:hint="default"/>
        <w:lang w:val="es-ES" w:eastAsia="en-US" w:bidi="ar-SA"/>
      </w:rPr>
    </w:lvl>
    <w:lvl w:ilvl="2" w:tplc="EF869F62">
      <w:numFmt w:val="bullet"/>
      <w:lvlText w:val="•"/>
      <w:lvlJc w:val="left"/>
      <w:pPr>
        <w:ind w:left="2636" w:hanging="354"/>
      </w:pPr>
      <w:rPr>
        <w:rFonts w:hint="default"/>
        <w:lang w:val="es-ES" w:eastAsia="en-US" w:bidi="ar-SA"/>
      </w:rPr>
    </w:lvl>
    <w:lvl w:ilvl="3" w:tplc="E3E0C464">
      <w:numFmt w:val="bullet"/>
      <w:lvlText w:val="•"/>
      <w:lvlJc w:val="left"/>
      <w:pPr>
        <w:ind w:left="3654" w:hanging="354"/>
      </w:pPr>
      <w:rPr>
        <w:rFonts w:hint="default"/>
        <w:lang w:val="es-ES" w:eastAsia="en-US" w:bidi="ar-SA"/>
      </w:rPr>
    </w:lvl>
    <w:lvl w:ilvl="4" w:tplc="D2BCFA5C">
      <w:numFmt w:val="bullet"/>
      <w:lvlText w:val="•"/>
      <w:lvlJc w:val="left"/>
      <w:pPr>
        <w:ind w:left="4672" w:hanging="354"/>
      </w:pPr>
      <w:rPr>
        <w:rFonts w:hint="default"/>
        <w:lang w:val="es-ES" w:eastAsia="en-US" w:bidi="ar-SA"/>
      </w:rPr>
    </w:lvl>
    <w:lvl w:ilvl="5" w:tplc="3BD85AEE">
      <w:numFmt w:val="bullet"/>
      <w:lvlText w:val="•"/>
      <w:lvlJc w:val="left"/>
      <w:pPr>
        <w:ind w:left="5690" w:hanging="354"/>
      </w:pPr>
      <w:rPr>
        <w:rFonts w:hint="default"/>
        <w:lang w:val="es-ES" w:eastAsia="en-US" w:bidi="ar-SA"/>
      </w:rPr>
    </w:lvl>
    <w:lvl w:ilvl="6" w:tplc="F868565A">
      <w:numFmt w:val="bullet"/>
      <w:lvlText w:val="•"/>
      <w:lvlJc w:val="left"/>
      <w:pPr>
        <w:ind w:left="6708" w:hanging="354"/>
      </w:pPr>
      <w:rPr>
        <w:rFonts w:hint="default"/>
        <w:lang w:val="es-ES" w:eastAsia="en-US" w:bidi="ar-SA"/>
      </w:rPr>
    </w:lvl>
    <w:lvl w:ilvl="7" w:tplc="3112F970">
      <w:numFmt w:val="bullet"/>
      <w:lvlText w:val="•"/>
      <w:lvlJc w:val="left"/>
      <w:pPr>
        <w:ind w:left="7726" w:hanging="354"/>
      </w:pPr>
      <w:rPr>
        <w:rFonts w:hint="default"/>
        <w:lang w:val="es-ES" w:eastAsia="en-US" w:bidi="ar-SA"/>
      </w:rPr>
    </w:lvl>
    <w:lvl w:ilvl="8" w:tplc="FFBA2444">
      <w:numFmt w:val="bullet"/>
      <w:lvlText w:val="•"/>
      <w:lvlJc w:val="left"/>
      <w:pPr>
        <w:ind w:left="8744" w:hanging="354"/>
      </w:pPr>
      <w:rPr>
        <w:rFonts w:hint="default"/>
        <w:lang w:val="es-ES" w:eastAsia="en-US" w:bidi="ar-SA"/>
      </w:rPr>
    </w:lvl>
  </w:abstractNum>
  <w:abstractNum w:abstractNumId="22" w15:restartNumberingAfterBreak="0">
    <w:nsid w:val="579418F8"/>
    <w:multiLevelType w:val="hybridMultilevel"/>
    <w:tmpl w:val="E214B462"/>
    <w:lvl w:ilvl="0" w:tplc="AA82E1E4">
      <w:start w:val="1"/>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907ECD8A">
      <w:start w:val="1"/>
      <w:numFmt w:val="lowerLetter"/>
      <w:lvlText w:val="%2"/>
      <w:lvlJc w:val="left"/>
      <w:pPr>
        <w:ind w:left="10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B9D83528">
      <w:start w:val="1"/>
      <w:numFmt w:val="lowerRoman"/>
      <w:lvlText w:val="%3"/>
      <w:lvlJc w:val="left"/>
      <w:pPr>
        <w:ind w:left="18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CB7CD6DC">
      <w:start w:val="1"/>
      <w:numFmt w:val="decimal"/>
      <w:lvlText w:val="%4"/>
      <w:lvlJc w:val="left"/>
      <w:pPr>
        <w:ind w:left="25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62E69F28">
      <w:start w:val="1"/>
      <w:numFmt w:val="lowerLetter"/>
      <w:lvlText w:val="%5"/>
      <w:lvlJc w:val="left"/>
      <w:pPr>
        <w:ind w:left="325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596CF50E">
      <w:start w:val="1"/>
      <w:numFmt w:val="lowerRoman"/>
      <w:lvlText w:val="%6"/>
      <w:lvlJc w:val="left"/>
      <w:pPr>
        <w:ind w:left="397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A724ABE6">
      <w:start w:val="1"/>
      <w:numFmt w:val="decimal"/>
      <w:lvlText w:val="%7"/>
      <w:lvlJc w:val="left"/>
      <w:pPr>
        <w:ind w:left="46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0F883C54">
      <w:start w:val="1"/>
      <w:numFmt w:val="lowerLetter"/>
      <w:lvlText w:val="%8"/>
      <w:lvlJc w:val="left"/>
      <w:pPr>
        <w:ind w:left="54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C66CD2B2">
      <w:start w:val="1"/>
      <w:numFmt w:val="lowerRoman"/>
      <w:lvlText w:val="%9"/>
      <w:lvlJc w:val="left"/>
      <w:pPr>
        <w:ind w:left="61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58EE7A4C"/>
    <w:multiLevelType w:val="hybridMultilevel"/>
    <w:tmpl w:val="6A3ABFE2"/>
    <w:lvl w:ilvl="0" w:tplc="ECCE6254">
      <w:start w:val="1"/>
      <w:numFmt w:val="upperRoman"/>
      <w:lvlText w:val="%1."/>
      <w:lvlJc w:val="righ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E082345"/>
    <w:multiLevelType w:val="hybridMultilevel"/>
    <w:tmpl w:val="7D663372"/>
    <w:lvl w:ilvl="0" w:tplc="D0921A04">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6" w15:restartNumberingAfterBreak="0">
    <w:nsid w:val="65164002"/>
    <w:multiLevelType w:val="hybridMultilevel"/>
    <w:tmpl w:val="71B6E1B0"/>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6BA4D67"/>
    <w:multiLevelType w:val="hybridMultilevel"/>
    <w:tmpl w:val="38547ED8"/>
    <w:lvl w:ilvl="0" w:tplc="B366C960">
      <w:start w:val="1"/>
      <w:numFmt w:val="lowerRoman"/>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69425BBA"/>
    <w:multiLevelType w:val="hybridMultilevel"/>
    <w:tmpl w:val="A6F8E8AE"/>
    <w:lvl w:ilvl="0" w:tplc="ED86B712">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9" w15:restartNumberingAfterBreak="0">
    <w:nsid w:val="6B804B2E"/>
    <w:multiLevelType w:val="hybridMultilevel"/>
    <w:tmpl w:val="29B421C4"/>
    <w:lvl w:ilvl="0" w:tplc="FFFFFFFF">
      <w:start w:val="1"/>
      <w:numFmt w:val="upperRoman"/>
      <w:lvlText w:val="%1."/>
      <w:lvlJc w:val="left"/>
      <w:pPr>
        <w:ind w:left="1080" w:hanging="72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BCB29CB"/>
    <w:multiLevelType w:val="hybridMultilevel"/>
    <w:tmpl w:val="490237C8"/>
    <w:lvl w:ilvl="0" w:tplc="BFC09F7E">
      <w:start w:val="1"/>
      <w:numFmt w:val="lowerLetter"/>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32"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FEA284A"/>
    <w:multiLevelType w:val="hybridMultilevel"/>
    <w:tmpl w:val="11FE92C4"/>
    <w:lvl w:ilvl="0" w:tplc="BC44356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21026D2"/>
    <w:multiLevelType w:val="hybridMultilevel"/>
    <w:tmpl w:val="1A5EFED8"/>
    <w:lvl w:ilvl="0" w:tplc="AC2CC70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5" w15:restartNumberingAfterBreak="0">
    <w:nsid w:val="75340C31"/>
    <w:multiLevelType w:val="hybridMultilevel"/>
    <w:tmpl w:val="81B2E6D8"/>
    <w:lvl w:ilvl="0" w:tplc="B366C960">
      <w:start w:val="1"/>
      <w:numFmt w:val="lowerRoman"/>
      <w:lvlText w:val="%1."/>
      <w:lvlJc w:val="left"/>
      <w:pPr>
        <w:ind w:left="1713" w:hanging="72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36"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80B0F92"/>
    <w:multiLevelType w:val="hybridMultilevel"/>
    <w:tmpl w:val="6CB0FA7A"/>
    <w:lvl w:ilvl="0" w:tplc="080A001B">
      <w:start w:val="1"/>
      <w:numFmt w:val="lowerRoman"/>
      <w:lvlText w:val="%1."/>
      <w:lvlJc w:val="righ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38" w15:restartNumberingAfterBreak="0">
    <w:nsid w:val="7AD34831"/>
    <w:multiLevelType w:val="hybridMultilevel"/>
    <w:tmpl w:val="D1482D12"/>
    <w:lvl w:ilvl="0" w:tplc="78FE1326">
      <w:start w:val="1"/>
      <w:numFmt w:val="decimal"/>
      <w:lvlText w:val="%1."/>
      <w:lvlJc w:val="left"/>
      <w:pPr>
        <w:ind w:left="221" w:hanging="281"/>
      </w:pPr>
      <w:rPr>
        <w:rFonts w:ascii="Arial" w:eastAsia="Arial" w:hAnsi="Arial" w:cs="Arial" w:hint="default"/>
        <w:b w:val="0"/>
        <w:bCs w:val="0"/>
        <w:i/>
        <w:iCs/>
        <w:w w:val="100"/>
        <w:sz w:val="22"/>
        <w:szCs w:val="22"/>
        <w:lang w:val="es-ES" w:eastAsia="en-US" w:bidi="ar-SA"/>
      </w:rPr>
    </w:lvl>
    <w:lvl w:ilvl="1" w:tplc="C93A6774">
      <w:numFmt w:val="bullet"/>
      <w:lvlText w:val=""/>
      <w:lvlJc w:val="left"/>
      <w:pPr>
        <w:ind w:left="929" w:hanging="281"/>
      </w:pPr>
      <w:rPr>
        <w:rFonts w:ascii="Symbol" w:eastAsia="Symbol" w:hAnsi="Symbol" w:cs="Symbol" w:hint="default"/>
        <w:b/>
        <w:bCs/>
        <w:i w:val="0"/>
        <w:iCs w:val="0"/>
        <w:w w:val="100"/>
        <w:sz w:val="24"/>
        <w:szCs w:val="24"/>
        <w:lang w:val="es-ES" w:eastAsia="en-US" w:bidi="ar-SA"/>
      </w:rPr>
    </w:lvl>
    <w:lvl w:ilvl="2" w:tplc="B9C66004">
      <w:numFmt w:val="bullet"/>
      <w:lvlText w:val="•"/>
      <w:lvlJc w:val="left"/>
      <w:pPr>
        <w:ind w:left="1873" w:hanging="281"/>
      </w:pPr>
      <w:rPr>
        <w:rFonts w:hint="default"/>
        <w:lang w:val="es-ES" w:eastAsia="en-US" w:bidi="ar-SA"/>
      </w:rPr>
    </w:lvl>
    <w:lvl w:ilvl="3" w:tplc="CF1AB0BA">
      <w:numFmt w:val="bullet"/>
      <w:lvlText w:val="•"/>
      <w:lvlJc w:val="left"/>
      <w:pPr>
        <w:ind w:left="2826" w:hanging="281"/>
      </w:pPr>
      <w:rPr>
        <w:rFonts w:hint="default"/>
        <w:lang w:val="es-ES" w:eastAsia="en-US" w:bidi="ar-SA"/>
      </w:rPr>
    </w:lvl>
    <w:lvl w:ilvl="4" w:tplc="7F4609DE">
      <w:numFmt w:val="bullet"/>
      <w:lvlText w:val="•"/>
      <w:lvlJc w:val="left"/>
      <w:pPr>
        <w:ind w:left="3780" w:hanging="281"/>
      </w:pPr>
      <w:rPr>
        <w:rFonts w:hint="default"/>
        <w:lang w:val="es-ES" w:eastAsia="en-US" w:bidi="ar-SA"/>
      </w:rPr>
    </w:lvl>
    <w:lvl w:ilvl="5" w:tplc="00425542">
      <w:numFmt w:val="bullet"/>
      <w:lvlText w:val="•"/>
      <w:lvlJc w:val="left"/>
      <w:pPr>
        <w:ind w:left="4733" w:hanging="281"/>
      </w:pPr>
      <w:rPr>
        <w:rFonts w:hint="default"/>
        <w:lang w:val="es-ES" w:eastAsia="en-US" w:bidi="ar-SA"/>
      </w:rPr>
    </w:lvl>
    <w:lvl w:ilvl="6" w:tplc="46E4EB26">
      <w:numFmt w:val="bullet"/>
      <w:lvlText w:val="•"/>
      <w:lvlJc w:val="left"/>
      <w:pPr>
        <w:ind w:left="5686" w:hanging="281"/>
      </w:pPr>
      <w:rPr>
        <w:rFonts w:hint="default"/>
        <w:lang w:val="es-ES" w:eastAsia="en-US" w:bidi="ar-SA"/>
      </w:rPr>
    </w:lvl>
    <w:lvl w:ilvl="7" w:tplc="91C00972">
      <w:numFmt w:val="bullet"/>
      <w:lvlText w:val="•"/>
      <w:lvlJc w:val="left"/>
      <w:pPr>
        <w:ind w:left="6640" w:hanging="281"/>
      </w:pPr>
      <w:rPr>
        <w:rFonts w:hint="default"/>
        <w:lang w:val="es-ES" w:eastAsia="en-US" w:bidi="ar-SA"/>
      </w:rPr>
    </w:lvl>
    <w:lvl w:ilvl="8" w:tplc="9C68E274">
      <w:numFmt w:val="bullet"/>
      <w:lvlText w:val="•"/>
      <w:lvlJc w:val="left"/>
      <w:pPr>
        <w:ind w:left="7593" w:hanging="281"/>
      </w:pPr>
      <w:rPr>
        <w:rFonts w:hint="default"/>
        <w:lang w:val="es-ES" w:eastAsia="en-US" w:bidi="ar-SA"/>
      </w:rPr>
    </w:lvl>
  </w:abstractNum>
  <w:num w:numId="1" w16cid:durableId="2118867447">
    <w:abstractNumId w:val="30"/>
  </w:num>
  <w:num w:numId="2" w16cid:durableId="835801197">
    <w:abstractNumId w:val="32"/>
  </w:num>
  <w:num w:numId="3" w16cid:durableId="2125728478">
    <w:abstractNumId w:val="17"/>
  </w:num>
  <w:num w:numId="4" w16cid:durableId="1180317202">
    <w:abstractNumId w:val="36"/>
  </w:num>
  <w:num w:numId="5" w16cid:durableId="1359426482">
    <w:abstractNumId w:val="24"/>
  </w:num>
  <w:num w:numId="6" w16cid:durableId="172652948">
    <w:abstractNumId w:val="12"/>
  </w:num>
  <w:num w:numId="7" w16cid:durableId="700135222">
    <w:abstractNumId w:val="4"/>
  </w:num>
  <w:num w:numId="8" w16cid:durableId="194463729">
    <w:abstractNumId w:val="9"/>
  </w:num>
  <w:num w:numId="9" w16cid:durableId="1659646720">
    <w:abstractNumId w:val="10"/>
  </w:num>
  <w:num w:numId="10" w16cid:durableId="1048186661">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2828842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481950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068472">
    <w:abstractNumId w:val="15"/>
  </w:num>
  <w:num w:numId="14" w16cid:durableId="1296834548">
    <w:abstractNumId w:val="19"/>
  </w:num>
  <w:num w:numId="15" w16cid:durableId="1190680270">
    <w:abstractNumId w:val="16"/>
  </w:num>
  <w:num w:numId="16" w16cid:durableId="2079206193">
    <w:abstractNumId w:val="11"/>
  </w:num>
  <w:num w:numId="17" w16cid:durableId="1738241707">
    <w:abstractNumId w:val="38"/>
  </w:num>
  <w:num w:numId="18" w16cid:durableId="728380544">
    <w:abstractNumId w:val="35"/>
  </w:num>
  <w:num w:numId="19" w16cid:durableId="1981038002">
    <w:abstractNumId w:val="2"/>
  </w:num>
  <w:num w:numId="20" w16cid:durableId="359207358">
    <w:abstractNumId w:val="31"/>
  </w:num>
  <w:num w:numId="21" w16cid:durableId="1888296222">
    <w:abstractNumId w:val="5"/>
  </w:num>
  <w:num w:numId="22" w16cid:durableId="267542646">
    <w:abstractNumId w:val="21"/>
  </w:num>
  <w:num w:numId="23" w16cid:durableId="1318611432">
    <w:abstractNumId w:val="20"/>
  </w:num>
  <w:num w:numId="24" w16cid:durableId="1660962578">
    <w:abstractNumId w:val="14"/>
  </w:num>
  <w:num w:numId="25" w16cid:durableId="1175532046">
    <w:abstractNumId w:val="7"/>
  </w:num>
  <w:num w:numId="26" w16cid:durableId="36007459">
    <w:abstractNumId w:val="1"/>
  </w:num>
  <w:num w:numId="27" w16cid:durableId="1716469370">
    <w:abstractNumId w:val="29"/>
  </w:num>
  <w:num w:numId="28" w16cid:durableId="955020750">
    <w:abstractNumId w:val="8"/>
  </w:num>
  <w:num w:numId="29" w16cid:durableId="1419673454">
    <w:abstractNumId w:val="0"/>
  </w:num>
  <w:num w:numId="30" w16cid:durableId="27995387">
    <w:abstractNumId w:val="23"/>
  </w:num>
  <w:num w:numId="31" w16cid:durableId="843857452">
    <w:abstractNumId w:val="6"/>
  </w:num>
  <w:num w:numId="32" w16cid:durableId="175732251">
    <w:abstractNumId w:val="13"/>
  </w:num>
  <w:num w:numId="33" w16cid:durableId="1548756920">
    <w:abstractNumId w:val="27"/>
  </w:num>
  <w:num w:numId="34" w16cid:durableId="822894908">
    <w:abstractNumId w:val="28"/>
  </w:num>
  <w:num w:numId="35" w16cid:durableId="341393224">
    <w:abstractNumId w:val="25"/>
  </w:num>
  <w:num w:numId="36" w16cid:durableId="86924049">
    <w:abstractNumId w:val="34"/>
  </w:num>
  <w:num w:numId="37" w16cid:durableId="517935865">
    <w:abstractNumId w:val="3"/>
  </w:num>
  <w:num w:numId="38" w16cid:durableId="1101409765">
    <w:abstractNumId w:val="26"/>
  </w:num>
  <w:num w:numId="39" w16cid:durableId="484321391">
    <w:abstractNumId w:val="33"/>
  </w:num>
  <w:num w:numId="40" w16cid:durableId="9786057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5FD0"/>
    <w:rsid w:val="000122FA"/>
    <w:rsid w:val="00013F6E"/>
    <w:rsid w:val="00023E22"/>
    <w:rsid w:val="00030405"/>
    <w:rsid w:val="00032A9C"/>
    <w:rsid w:val="00034700"/>
    <w:rsid w:val="00035C44"/>
    <w:rsid w:val="00037AEC"/>
    <w:rsid w:val="00043637"/>
    <w:rsid w:val="00046698"/>
    <w:rsid w:val="00050E93"/>
    <w:rsid w:val="00050EB7"/>
    <w:rsid w:val="000512AF"/>
    <w:rsid w:val="00051622"/>
    <w:rsid w:val="00053B67"/>
    <w:rsid w:val="00064133"/>
    <w:rsid w:val="00073030"/>
    <w:rsid w:val="00075973"/>
    <w:rsid w:val="0008001E"/>
    <w:rsid w:val="00081E85"/>
    <w:rsid w:val="000857DE"/>
    <w:rsid w:val="0009164A"/>
    <w:rsid w:val="00091B12"/>
    <w:rsid w:val="00095B1E"/>
    <w:rsid w:val="00095BF8"/>
    <w:rsid w:val="00096B47"/>
    <w:rsid w:val="000A23B0"/>
    <w:rsid w:val="000A2CB8"/>
    <w:rsid w:val="000A5EA1"/>
    <w:rsid w:val="000B4CCB"/>
    <w:rsid w:val="000B5579"/>
    <w:rsid w:val="000B7CBB"/>
    <w:rsid w:val="000C2306"/>
    <w:rsid w:val="000C3E28"/>
    <w:rsid w:val="000C49B5"/>
    <w:rsid w:val="000D01CB"/>
    <w:rsid w:val="000D1D8B"/>
    <w:rsid w:val="000D1E9E"/>
    <w:rsid w:val="000D76C8"/>
    <w:rsid w:val="000E15C7"/>
    <w:rsid w:val="000E24ED"/>
    <w:rsid w:val="000E602C"/>
    <w:rsid w:val="000F1A99"/>
    <w:rsid w:val="000F3951"/>
    <w:rsid w:val="000F3FA4"/>
    <w:rsid w:val="00102FBD"/>
    <w:rsid w:val="0010332A"/>
    <w:rsid w:val="00104B17"/>
    <w:rsid w:val="00107641"/>
    <w:rsid w:val="00115073"/>
    <w:rsid w:val="00120F19"/>
    <w:rsid w:val="00121440"/>
    <w:rsid w:val="00124037"/>
    <w:rsid w:val="001256C7"/>
    <w:rsid w:val="001257E6"/>
    <w:rsid w:val="00126223"/>
    <w:rsid w:val="00126D44"/>
    <w:rsid w:val="00130392"/>
    <w:rsid w:val="001312B8"/>
    <w:rsid w:val="001314A7"/>
    <w:rsid w:val="001316A8"/>
    <w:rsid w:val="00132F74"/>
    <w:rsid w:val="001375CA"/>
    <w:rsid w:val="00143179"/>
    <w:rsid w:val="001515C1"/>
    <w:rsid w:val="0015681F"/>
    <w:rsid w:val="00156DBA"/>
    <w:rsid w:val="00157CBE"/>
    <w:rsid w:val="001649A3"/>
    <w:rsid w:val="0016722D"/>
    <w:rsid w:val="00171074"/>
    <w:rsid w:val="00171965"/>
    <w:rsid w:val="001720FA"/>
    <w:rsid w:val="0017285C"/>
    <w:rsid w:val="001764D8"/>
    <w:rsid w:val="00177399"/>
    <w:rsid w:val="00177708"/>
    <w:rsid w:val="00181C20"/>
    <w:rsid w:val="00181D97"/>
    <w:rsid w:val="001823D2"/>
    <w:rsid w:val="00182BFF"/>
    <w:rsid w:val="00186E6F"/>
    <w:rsid w:val="00190F08"/>
    <w:rsid w:val="001921B1"/>
    <w:rsid w:val="001A7F4C"/>
    <w:rsid w:val="001C0CD9"/>
    <w:rsid w:val="001C3717"/>
    <w:rsid w:val="001C536F"/>
    <w:rsid w:val="001D3D82"/>
    <w:rsid w:val="001E1039"/>
    <w:rsid w:val="001E23FE"/>
    <w:rsid w:val="001E379A"/>
    <w:rsid w:val="001E6DA5"/>
    <w:rsid w:val="001F0976"/>
    <w:rsid w:val="001F14C2"/>
    <w:rsid w:val="001F1FDB"/>
    <w:rsid w:val="001F4C3F"/>
    <w:rsid w:val="00201ECA"/>
    <w:rsid w:val="00205389"/>
    <w:rsid w:val="00210D49"/>
    <w:rsid w:val="00211C44"/>
    <w:rsid w:val="002142F0"/>
    <w:rsid w:val="002146AE"/>
    <w:rsid w:val="0022366B"/>
    <w:rsid w:val="00230220"/>
    <w:rsid w:val="00243516"/>
    <w:rsid w:val="002444D7"/>
    <w:rsid w:val="00245ECD"/>
    <w:rsid w:val="002540AD"/>
    <w:rsid w:val="00255898"/>
    <w:rsid w:val="00260EED"/>
    <w:rsid w:val="002661D0"/>
    <w:rsid w:val="002673CC"/>
    <w:rsid w:val="002707EE"/>
    <w:rsid w:val="00275344"/>
    <w:rsid w:val="002766AE"/>
    <w:rsid w:val="00283B3C"/>
    <w:rsid w:val="00286A06"/>
    <w:rsid w:val="002923A7"/>
    <w:rsid w:val="0029267A"/>
    <w:rsid w:val="00294AA1"/>
    <w:rsid w:val="00294D50"/>
    <w:rsid w:val="00296F48"/>
    <w:rsid w:val="002A43FC"/>
    <w:rsid w:val="002A6662"/>
    <w:rsid w:val="002A6973"/>
    <w:rsid w:val="002B37F0"/>
    <w:rsid w:val="002B5C12"/>
    <w:rsid w:val="002B6F5A"/>
    <w:rsid w:val="002B7F53"/>
    <w:rsid w:val="002C1749"/>
    <w:rsid w:val="002C473E"/>
    <w:rsid w:val="002D713E"/>
    <w:rsid w:val="002E0209"/>
    <w:rsid w:val="002E0A1A"/>
    <w:rsid w:val="002E0FBA"/>
    <w:rsid w:val="002E1BAF"/>
    <w:rsid w:val="002E3185"/>
    <w:rsid w:val="002E69B3"/>
    <w:rsid w:val="002F2F26"/>
    <w:rsid w:val="002F373C"/>
    <w:rsid w:val="002F426B"/>
    <w:rsid w:val="002F5EA3"/>
    <w:rsid w:val="002F69AA"/>
    <w:rsid w:val="0030135B"/>
    <w:rsid w:val="003116E3"/>
    <w:rsid w:val="00315EBB"/>
    <w:rsid w:val="00326808"/>
    <w:rsid w:val="00326A9F"/>
    <w:rsid w:val="0032719C"/>
    <w:rsid w:val="00330415"/>
    <w:rsid w:val="003406B3"/>
    <w:rsid w:val="00343ACD"/>
    <w:rsid w:val="003563C5"/>
    <w:rsid w:val="00364368"/>
    <w:rsid w:val="003655D8"/>
    <w:rsid w:val="003658B4"/>
    <w:rsid w:val="0037048F"/>
    <w:rsid w:val="003739AE"/>
    <w:rsid w:val="00375F38"/>
    <w:rsid w:val="00377DA8"/>
    <w:rsid w:val="00381BD3"/>
    <w:rsid w:val="00387BB3"/>
    <w:rsid w:val="00396072"/>
    <w:rsid w:val="003971B1"/>
    <w:rsid w:val="003A0AD1"/>
    <w:rsid w:val="003A361B"/>
    <w:rsid w:val="003A39CB"/>
    <w:rsid w:val="003B1742"/>
    <w:rsid w:val="003B24A3"/>
    <w:rsid w:val="003B3921"/>
    <w:rsid w:val="003B6D79"/>
    <w:rsid w:val="003C1AD5"/>
    <w:rsid w:val="003C2302"/>
    <w:rsid w:val="003D0925"/>
    <w:rsid w:val="003D3140"/>
    <w:rsid w:val="003E0039"/>
    <w:rsid w:val="003E2E36"/>
    <w:rsid w:val="003F35FF"/>
    <w:rsid w:val="003F5D95"/>
    <w:rsid w:val="003F69C0"/>
    <w:rsid w:val="004032C5"/>
    <w:rsid w:val="0040452A"/>
    <w:rsid w:val="00405C6D"/>
    <w:rsid w:val="00411395"/>
    <w:rsid w:val="004130DC"/>
    <w:rsid w:val="004138A2"/>
    <w:rsid w:val="004147F8"/>
    <w:rsid w:val="00415155"/>
    <w:rsid w:val="00416085"/>
    <w:rsid w:val="004162EA"/>
    <w:rsid w:val="00420FEC"/>
    <w:rsid w:val="004219B3"/>
    <w:rsid w:val="00421A3B"/>
    <w:rsid w:val="004239CD"/>
    <w:rsid w:val="00424C08"/>
    <w:rsid w:val="004272A2"/>
    <w:rsid w:val="0043061A"/>
    <w:rsid w:val="00437D8A"/>
    <w:rsid w:val="004404D7"/>
    <w:rsid w:val="0044095C"/>
    <w:rsid w:val="0044139D"/>
    <w:rsid w:val="0044738E"/>
    <w:rsid w:val="00452878"/>
    <w:rsid w:val="00461C9C"/>
    <w:rsid w:val="00462771"/>
    <w:rsid w:val="0046552F"/>
    <w:rsid w:val="00470BD2"/>
    <w:rsid w:val="0047270E"/>
    <w:rsid w:val="00475D50"/>
    <w:rsid w:val="0047729C"/>
    <w:rsid w:val="00480BD8"/>
    <w:rsid w:val="00490C26"/>
    <w:rsid w:val="00494304"/>
    <w:rsid w:val="00495EA7"/>
    <w:rsid w:val="004A05B7"/>
    <w:rsid w:val="004A2BCD"/>
    <w:rsid w:val="004A2CEB"/>
    <w:rsid w:val="004A3C22"/>
    <w:rsid w:val="004A3CD8"/>
    <w:rsid w:val="004A3F6A"/>
    <w:rsid w:val="004B1C76"/>
    <w:rsid w:val="004B5B04"/>
    <w:rsid w:val="004B7241"/>
    <w:rsid w:val="004C76C7"/>
    <w:rsid w:val="004D2E5F"/>
    <w:rsid w:val="004D5A7C"/>
    <w:rsid w:val="004D7105"/>
    <w:rsid w:val="004E216B"/>
    <w:rsid w:val="004E24CE"/>
    <w:rsid w:val="004E2E13"/>
    <w:rsid w:val="004E3186"/>
    <w:rsid w:val="004E4974"/>
    <w:rsid w:val="004F1844"/>
    <w:rsid w:val="004F65DE"/>
    <w:rsid w:val="004F7E13"/>
    <w:rsid w:val="005025D7"/>
    <w:rsid w:val="0050560A"/>
    <w:rsid w:val="00505DF7"/>
    <w:rsid w:val="00512CD4"/>
    <w:rsid w:val="00516652"/>
    <w:rsid w:val="00525D9E"/>
    <w:rsid w:val="00533505"/>
    <w:rsid w:val="00533CAB"/>
    <w:rsid w:val="005346CF"/>
    <w:rsid w:val="00536387"/>
    <w:rsid w:val="00542C8F"/>
    <w:rsid w:val="00544547"/>
    <w:rsid w:val="00545EB0"/>
    <w:rsid w:val="005537D0"/>
    <w:rsid w:val="00563D4D"/>
    <w:rsid w:val="0058013D"/>
    <w:rsid w:val="0058123F"/>
    <w:rsid w:val="00581795"/>
    <w:rsid w:val="0058572B"/>
    <w:rsid w:val="00585A6B"/>
    <w:rsid w:val="00585C32"/>
    <w:rsid w:val="00585CB6"/>
    <w:rsid w:val="00586F6C"/>
    <w:rsid w:val="005901F1"/>
    <w:rsid w:val="00592EFC"/>
    <w:rsid w:val="005B12BB"/>
    <w:rsid w:val="005B3FAD"/>
    <w:rsid w:val="005B5263"/>
    <w:rsid w:val="005B70CF"/>
    <w:rsid w:val="005B72A8"/>
    <w:rsid w:val="005C4F96"/>
    <w:rsid w:val="005D0E58"/>
    <w:rsid w:val="005D1AA3"/>
    <w:rsid w:val="005D3069"/>
    <w:rsid w:val="005D3303"/>
    <w:rsid w:val="005F026D"/>
    <w:rsid w:val="005F53DB"/>
    <w:rsid w:val="005F68C2"/>
    <w:rsid w:val="005F780A"/>
    <w:rsid w:val="005F7FEB"/>
    <w:rsid w:val="006055C3"/>
    <w:rsid w:val="006114F8"/>
    <w:rsid w:val="00611D53"/>
    <w:rsid w:val="00632B1A"/>
    <w:rsid w:val="00632DCA"/>
    <w:rsid w:val="006368F4"/>
    <w:rsid w:val="0064482D"/>
    <w:rsid w:val="00652003"/>
    <w:rsid w:val="00653ECE"/>
    <w:rsid w:val="00655B98"/>
    <w:rsid w:val="00662BC2"/>
    <w:rsid w:val="00672B79"/>
    <w:rsid w:val="006776CF"/>
    <w:rsid w:val="00680D2D"/>
    <w:rsid w:val="00680EFA"/>
    <w:rsid w:val="0068530C"/>
    <w:rsid w:val="0068704B"/>
    <w:rsid w:val="006A15B9"/>
    <w:rsid w:val="006A2FD7"/>
    <w:rsid w:val="006A4782"/>
    <w:rsid w:val="006A5F30"/>
    <w:rsid w:val="006A64AB"/>
    <w:rsid w:val="006A66B4"/>
    <w:rsid w:val="006A6AD2"/>
    <w:rsid w:val="006B169E"/>
    <w:rsid w:val="006B5882"/>
    <w:rsid w:val="006C5D9C"/>
    <w:rsid w:val="006C67F0"/>
    <w:rsid w:val="006D0001"/>
    <w:rsid w:val="006D67BC"/>
    <w:rsid w:val="006E139F"/>
    <w:rsid w:val="006E547B"/>
    <w:rsid w:val="006E5913"/>
    <w:rsid w:val="006E6534"/>
    <w:rsid w:val="006F00DC"/>
    <w:rsid w:val="006F45E0"/>
    <w:rsid w:val="006F635A"/>
    <w:rsid w:val="00702953"/>
    <w:rsid w:val="00717320"/>
    <w:rsid w:val="007173AE"/>
    <w:rsid w:val="007200E8"/>
    <w:rsid w:val="00722D67"/>
    <w:rsid w:val="00725DB5"/>
    <w:rsid w:val="00734C0D"/>
    <w:rsid w:val="0073520A"/>
    <w:rsid w:val="00735861"/>
    <w:rsid w:val="00736AF7"/>
    <w:rsid w:val="00740383"/>
    <w:rsid w:val="00740E81"/>
    <w:rsid w:val="00741D53"/>
    <w:rsid w:val="00742A47"/>
    <w:rsid w:val="00752B93"/>
    <w:rsid w:val="007537D2"/>
    <w:rsid w:val="00754E62"/>
    <w:rsid w:val="00760556"/>
    <w:rsid w:val="00762C66"/>
    <w:rsid w:val="00770CAF"/>
    <w:rsid w:val="007742AD"/>
    <w:rsid w:val="00774DCA"/>
    <w:rsid w:val="0077650C"/>
    <w:rsid w:val="00776AC2"/>
    <w:rsid w:val="007822D0"/>
    <w:rsid w:val="00782ACA"/>
    <w:rsid w:val="0079114F"/>
    <w:rsid w:val="00791F74"/>
    <w:rsid w:val="007A2999"/>
    <w:rsid w:val="007A3309"/>
    <w:rsid w:val="007A549A"/>
    <w:rsid w:val="007B1887"/>
    <w:rsid w:val="007C1A38"/>
    <w:rsid w:val="007D245A"/>
    <w:rsid w:val="007E1721"/>
    <w:rsid w:val="007E433A"/>
    <w:rsid w:val="007E592A"/>
    <w:rsid w:val="007F0CC8"/>
    <w:rsid w:val="007F0F7A"/>
    <w:rsid w:val="007F1251"/>
    <w:rsid w:val="0080245F"/>
    <w:rsid w:val="0080289E"/>
    <w:rsid w:val="00811782"/>
    <w:rsid w:val="00814A3C"/>
    <w:rsid w:val="008157F5"/>
    <w:rsid w:val="00822C26"/>
    <w:rsid w:val="008236B6"/>
    <w:rsid w:val="008261DF"/>
    <w:rsid w:val="008411B1"/>
    <w:rsid w:val="00841755"/>
    <w:rsid w:val="00851BB5"/>
    <w:rsid w:val="00856F72"/>
    <w:rsid w:val="008634B2"/>
    <w:rsid w:val="00864C73"/>
    <w:rsid w:val="0087347B"/>
    <w:rsid w:val="00876FC4"/>
    <w:rsid w:val="00877E24"/>
    <w:rsid w:val="00884FE7"/>
    <w:rsid w:val="0088640D"/>
    <w:rsid w:val="00886450"/>
    <w:rsid w:val="0089584D"/>
    <w:rsid w:val="008A1388"/>
    <w:rsid w:val="008A6219"/>
    <w:rsid w:val="008B1831"/>
    <w:rsid w:val="008B2AF0"/>
    <w:rsid w:val="008B51D0"/>
    <w:rsid w:val="008B59C5"/>
    <w:rsid w:val="008B7357"/>
    <w:rsid w:val="008C54C0"/>
    <w:rsid w:val="008C5FF1"/>
    <w:rsid w:val="008C7FD6"/>
    <w:rsid w:val="008D1DB5"/>
    <w:rsid w:val="008D2C06"/>
    <w:rsid w:val="008E2F44"/>
    <w:rsid w:val="008F37D6"/>
    <w:rsid w:val="008F4E16"/>
    <w:rsid w:val="008F7600"/>
    <w:rsid w:val="0090131E"/>
    <w:rsid w:val="00901B47"/>
    <w:rsid w:val="00902CE1"/>
    <w:rsid w:val="00910AAB"/>
    <w:rsid w:val="00910EE1"/>
    <w:rsid w:val="00914291"/>
    <w:rsid w:val="009151DE"/>
    <w:rsid w:val="00916595"/>
    <w:rsid w:val="00922DE1"/>
    <w:rsid w:val="0092427D"/>
    <w:rsid w:val="009253EC"/>
    <w:rsid w:val="0093110F"/>
    <w:rsid w:val="009339DD"/>
    <w:rsid w:val="009341D7"/>
    <w:rsid w:val="00936FCF"/>
    <w:rsid w:val="00937211"/>
    <w:rsid w:val="00937C07"/>
    <w:rsid w:val="00940900"/>
    <w:rsid w:val="009422CC"/>
    <w:rsid w:val="00950B3F"/>
    <w:rsid w:val="0095409B"/>
    <w:rsid w:val="00957F79"/>
    <w:rsid w:val="00960B3E"/>
    <w:rsid w:val="00962BF3"/>
    <w:rsid w:val="009636F3"/>
    <w:rsid w:val="009646EB"/>
    <w:rsid w:val="00966F81"/>
    <w:rsid w:val="00967FF2"/>
    <w:rsid w:val="0097279B"/>
    <w:rsid w:val="00972F46"/>
    <w:rsid w:val="0097476C"/>
    <w:rsid w:val="00984C13"/>
    <w:rsid w:val="00986762"/>
    <w:rsid w:val="00986CAC"/>
    <w:rsid w:val="009914D5"/>
    <w:rsid w:val="0099240E"/>
    <w:rsid w:val="00992DEC"/>
    <w:rsid w:val="00995886"/>
    <w:rsid w:val="00995CFC"/>
    <w:rsid w:val="00997C9A"/>
    <w:rsid w:val="009A76ED"/>
    <w:rsid w:val="009B0695"/>
    <w:rsid w:val="009B1B03"/>
    <w:rsid w:val="009B6516"/>
    <w:rsid w:val="009C07D8"/>
    <w:rsid w:val="009C0BD0"/>
    <w:rsid w:val="009C194C"/>
    <w:rsid w:val="009C6BAC"/>
    <w:rsid w:val="009D11BD"/>
    <w:rsid w:val="009D22EF"/>
    <w:rsid w:val="009D6BCB"/>
    <w:rsid w:val="009D7B0C"/>
    <w:rsid w:val="009E08DD"/>
    <w:rsid w:val="009E282D"/>
    <w:rsid w:val="009E4046"/>
    <w:rsid w:val="009F6379"/>
    <w:rsid w:val="00A03A6B"/>
    <w:rsid w:val="00A1343D"/>
    <w:rsid w:val="00A14FC2"/>
    <w:rsid w:val="00A176D7"/>
    <w:rsid w:val="00A27D27"/>
    <w:rsid w:val="00A342AB"/>
    <w:rsid w:val="00A40EE8"/>
    <w:rsid w:val="00A43002"/>
    <w:rsid w:val="00A50A29"/>
    <w:rsid w:val="00A547E1"/>
    <w:rsid w:val="00A57400"/>
    <w:rsid w:val="00A6118B"/>
    <w:rsid w:val="00A6692F"/>
    <w:rsid w:val="00A67978"/>
    <w:rsid w:val="00A7526A"/>
    <w:rsid w:val="00A7578A"/>
    <w:rsid w:val="00A77B25"/>
    <w:rsid w:val="00A8378B"/>
    <w:rsid w:val="00A85CD7"/>
    <w:rsid w:val="00A8723E"/>
    <w:rsid w:val="00A93BEB"/>
    <w:rsid w:val="00A93EE2"/>
    <w:rsid w:val="00A96752"/>
    <w:rsid w:val="00A96771"/>
    <w:rsid w:val="00A9719E"/>
    <w:rsid w:val="00A971EA"/>
    <w:rsid w:val="00A97ECA"/>
    <w:rsid w:val="00AA06B6"/>
    <w:rsid w:val="00AA4B37"/>
    <w:rsid w:val="00AA52B2"/>
    <w:rsid w:val="00AA6092"/>
    <w:rsid w:val="00AA7F83"/>
    <w:rsid w:val="00AB213A"/>
    <w:rsid w:val="00AB369E"/>
    <w:rsid w:val="00AB43D4"/>
    <w:rsid w:val="00AC226F"/>
    <w:rsid w:val="00AC2EE3"/>
    <w:rsid w:val="00AD129B"/>
    <w:rsid w:val="00AD3B11"/>
    <w:rsid w:val="00AE1AA8"/>
    <w:rsid w:val="00AF1B54"/>
    <w:rsid w:val="00B0237A"/>
    <w:rsid w:val="00B048D9"/>
    <w:rsid w:val="00B107FF"/>
    <w:rsid w:val="00B16675"/>
    <w:rsid w:val="00B2298E"/>
    <w:rsid w:val="00B4198F"/>
    <w:rsid w:val="00B422A4"/>
    <w:rsid w:val="00B45845"/>
    <w:rsid w:val="00B460AC"/>
    <w:rsid w:val="00B52817"/>
    <w:rsid w:val="00B56EC5"/>
    <w:rsid w:val="00B6291A"/>
    <w:rsid w:val="00B630B8"/>
    <w:rsid w:val="00B6649A"/>
    <w:rsid w:val="00B66D8E"/>
    <w:rsid w:val="00B67A6A"/>
    <w:rsid w:val="00B71C53"/>
    <w:rsid w:val="00B731CC"/>
    <w:rsid w:val="00B739AE"/>
    <w:rsid w:val="00B8038F"/>
    <w:rsid w:val="00B82D44"/>
    <w:rsid w:val="00B82FF9"/>
    <w:rsid w:val="00B84D37"/>
    <w:rsid w:val="00BA1978"/>
    <w:rsid w:val="00BA2143"/>
    <w:rsid w:val="00BA2D04"/>
    <w:rsid w:val="00BA7374"/>
    <w:rsid w:val="00BB366F"/>
    <w:rsid w:val="00BB4D00"/>
    <w:rsid w:val="00BC1B10"/>
    <w:rsid w:val="00BD27AA"/>
    <w:rsid w:val="00BE05F0"/>
    <w:rsid w:val="00BE2BA8"/>
    <w:rsid w:val="00BE3AD2"/>
    <w:rsid w:val="00BE450A"/>
    <w:rsid w:val="00BE5967"/>
    <w:rsid w:val="00BE5E20"/>
    <w:rsid w:val="00BE7599"/>
    <w:rsid w:val="00BF5436"/>
    <w:rsid w:val="00BF6A5F"/>
    <w:rsid w:val="00BF7DD7"/>
    <w:rsid w:val="00C008CB"/>
    <w:rsid w:val="00C02EE2"/>
    <w:rsid w:val="00C12240"/>
    <w:rsid w:val="00C23C4B"/>
    <w:rsid w:val="00C244DA"/>
    <w:rsid w:val="00C27318"/>
    <w:rsid w:val="00C31452"/>
    <w:rsid w:val="00C33FB1"/>
    <w:rsid w:val="00C359DF"/>
    <w:rsid w:val="00C50DAB"/>
    <w:rsid w:val="00C50E41"/>
    <w:rsid w:val="00C53901"/>
    <w:rsid w:val="00C53C60"/>
    <w:rsid w:val="00C601D1"/>
    <w:rsid w:val="00C6274D"/>
    <w:rsid w:val="00C6347F"/>
    <w:rsid w:val="00C75348"/>
    <w:rsid w:val="00C7779C"/>
    <w:rsid w:val="00CA402E"/>
    <w:rsid w:val="00CA4EC9"/>
    <w:rsid w:val="00CA5F19"/>
    <w:rsid w:val="00CB10CC"/>
    <w:rsid w:val="00CB169D"/>
    <w:rsid w:val="00CB4E84"/>
    <w:rsid w:val="00CB51D5"/>
    <w:rsid w:val="00CC4070"/>
    <w:rsid w:val="00CC695C"/>
    <w:rsid w:val="00CD2602"/>
    <w:rsid w:val="00CD55A1"/>
    <w:rsid w:val="00CE06E4"/>
    <w:rsid w:val="00CE1875"/>
    <w:rsid w:val="00CE58B8"/>
    <w:rsid w:val="00CE7355"/>
    <w:rsid w:val="00CF2DC4"/>
    <w:rsid w:val="00CF6A9A"/>
    <w:rsid w:val="00D0089F"/>
    <w:rsid w:val="00D00CC0"/>
    <w:rsid w:val="00D01826"/>
    <w:rsid w:val="00D06006"/>
    <w:rsid w:val="00D06103"/>
    <w:rsid w:val="00D07A41"/>
    <w:rsid w:val="00D10E31"/>
    <w:rsid w:val="00D2566F"/>
    <w:rsid w:val="00D30014"/>
    <w:rsid w:val="00D33BA2"/>
    <w:rsid w:val="00D34337"/>
    <w:rsid w:val="00D34720"/>
    <w:rsid w:val="00D44E46"/>
    <w:rsid w:val="00D6020F"/>
    <w:rsid w:val="00D61C81"/>
    <w:rsid w:val="00D640CD"/>
    <w:rsid w:val="00D647F2"/>
    <w:rsid w:val="00D71392"/>
    <w:rsid w:val="00D71D22"/>
    <w:rsid w:val="00D77EF6"/>
    <w:rsid w:val="00D827F0"/>
    <w:rsid w:val="00D854EE"/>
    <w:rsid w:val="00D90709"/>
    <w:rsid w:val="00D91591"/>
    <w:rsid w:val="00DA117E"/>
    <w:rsid w:val="00DA3661"/>
    <w:rsid w:val="00DA661A"/>
    <w:rsid w:val="00DA6B8A"/>
    <w:rsid w:val="00DA6D1D"/>
    <w:rsid w:val="00DA7B2B"/>
    <w:rsid w:val="00DB0641"/>
    <w:rsid w:val="00DB0ABF"/>
    <w:rsid w:val="00DB12E7"/>
    <w:rsid w:val="00DB2001"/>
    <w:rsid w:val="00DB21AB"/>
    <w:rsid w:val="00DB257D"/>
    <w:rsid w:val="00DB5ACE"/>
    <w:rsid w:val="00DC22C9"/>
    <w:rsid w:val="00DC5D57"/>
    <w:rsid w:val="00DC6774"/>
    <w:rsid w:val="00DC6D9D"/>
    <w:rsid w:val="00DD0AF0"/>
    <w:rsid w:val="00DD2A2D"/>
    <w:rsid w:val="00DD3883"/>
    <w:rsid w:val="00DD51D3"/>
    <w:rsid w:val="00DD6B17"/>
    <w:rsid w:val="00DE2803"/>
    <w:rsid w:val="00DE33AF"/>
    <w:rsid w:val="00DE7750"/>
    <w:rsid w:val="00DF6748"/>
    <w:rsid w:val="00E026BF"/>
    <w:rsid w:val="00E05331"/>
    <w:rsid w:val="00E075D3"/>
    <w:rsid w:val="00E210F2"/>
    <w:rsid w:val="00E24D4B"/>
    <w:rsid w:val="00E2519B"/>
    <w:rsid w:val="00E326E8"/>
    <w:rsid w:val="00E32F58"/>
    <w:rsid w:val="00E3558A"/>
    <w:rsid w:val="00E35A09"/>
    <w:rsid w:val="00E372D4"/>
    <w:rsid w:val="00E440EE"/>
    <w:rsid w:val="00E5014B"/>
    <w:rsid w:val="00E527F9"/>
    <w:rsid w:val="00E54C4C"/>
    <w:rsid w:val="00E5633A"/>
    <w:rsid w:val="00E57981"/>
    <w:rsid w:val="00E61F88"/>
    <w:rsid w:val="00E711BB"/>
    <w:rsid w:val="00E71577"/>
    <w:rsid w:val="00E8494B"/>
    <w:rsid w:val="00E85AB8"/>
    <w:rsid w:val="00E8678A"/>
    <w:rsid w:val="00E94374"/>
    <w:rsid w:val="00E95643"/>
    <w:rsid w:val="00EA05C0"/>
    <w:rsid w:val="00EA0C8E"/>
    <w:rsid w:val="00EA4F31"/>
    <w:rsid w:val="00EA5498"/>
    <w:rsid w:val="00EB03F5"/>
    <w:rsid w:val="00EB07A7"/>
    <w:rsid w:val="00EB5FF1"/>
    <w:rsid w:val="00EB78EF"/>
    <w:rsid w:val="00ED3D17"/>
    <w:rsid w:val="00ED470B"/>
    <w:rsid w:val="00ED51EE"/>
    <w:rsid w:val="00ED7E36"/>
    <w:rsid w:val="00EE13D8"/>
    <w:rsid w:val="00EE18F4"/>
    <w:rsid w:val="00EE6E7F"/>
    <w:rsid w:val="00EE75F5"/>
    <w:rsid w:val="00F03FCB"/>
    <w:rsid w:val="00F04F25"/>
    <w:rsid w:val="00F05ACA"/>
    <w:rsid w:val="00F117B0"/>
    <w:rsid w:val="00F12B8D"/>
    <w:rsid w:val="00F21ECE"/>
    <w:rsid w:val="00F240EE"/>
    <w:rsid w:val="00F307BF"/>
    <w:rsid w:val="00F32702"/>
    <w:rsid w:val="00F332FE"/>
    <w:rsid w:val="00F362A7"/>
    <w:rsid w:val="00F44750"/>
    <w:rsid w:val="00F466CF"/>
    <w:rsid w:val="00F545D3"/>
    <w:rsid w:val="00F55732"/>
    <w:rsid w:val="00F5795D"/>
    <w:rsid w:val="00F603F9"/>
    <w:rsid w:val="00F61A78"/>
    <w:rsid w:val="00F622F9"/>
    <w:rsid w:val="00F66309"/>
    <w:rsid w:val="00F667E5"/>
    <w:rsid w:val="00F66D40"/>
    <w:rsid w:val="00F71374"/>
    <w:rsid w:val="00F72D0B"/>
    <w:rsid w:val="00F74F2A"/>
    <w:rsid w:val="00F76541"/>
    <w:rsid w:val="00F819D3"/>
    <w:rsid w:val="00F94F1A"/>
    <w:rsid w:val="00F97571"/>
    <w:rsid w:val="00FA38A1"/>
    <w:rsid w:val="00FB022F"/>
    <w:rsid w:val="00FC17FC"/>
    <w:rsid w:val="00FD1C50"/>
    <w:rsid w:val="00FD1C6B"/>
    <w:rsid w:val="00FD4A3A"/>
    <w:rsid w:val="00FD6726"/>
    <w:rsid w:val="00FE1529"/>
    <w:rsid w:val="00FE2B5F"/>
    <w:rsid w:val="00FE7633"/>
    <w:rsid w:val="00FF1234"/>
    <w:rsid w:val="00FF3A00"/>
    <w:rsid w:val="00FF4AF4"/>
    <w:rsid w:val="00FF59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ar"/>
    <w:uiPriority w:val="9"/>
    <w:unhideWhenUsed/>
    <w:qFormat/>
    <w:rsid w:val="00FF3A00"/>
    <w:pPr>
      <w:keepNext/>
      <w:keepLines/>
      <w:spacing w:before="40" w:line="259" w:lineRule="auto"/>
      <w:outlineLvl w:val="5"/>
    </w:pPr>
    <w:rPr>
      <w:rFonts w:asciiTheme="majorHAnsi" w:eastAsiaTheme="majorEastAsia" w:hAnsiTheme="majorHAnsi" w:cstheme="majorBidi"/>
      <w:color w:val="1F3763" w:themeColor="accent1" w:themeShade="7F"/>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uiPriority w:val="1"/>
    <w:qFormat/>
    <w:rsid w:val="00525D9E"/>
    <w:rPr>
      <w:rFonts w:ascii="Calibri" w:eastAsia="Times New Roman" w:hAnsi="Calibri" w:cs="Times New Roman"/>
      <w:sz w:val="22"/>
      <w:szCs w:val="22"/>
      <w:lang w:eastAsia="es-MX"/>
    </w:rPr>
  </w:style>
  <w:style w:type="paragraph" w:styleId="Prrafodelista">
    <w:name w:val="List Paragraph"/>
    <w:aliases w:val="Listas,Lista vistosa - Énfasis 11,Cita texto,Footnote"/>
    <w:basedOn w:val="Normal"/>
    <w:link w:val="PrrafodelistaCar"/>
    <w:uiPriority w:val="34"/>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aliases w:val="Listas Car,Lista vistosa - Énfasis 11 Car,Cita texto Car,Footnote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paragraph" w:styleId="NormalWeb">
    <w:name w:val="Normal (Web)"/>
    <w:basedOn w:val="Normal"/>
    <w:uiPriority w:val="99"/>
    <w:semiHidden/>
    <w:unhideWhenUsed/>
    <w:rsid w:val="00AA06B6"/>
    <w:pPr>
      <w:spacing w:before="100" w:beforeAutospacing="1" w:after="100" w:afterAutospacing="1"/>
    </w:pPr>
    <w:rPr>
      <w:rFonts w:ascii="Times New Roman" w:eastAsia="Times New Roman" w:hAnsi="Times New Roman" w:cs="Times New Roman"/>
      <w:lang w:eastAsia="es-MX"/>
    </w:rPr>
  </w:style>
  <w:style w:type="paragraph" w:customStyle="1" w:styleId="footnotedescription">
    <w:name w:val="footnote description"/>
    <w:next w:val="Normal"/>
    <w:link w:val="footnotedescriptionChar"/>
    <w:hidden/>
    <w:rsid w:val="002766AE"/>
    <w:pPr>
      <w:spacing w:line="259" w:lineRule="auto"/>
    </w:pPr>
    <w:rPr>
      <w:rFonts w:ascii="Arial" w:eastAsia="Arial" w:hAnsi="Arial" w:cs="Arial"/>
      <w:color w:val="000000"/>
      <w:sz w:val="20"/>
      <w:szCs w:val="22"/>
      <w:lang w:eastAsia="es-MX"/>
    </w:rPr>
  </w:style>
  <w:style w:type="character" w:customStyle="1" w:styleId="footnotedescriptionChar">
    <w:name w:val="footnote description Char"/>
    <w:link w:val="footnotedescription"/>
    <w:rsid w:val="002766AE"/>
    <w:rPr>
      <w:rFonts w:ascii="Arial" w:eastAsia="Arial" w:hAnsi="Arial" w:cs="Arial"/>
      <w:color w:val="000000"/>
      <w:sz w:val="20"/>
      <w:szCs w:val="22"/>
      <w:lang w:eastAsia="es-MX"/>
    </w:rPr>
  </w:style>
  <w:style w:type="character" w:customStyle="1" w:styleId="footnotemark">
    <w:name w:val="footnote mark"/>
    <w:hidden/>
    <w:rsid w:val="002766AE"/>
    <w:rPr>
      <w:rFonts w:ascii="Arial" w:eastAsia="Arial" w:hAnsi="Arial" w:cs="Arial"/>
      <w:color w:val="000000"/>
      <w:sz w:val="20"/>
      <w:vertAlign w:val="superscript"/>
    </w:rPr>
  </w:style>
  <w:style w:type="character" w:customStyle="1" w:styleId="Ttulo6Car">
    <w:name w:val="Título 6 Car"/>
    <w:basedOn w:val="Fuentedeprrafopredeter"/>
    <w:link w:val="Ttulo6"/>
    <w:uiPriority w:val="9"/>
    <w:rsid w:val="00FF3A00"/>
    <w:rPr>
      <w:rFonts w:asciiTheme="majorHAnsi" w:eastAsiaTheme="majorEastAsia" w:hAnsiTheme="majorHAnsi" w:cstheme="majorBidi"/>
      <w:color w:val="1F3763" w:themeColor="accent1" w:themeShade="7F"/>
      <w:sz w:val="22"/>
      <w:szCs w:val="22"/>
    </w:rPr>
  </w:style>
  <w:style w:type="paragraph" w:customStyle="1" w:styleId="Texto">
    <w:name w:val="Texto"/>
    <w:basedOn w:val="Normal"/>
    <w:rsid w:val="00DC6774"/>
    <w:pPr>
      <w:spacing w:after="101" w:line="216" w:lineRule="exact"/>
      <w:ind w:firstLine="288"/>
      <w:jc w:val="both"/>
    </w:pPr>
    <w:rPr>
      <w:rFonts w:ascii="Arial" w:eastAsia="Times New Roman" w:hAnsi="Arial" w:cs="Arial"/>
      <w:sz w:val="18"/>
      <w:szCs w:val="18"/>
      <w:lang w:eastAsia="es-ES"/>
    </w:rPr>
  </w:style>
  <w:style w:type="character" w:styleId="nfasis">
    <w:name w:val="Emphasis"/>
    <w:basedOn w:val="Fuentedeprrafopredeter"/>
    <w:uiPriority w:val="20"/>
    <w:qFormat/>
    <w:rsid w:val="00F61A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2425">
      <w:bodyDiv w:val="1"/>
      <w:marLeft w:val="0"/>
      <w:marRight w:val="0"/>
      <w:marTop w:val="0"/>
      <w:marBottom w:val="0"/>
      <w:divBdr>
        <w:top w:val="none" w:sz="0" w:space="0" w:color="auto"/>
        <w:left w:val="none" w:sz="0" w:space="0" w:color="auto"/>
        <w:bottom w:val="none" w:sz="0" w:space="0" w:color="auto"/>
        <w:right w:val="none" w:sz="0" w:space="0" w:color="auto"/>
      </w:divBdr>
    </w:div>
    <w:div w:id="393890944">
      <w:bodyDiv w:val="1"/>
      <w:marLeft w:val="0"/>
      <w:marRight w:val="0"/>
      <w:marTop w:val="0"/>
      <w:marBottom w:val="0"/>
      <w:divBdr>
        <w:top w:val="none" w:sz="0" w:space="0" w:color="auto"/>
        <w:left w:val="none" w:sz="0" w:space="0" w:color="auto"/>
        <w:bottom w:val="none" w:sz="0" w:space="0" w:color="auto"/>
        <w:right w:val="none" w:sz="0" w:space="0" w:color="auto"/>
      </w:divBdr>
    </w:div>
    <w:div w:id="439842281">
      <w:bodyDiv w:val="1"/>
      <w:marLeft w:val="0"/>
      <w:marRight w:val="0"/>
      <w:marTop w:val="0"/>
      <w:marBottom w:val="0"/>
      <w:divBdr>
        <w:top w:val="none" w:sz="0" w:space="0" w:color="auto"/>
        <w:left w:val="none" w:sz="0" w:space="0" w:color="auto"/>
        <w:bottom w:val="none" w:sz="0" w:space="0" w:color="auto"/>
        <w:right w:val="none" w:sz="0" w:space="0" w:color="auto"/>
      </w:divBdr>
    </w:div>
    <w:div w:id="479231395">
      <w:bodyDiv w:val="1"/>
      <w:marLeft w:val="0"/>
      <w:marRight w:val="0"/>
      <w:marTop w:val="0"/>
      <w:marBottom w:val="0"/>
      <w:divBdr>
        <w:top w:val="none" w:sz="0" w:space="0" w:color="auto"/>
        <w:left w:val="none" w:sz="0" w:space="0" w:color="auto"/>
        <w:bottom w:val="none" w:sz="0" w:space="0" w:color="auto"/>
        <w:right w:val="none" w:sz="0" w:space="0" w:color="auto"/>
      </w:divBdr>
    </w:div>
    <w:div w:id="601957601">
      <w:bodyDiv w:val="1"/>
      <w:marLeft w:val="0"/>
      <w:marRight w:val="0"/>
      <w:marTop w:val="0"/>
      <w:marBottom w:val="0"/>
      <w:divBdr>
        <w:top w:val="none" w:sz="0" w:space="0" w:color="auto"/>
        <w:left w:val="none" w:sz="0" w:space="0" w:color="auto"/>
        <w:bottom w:val="none" w:sz="0" w:space="0" w:color="auto"/>
        <w:right w:val="none" w:sz="0" w:space="0" w:color="auto"/>
      </w:divBdr>
    </w:div>
    <w:div w:id="766658289">
      <w:bodyDiv w:val="1"/>
      <w:marLeft w:val="0"/>
      <w:marRight w:val="0"/>
      <w:marTop w:val="0"/>
      <w:marBottom w:val="0"/>
      <w:divBdr>
        <w:top w:val="none" w:sz="0" w:space="0" w:color="auto"/>
        <w:left w:val="none" w:sz="0" w:space="0" w:color="auto"/>
        <w:bottom w:val="none" w:sz="0" w:space="0" w:color="auto"/>
        <w:right w:val="none" w:sz="0" w:space="0" w:color="auto"/>
      </w:divBdr>
    </w:div>
    <w:div w:id="777987197">
      <w:bodyDiv w:val="1"/>
      <w:marLeft w:val="0"/>
      <w:marRight w:val="0"/>
      <w:marTop w:val="0"/>
      <w:marBottom w:val="0"/>
      <w:divBdr>
        <w:top w:val="none" w:sz="0" w:space="0" w:color="auto"/>
        <w:left w:val="none" w:sz="0" w:space="0" w:color="auto"/>
        <w:bottom w:val="none" w:sz="0" w:space="0" w:color="auto"/>
        <w:right w:val="none" w:sz="0" w:space="0" w:color="auto"/>
      </w:divBdr>
    </w:div>
    <w:div w:id="786504403">
      <w:bodyDiv w:val="1"/>
      <w:marLeft w:val="0"/>
      <w:marRight w:val="0"/>
      <w:marTop w:val="0"/>
      <w:marBottom w:val="0"/>
      <w:divBdr>
        <w:top w:val="none" w:sz="0" w:space="0" w:color="auto"/>
        <w:left w:val="none" w:sz="0" w:space="0" w:color="auto"/>
        <w:bottom w:val="none" w:sz="0" w:space="0" w:color="auto"/>
        <w:right w:val="none" w:sz="0" w:space="0" w:color="auto"/>
      </w:divBdr>
    </w:div>
    <w:div w:id="829176111">
      <w:bodyDiv w:val="1"/>
      <w:marLeft w:val="0"/>
      <w:marRight w:val="0"/>
      <w:marTop w:val="0"/>
      <w:marBottom w:val="0"/>
      <w:divBdr>
        <w:top w:val="none" w:sz="0" w:space="0" w:color="auto"/>
        <w:left w:val="none" w:sz="0" w:space="0" w:color="auto"/>
        <w:bottom w:val="none" w:sz="0" w:space="0" w:color="auto"/>
        <w:right w:val="none" w:sz="0" w:space="0" w:color="auto"/>
      </w:divBdr>
    </w:div>
    <w:div w:id="919679783">
      <w:bodyDiv w:val="1"/>
      <w:marLeft w:val="0"/>
      <w:marRight w:val="0"/>
      <w:marTop w:val="0"/>
      <w:marBottom w:val="0"/>
      <w:divBdr>
        <w:top w:val="none" w:sz="0" w:space="0" w:color="auto"/>
        <w:left w:val="none" w:sz="0" w:space="0" w:color="auto"/>
        <w:bottom w:val="none" w:sz="0" w:space="0" w:color="auto"/>
        <w:right w:val="none" w:sz="0" w:space="0" w:color="auto"/>
      </w:divBdr>
    </w:div>
    <w:div w:id="1052075489">
      <w:bodyDiv w:val="1"/>
      <w:marLeft w:val="0"/>
      <w:marRight w:val="0"/>
      <w:marTop w:val="0"/>
      <w:marBottom w:val="0"/>
      <w:divBdr>
        <w:top w:val="none" w:sz="0" w:space="0" w:color="auto"/>
        <w:left w:val="none" w:sz="0" w:space="0" w:color="auto"/>
        <w:bottom w:val="none" w:sz="0" w:space="0" w:color="auto"/>
        <w:right w:val="none" w:sz="0" w:space="0" w:color="auto"/>
      </w:divBdr>
    </w:div>
    <w:div w:id="1061709288">
      <w:bodyDiv w:val="1"/>
      <w:marLeft w:val="0"/>
      <w:marRight w:val="0"/>
      <w:marTop w:val="0"/>
      <w:marBottom w:val="0"/>
      <w:divBdr>
        <w:top w:val="none" w:sz="0" w:space="0" w:color="auto"/>
        <w:left w:val="none" w:sz="0" w:space="0" w:color="auto"/>
        <w:bottom w:val="none" w:sz="0" w:space="0" w:color="auto"/>
        <w:right w:val="none" w:sz="0" w:space="0" w:color="auto"/>
      </w:divBdr>
    </w:div>
    <w:div w:id="1097166937">
      <w:bodyDiv w:val="1"/>
      <w:marLeft w:val="0"/>
      <w:marRight w:val="0"/>
      <w:marTop w:val="0"/>
      <w:marBottom w:val="0"/>
      <w:divBdr>
        <w:top w:val="none" w:sz="0" w:space="0" w:color="auto"/>
        <w:left w:val="none" w:sz="0" w:space="0" w:color="auto"/>
        <w:bottom w:val="none" w:sz="0" w:space="0" w:color="auto"/>
        <w:right w:val="none" w:sz="0" w:space="0" w:color="auto"/>
      </w:divBdr>
    </w:div>
    <w:div w:id="1305159859">
      <w:bodyDiv w:val="1"/>
      <w:marLeft w:val="0"/>
      <w:marRight w:val="0"/>
      <w:marTop w:val="0"/>
      <w:marBottom w:val="0"/>
      <w:divBdr>
        <w:top w:val="none" w:sz="0" w:space="0" w:color="auto"/>
        <w:left w:val="none" w:sz="0" w:space="0" w:color="auto"/>
        <w:bottom w:val="none" w:sz="0" w:space="0" w:color="auto"/>
        <w:right w:val="none" w:sz="0" w:space="0" w:color="auto"/>
      </w:divBdr>
      <w:divsChild>
        <w:div w:id="1891644278">
          <w:marLeft w:val="0"/>
          <w:marRight w:val="0"/>
          <w:marTop w:val="0"/>
          <w:marBottom w:val="0"/>
          <w:divBdr>
            <w:top w:val="none" w:sz="0" w:space="0" w:color="auto"/>
            <w:left w:val="none" w:sz="0" w:space="0" w:color="auto"/>
            <w:bottom w:val="none" w:sz="0" w:space="0" w:color="auto"/>
            <w:right w:val="none" w:sz="0" w:space="0" w:color="auto"/>
          </w:divBdr>
          <w:divsChild>
            <w:div w:id="1044718517">
              <w:marLeft w:val="0"/>
              <w:marRight w:val="0"/>
              <w:marTop w:val="0"/>
              <w:marBottom w:val="0"/>
              <w:divBdr>
                <w:top w:val="none" w:sz="0" w:space="0" w:color="auto"/>
                <w:left w:val="none" w:sz="0" w:space="0" w:color="auto"/>
                <w:bottom w:val="none" w:sz="0" w:space="0" w:color="auto"/>
                <w:right w:val="none" w:sz="0" w:space="0" w:color="auto"/>
              </w:divBdr>
              <w:divsChild>
                <w:div w:id="17608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636346">
          <w:marLeft w:val="0"/>
          <w:marRight w:val="0"/>
          <w:marTop w:val="0"/>
          <w:marBottom w:val="0"/>
          <w:divBdr>
            <w:top w:val="none" w:sz="0" w:space="0" w:color="auto"/>
            <w:left w:val="none" w:sz="0" w:space="0" w:color="auto"/>
            <w:bottom w:val="none" w:sz="0" w:space="0" w:color="auto"/>
            <w:right w:val="none" w:sz="0" w:space="0" w:color="auto"/>
          </w:divBdr>
          <w:divsChild>
            <w:div w:id="1828787178">
              <w:marLeft w:val="0"/>
              <w:marRight w:val="0"/>
              <w:marTop w:val="390"/>
              <w:marBottom w:val="0"/>
              <w:divBdr>
                <w:top w:val="single" w:sz="6" w:space="0" w:color="FFFFFF"/>
                <w:left w:val="single" w:sz="6" w:space="0" w:color="FFFFFF"/>
                <w:bottom w:val="none" w:sz="0" w:space="0" w:color="auto"/>
                <w:right w:val="single" w:sz="6" w:space="0" w:color="FFFFFF"/>
              </w:divBdr>
              <w:divsChild>
                <w:div w:id="1748765836">
                  <w:marLeft w:val="-225"/>
                  <w:marRight w:val="-225"/>
                  <w:marTop w:val="0"/>
                  <w:marBottom w:val="0"/>
                  <w:divBdr>
                    <w:top w:val="none" w:sz="0" w:space="0" w:color="auto"/>
                    <w:left w:val="none" w:sz="0" w:space="0" w:color="auto"/>
                    <w:bottom w:val="none" w:sz="0" w:space="0" w:color="auto"/>
                    <w:right w:val="none" w:sz="0" w:space="0" w:color="auto"/>
                  </w:divBdr>
                  <w:divsChild>
                    <w:div w:id="792943638">
                      <w:marLeft w:val="0"/>
                      <w:marRight w:val="0"/>
                      <w:marTop w:val="0"/>
                      <w:marBottom w:val="270"/>
                      <w:divBdr>
                        <w:top w:val="none" w:sz="0" w:space="0" w:color="auto"/>
                        <w:left w:val="none" w:sz="0" w:space="0" w:color="auto"/>
                        <w:bottom w:val="none" w:sz="0" w:space="0" w:color="auto"/>
                        <w:right w:val="none" w:sz="0" w:space="0" w:color="auto"/>
                      </w:divBdr>
                      <w:divsChild>
                        <w:div w:id="2067216055">
                          <w:marLeft w:val="0"/>
                          <w:marRight w:val="0"/>
                          <w:marTop w:val="0"/>
                          <w:marBottom w:val="0"/>
                          <w:divBdr>
                            <w:top w:val="none" w:sz="0" w:space="0" w:color="auto"/>
                            <w:left w:val="none" w:sz="0" w:space="0" w:color="auto"/>
                            <w:bottom w:val="none" w:sz="0" w:space="0" w:color="auto"/>
                            <w:right w:val="none" w:sz="0" w:space="0" w:color="auto"/>
                          </w:divBdr>
                          <w:divsChild>
                            <w:div w:id="1583370812">
                              <w:marLeft w:val="-225"/>
                              <w:marRight w:val="-225"/>
                              <w:marTop w:val="0"/>
                              <w:marBottom w:val="0"/>
                              <w:divBdr>
                                <w:top w:val="none" w:sz="0" w:space="0" w:color="auto"/>
                                <w:left w:val="none" w:sz="0" w:space="0" w:color="auto"/>
                                <w:bottom w:val="none" w:sz="0" w:space="0" w:color="auto"/>
                                <w:right w:val="none" w:sz="0" w:space="0" w:color="auto"/>
                              </w:divBdr>
                              <w:divsChild>
                                <w:div w:id="1243107528">
                                  <w:marLeft w:val="0"/>
                                  <w:marRight w:val="0"/>
                                  <w:marTop w:val="0"/>
                                  <w:marBottom w:val="0"/>
                                  <w:divBdr>
                                    <w:top w:val="none" w:sz="0" w:space="0" w:color="auto"/>
                                    <w:left w:val="none" w:sz="0" w:space="0" w:color="auto"/>
                                    <w:bottom w:val="none" w:sz="0" w:space="0" w:color="auto"/>
                                    <w:right w:val="none" w:sz="0" w:space="0" w:color="auto"/>
                                  </w:divBdr>
                                </w:div>
                                <w:div w:id="452135757">
                                  <w:marLeft w:val="0"/>
                                  <w:marRight w:val="0"/>
                                  <w:marTop w:val="0"/>
                                  <w:marBottom w:val="0"/>
                                  <w:divBdr>
                                    <w:top w:val="none" w:sz="0" w:space="0" w:color="auto"/>
                                    <w:left w:val="none" w:sz="0" w:space="0" w:color="auto"/>
                                    <w:bottom w:val="none" w:sz="0" w:space="0" w:color="auto"/>
                                    <w:right w:val="none" w:sz="0" w:space="0" w:color="auto"/>
                                  </w:divBdr>
                                </w:div>
                                <w:div w:id="37639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966097">
      <w:bodyDiv w:val="1"/>
      <w:marLeft w:val="0"/>
      <w:marRight w:val="0"/>
      <w:marTop w:val="0"/>
      <w:marBottom w:val="0"/>
      <w:divBdr>
        <w:top w:val="none" w:sz="0" w:space="0" w:color="auto"/>
        <w:left w:val="none" w:sz="0" w:space="0" w:color="auto"/>
        <w:bottom w:val="none" w:sz="0" w:space="0" w:color="auto"/>
        <w:right w:val="none" w:sz="0" w:space="0" w:color="auto"/>
      </w:divBdr>
    </w:div>
    <w:div w:id="1417165281">
      <w:bodyDiv w:val="1"/>
      <w:marLeft w:val="0"/>
      <w:marRight w:val="0"/>
      <w:marTop w:val="0"/>
      <w:marBottom w:val="0"/>
      <w:divBdr>
        <w:top w:val="none" w:sz="0" w:space="0" w:color="auto"/>
        <w:left w:val="none" w:sz="0" w:space="0" w:color="auto"/>
        <w:bottom w:val="none" w:sz="0" w:space="0" w:color="auto"/>
        <w:right w:val="none" w:sz="0" w:space="0" w:color="auto"/>
      </w:divBdr>
    </w:div>
    <w:div w:id="1479566473">
      <w:bodyDiv w:val="1"/>
      <w:marLeft w:val="0"/>
      <w:marRight w:val="0"/>
      <w:marTop w:val="0"/>
      <w:marBottom w:val="0"/>
      <w:divBdr>
        <w:top w:val="none" w:sz="0" w:space="0" w:color="auto"/>
        <w:left w:val="none" w:sz="0" w:space="0" w:color="auto"/>
        <w:bottom w:val="none" w:sz="0" w:space="0" w:color="auto"/>
        <w:right w:val="none" w:sz="0" w:space="0" w:color="auto"/>
      </w:divBdr>
    </w:div>
    <w:div w:id="1542404015">
      <w:bodyDiv w:val="1"/>
      <w:marLeft w:val="0"/>
      <w:marRight w:val="0"/>
      <w:marTop w:val="0"/>
      <w:marBottom w:val="0"/>
      <w:divBdr>
        <w:top w:val="none" w:sz="0" w:space="0" w:color="auto"/>
        <w:left w:val="none" w:sz="0" w:space="0" w:color="auto"/>
        <w:bottom w:val="none" w:sz="0" w:space="0" w:color="auto"/>
        <w:right w:val="none" w:sz="0" w:space="0" w:color="auto"/>
      </w:divBdr>
    </w:div>
    <w:div w:id="1877693865">
      <w:bodyDiv w:val="1"/>
      <w:marLeft w:val="0"/>
      <w:marRight w:val="0"/>
      <w:marTop w:val="0"/>
      <w:marBottom w:val="0"/>
      <w:divBdr>
        <w:top w:val="none" w:sz="0" w:space="0" w:color="auto"/>
        <w:left w:val="none" w:sz="0" w:space="0" w:color="auto"/>
        <w:bottom w:val="none" w:sz="0" w:space="0" w:color="auto"/>
        <w:right w:val="none" w:sz="0" w:space="0" w:color="auto"/>
      </w:divBdr>
    </w:div>
    <w:div w:id="203445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finanzaspublicas.hacienda.gob.mx/work/models/Finanzas_Publicas/docs/congreso/infotrim/2023/ivt/01inf/itindc_202304.pdf" TargetMode="External"/><Relationship Id="rId2" Type="http://schemas.openxmlformats.org/officeDocument/2006/relationships/hyperlink" Target="https://www.diputados.gob.mx/LeyesBiblio/regley/Reg_LFPRH_131120.pdf" TargetMode="External"/><Relationship Id="rId1" Type="http://schemas.openxmlformats.org/officeDocument/2006/relationships/hyperlink" Target="https://www.diputados.gob.mx/LeyesBiblio/pdf/LFPRH.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1750</Words>
  <Characters>8771</Characters>
  <Application>Microsoft Office Word</Application>
  <DocSecurity>0</DocSecurity>
  <Lines>292</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dc:creator>
  <cp:keywords/>
  <dc:description/>
  <cp:lastModifiedBy>Mayra Alejandra Rodríguez Vázquez</cp:lastModifiedBy>
  <cp:revision>9</cp:revision>
  <cp:lastPrinted>2023-10-23T14:09:00Z</cp:lastPrinted>
  <dcterms:created xsi:type="dcterms:W3CDTF">2024-02-13T18:06:00Z</dcterms:created>
  <dcterms:modified xsi:type="dcterms:W3CDTF">2024-02-14T18:26:00Z</dcterms:modified>
</cp:coreProperties>
</file>