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AE74" w14:textId="592E2775" w:rsidR="0005122E" w:rsidRDefault="0005122E" w:rsidP="0005122E">
      <w:pPr>
        <w:spacing w:line="276" w:lineRule="auto"/>
        <w:jc w:val="both"/>
        <w:rPr>
          <w:rFonts w:ascii="Arial" w:hAnsi="Arial" w:cs="Arial"/>
          <w:b/>
        </w:rPr>
      </w:pPr>
      <w:bookmarkStart w:id="0" w:name="_Hlk114833309"/>
      <w:r>
        <w:rPr>
          <w:rFonts w:ascii="Arial" w:hAnsi="Arial" w:cs="Arial"/>
          <w:b/>
        </w:rPr>
        <w:t>Presiden</w:t>
      </w:r>
      <w:r w:rsidR="00BF5BAE">
        <w:rPr>
          <w:rFonts w:ascii="Arial" w:hAnsi="Arial" w:cs="Arial"/>
          <w:b/>
        </w:rPr>
        <w:t>cia</w:t>
      </w:r>
      <w:r>
        <w:rPr>
          <w:rFonts w:ascii="Arial" w:hAnsi="Arial" w:cs="Arial"/>
          <w:b/>
        </w:rPr>
        <w:t xml:space="preserve"> del Congreso del Estado</w:t>
      </w:r>
    </w:p>
    <w:p w14:paraId="48683473" w14:textId="77777777" w:rsidR="00581795" w:rsidRPr="0090001B" w:rsidRDefault="00581795" w:rsidP="0090001B">
      <w:pPr>
        <w:spacing w:line="276" w:lineRule="auto"/>
        <w:jc w:val="both"/>
        <w:rPr>
          <w:rFonts w:ascii="Arial" w:hAnsi="Arial" w:cs="Arial"/>
          <w:b/>
        </w:rPr>
      </w:pPr>
      <w:r w:rsidRPr="0090001B">
        <w:rPr>
          <w:rFonts w:ascii="Arial" w:hAnsi="Arial" w:cs="Arial"/>
          <w:b/>
        </w:rPr>
        <w:t>P r e s e n t e.</w:t>
      </w:r>
    </w:p>
    <w:p w14:paraId="60B10CDF" w14:textId="2CBBC688" w:rsidR="00581795" w:rsidRPr="0090001B" w:rsidRDefault="00581795" w:rsidP="0090001B">
      <w:pPr>
        <w:spacing w:line="276" w:lineRule="auto"/>
        <w:jc w:val="both"/>
        <w:rPr>
          <w:rFonts w:ascii="Arial" w:hAnsi="Arial" w:cs="Arial"/>
        </w:rPr>
      </w:pPr>
    </w:p>
    <w:p w14:paraId="3ABC2A38" w14:textId="77777777" w:rsidR="000A23B0" w:rsidRPr="0090001B" w:rsidRDefault="000A23B0" w:rsidP="0090001B">
      <w:pPr>
        <w:spacing w:line="276" w:lineRule="auto"/>
        <w:jc w:val="both"/>
        <w:rPr>
          <w:rFonts w:ascii="Arial" w:hAnsi="Arial" w:cs="Arial"/>
        </w:rPr>
      </w:pPr>
    </w:p>
    <w:p w14:paraId="38AA71C1" w14:textId="569CB62D" w:rsidR="00B74365" w:rsidRPr="0090001B" w:rsidRDefault="00ED470B" w:rsidP="0090001B">
      <w:pPr>
        <w:pStyle w:val="Default"/>
        <w:spacing w:line="276" w:lineRule="auto"/>
        <w:jc w:val="both"/>
        <w:rPr>
          <w:rFonts w:ascii="Arial" w:hAnsi="Arial" w:cs="Arial"/>
        </w:rPr>
      </w:pPr>
      <w:r w:rsidRPr="0090001B">
        <w:rPr>
          <w:rFonts w:ascii="Arial" w:hAnsi="Arial" w:cs="Arial"/>
        </w:rPr>
        <w:tab/>
      </w:r>
      <w:r w:rsidR="000D6C18" w:rsidRPr="0090001B">
        <w:rPr>
          <w:rFonts w:ascii="Arial" w:hAnsi="Arial" w:cs="Arial"/>
        </w:rPr>
        <w:t>Las</w:t>
      </w:r>
      <w:r w:rsidR="005931A6" w:rsidRPr="0090001B">
        <w:rPr>
          <w:rFonts w:ascii="Arial" w:hAnsi="Arial" w:cs="Arial"/>
        </w:rPr>
        <w:t xml:space="preserve"> diputad</w:t>
      </w:r>
      <w:r w:rsidR="000D6C18" w:rsidRPr="0090001B">
        <w:rPr>
          <w:rFonts w:ascii="Arial" w:hAnsi="Arial" w:cs="Arial"/>
        </w:rPr>
        <w:t>a</w:t>
      </w:r>
      <w:r w:rsidR="005931A6" w:rsidRPr="0090001B">
        <w:rPr>
          <w:rFonts w:ascii="Arial" w:hAnsi="Arial" w:cs="Arial"/>
        </w:rPr>
        <w:t>s</w:t>
      </w:r>
      <w:r w:rsidR="000D6C18" w:rsidRPr="0090001B">
        <w:rPr>
          <w:rFonts w:ascii="Arial" w:hAnsi="Arial" w:cs="Arial"/>
        </w:rPr>
        <w:t xml:space="preserve"> y el diputado, </w:t>
      </w:r>
      <w:r w:rsidR="00585A6B" w:rsidRPr="0090001B">
        <w:rPr>
          <w:rFonts w:ascii="Arial" w:hAnsi="Arial" w:cs="Arial"/>
        </w:rPr>
        <w:t xml:space="preserve">que integramos la </w:t>
      </w:r>
      <w:r w:rsidRPr="0090001B">
        <w:rPr>
          <w:rFonts w:ascii="Arial" w:hAnsi="Arial" w:cs="Arial"/>
        </w:rPr>
        <w:t xml:space="preserve">Comisión </w:t>
      </w:r>
      <w:bookmarkStart w:id="1" w:name="_Hlk114648386"/>
      <w:r w:rsidRPr="0090001B">
        <w:rPr>
          <w:rFonts w:ascii="Arial" w:hAnsi="Arial" w:cs="Arial"/>
        </w:rPr>
        <w:t xml:space="preserve">de </w:t>
      </w:r>
      <w:r w:rsidR="001A4D65" w:rsidRPr="0090001B">
        <w:rPr>
          <w:rFonts w:ascii="Arial" w:hAnsi="Arial" w:cs="Arial"/>
        </w:rPr>
        <w:t>Educación</w:t>
      </w:r>
      <w:r w:rsidR="00BE658F" w:rsidRPr="0090001B">
        <w:rPr>
          <w:rFonts w:ascii="Arial" w:hAnsi="Arial" w:cs="Arial"/>
        </w:rPr>
        <w:t>, Ciencia y Tecnología</w:t>
      </w:r>
      <w:r w:rsidRPr="0090001B">
        <w:rPr>
          <w:rFonts w:ascii="Arial" w:hAnsi="Arial" w:cs="Arial"/>
        </w:rPr>
        <w:t xml:space="preserve"> </w:t>
      </w:r>
      <w:bookmarkEnd w:id="1"/>
      <w:r w:rsidR="00BE658F" w:rsidRPr="0090001B">
        <w:rPr>
          <w:rFonts w:ascii="Arial" w:hAnsi="Arial" w:cs="Arial"/>
        </w:rPr>
        <w:t xml:space="preserve">y Cultura </w:t>
      </w:r>
      <w:r w:rsidRPr="0090001B">
        <w:rPr>
          <w:rFonts w:ascii="Arial" w:hAnsi="Arial" w:cs="Arial"/>
        </w:rPr>
        <w:t xml:space="preserve">de la Sexagésima Quinta Legislatura, </w:t>
      </w:r>
      <w:bookmarkStart w:id="2" w:name="_Hlk86839282"/>
      <w:r w:rsidR="003B6D79" w:rsidRPr="0090001B">
        <w:rPr>
          <w:rFonts w:ascii="Arial" w:hAnsi="Arial" w:cs="Arial"/>
        </w:rPr>
        <w:t>recibimos</w:t>
      </w:r>
      <w:bookmarkEnd w:id="2"/>
      <w:r w:rsidR="000D6C18" w:rsidRPr="0090001B">
        <w:rPr>
          <w:rFonts w:ascii="Arial" w:hAnsi="Arial" w:cs="Arial"/>
        </w:rPr>
        <w:t xml:space="preserve"> la iniciativa</w:t>
      </w:r>
      <w:r w:rsidR="001F100C">
        <w:rPr>
          <w:rFonts w:ascii="Arial" w:hAnsi="Arial" w:cs="Arial"/>
        </w:rPr>
        <w:t xml:space="preserve"> </w:t>
      </w:r>
      <w:r w:rsidR="001F100C" w:rsidRPr="001F100C">
        <w:rPr>
          <w:rFonts w:ascii="Arial" w:hAnsi="Arial" w:cs="Arial"/>
        </w:rPr>
        <w:t>por la que se</w:t>
      </w:r>
      <w:r w:rsidR="00593988">
        <w:rPr>
          <w:rFonts w:ascii="Arial" w:hAnsi="Arial" w:cs="Arial"/>
        </w:rPr>
        <w:t xml:space="preserve"> </w:t>
      </w:r>
      <w:bookmarkStart w:id="3" w:name="_Hlk173520289"/>
      <w:r w:rsidR="00593988" w:rsidRPr="00593988">
        <w:rPr>
          <w:rFonts w:ascii="Arial" w:hAnsi="Arial" w:cs="Arial"/>
        </w:rPr>
        <w:t xml:space="preserve">reforma los artículos 5, fracción IX; 7, segundo párrafo; 13, fracción I, inciso a); 14, fracción I; 15, fracción II; 29 primer párrafo y fracción II; 42, fracción V; 43; 55; 88, segundo párrafo; 115, segundo párrafo; 119 y adiciona en el artículo 43 una fracción IX y recorre las subsecuentes y en el artículo 162 una fracción II, recorriendo las subsecuentes </w:t>
      </w:r>
      <w:r w:rsidR="001F100C" w:rsidRPr="001F100C">
        <w:rPr>
          <w:rFonts w:ascii="Arial" w:hAnsi="Arial" w:cs="Arial"/>
        </w:rPr>
        <w:t>de la Ley de Educación para el Estado de Guanajuato</w:t>
      </w:r>
      <w:bookmarkEnd w:id="3"/>
      <w:r w:rsidR="001F100C" w:rsidRPr="001F100C">
        <w:rPr>
          <w:rFonts w:ascii="Arial" w:hAnsi="Arial" w:cs="Arial"/>
        </w:rPr>
        <w:t>, presentada por la diputada y los diputados integrantes del Grupo Parlamentario del Partido Revolucionario Institucional</w:t>
      </w:r>
      <w:r w:rsidR="000D6C18" w:rsidRPr="0090001B">
        <w:rPr>
          <w:rFonts w:ascii="Arial" w:hAnsi="Arial" w:cs="Arial"/>
        </w:rPr>
        <w:t>.</w:t>
      </w:r>
      <w:r w:rsidR="00581795" w:rsidRPr="0090001B">
        <w:rPr>
          <w:rFonts w:ascii="Arial" w:hAnsi="Arial" w:cs="Arial"/>
        </w:rPr>
        <w:tab/>
      </w:r>
    </w:p>
    <w:p w14:paraId="25CFBFE5" w14:textId="77777777" w:rsidR="000D6C18" w:rsidRPr="0090001B" w:rsidRDefault="000D6C18" w:rsidP="0090001B">
      <w:pPr>
        <w:spacing w:line="276" w:lineRule="auto"/>
        <w:jc w:val="both"/>
        <w:rPr>
          <w:rFonts w:ascii="Arial" w:hAnsi="Arial" w:cs="Arial"/>
          <w:color w:val="000000"/>
        </w:rPr>
      </w:pPr>
    </w:p>
    <w:p w14:paraId="717C0FCC" w14:textId="41063298" w:rsidR="00581795" w:rsidRPr="0090001B" w:rsidRDefault="00512CD4" w:rsidP="0090001B">
      <w:pPr>
        <w:spacing w:line="276" w:lineRule="auto"/>
        <w:ind w:firstLine="709"/>
        <w:jc w:val="both"/>
        <w:rPr>
          <w:rFonts w:ascii="Arial" w:hAnsi="Arial" w:cs="Arial"/>
        </w:rPr>
      </w:pPr>
      <w:r w:rsidRPr="0090001B">
        <w:rPr>
          <w:rFonts w:ascii="Arial" w:hAnsi="Arial" w:cs="Arial"/>
        </w:rPr>
        <w:t>De conformidad con</w:t>
      </w:r>
      <w:r w:rsidR="00581795" w:rsidRPr="0090001B">
        <w:rPr>
          <w:rFonts w:ascii="Arial" w:hAnsi="Arial" w:cs="Arial"/>
        </w:rPr>
        <w:t xml:space="preserve"> los artículos 89, fracción V; 10</w:t>
      </w:r>
      <w:r w:rsidR="00C567AB" w:rsidRPr="0090001B">
        <w:rPr>
          <w:rFonts w:ascii="Arial" w:hAnsi="Arial" w:cs="Arial"/>
        </w:rPr>
        <w:t>9</w:t>
      </w:r>
      <w:r w:rsidR="00581795" w:rsidRPr="0090001B">
        <w:rPr>
          <w:rFonts w:ascii="Arial" w:hAnsi="Arial" w:cs="Arial"/>
        </w:rPr>
        <w:t>, fracción I</w:t>
      </w:r>
      <w:r w:rsidR="00DE7750" w:rsidRPr="0090001B">
        <w:rPr>
          <w:rFonts w:ascii="Arial" w:hAnsi="Arial" w:cs="Arial"/>
        </w:rPr>
        <w:t xml:space="preserve"> y </w:t>
      </w:r>
      <w:r w:rsidR="00581795" w:rsidRPr="0090001B">
        <w:rPr>
          <w:rFonts w:ascii="Arial" w:hAnsi="Arial" w:cs="Arial"/>
        </w:rPr>
        <w:t>171</w:t>
      </w:r>
      <w:r w:rsidR="00ED470B" w:rsidRPr="0090001B">
        <w:rPr>
          <w:rFonts w:ascii="Arial" w:hAnsi="Arial" w:cs="Arial"/>
        </w:rPr>
        <w:t xml:space="preserve"> </w:t>
      </w:r>
      <w:r w:rsidR="00581795" w:rsidRPr="0090001B">
        <w:rPr>
          <w:rFonts w:ascii="Arial" w:hAnsi="Arial" w:cs="Arial"/>
        </w:rPr>
        <w:t>de la Ley Orgánica del Poder Legislativo del Estado de Guanajuato, sometemos a la consideración de la Asamblea el presente dictamen, con base en las siguientes:</w:t>
      </w:r>
    </w:p>
    <w:p w14:paraId="3F76F786" w14:textId="740175EA" w:rsidR="00581795" w:rsidRDefault="00581795" w:rsidP="0090001B">
      <w:pPr>
        <w:pStyle w:val="Sinespaciado"/>
        <w:spacing w:line="276" w:lineRule="auto"/>
        <w:jc w:val="both"/>
        <w:rPr>
          <w:rFonts w:ascii="Arial" w:hAnsi="Arial" w:cs="Arial"/>
          <w:sz w:val="24"/>
          <w:szCs w:val="24"/>
        </w:rPr>
      </w:pPr>
    </w:p>
    <w:p w14:paraId="782C4BEC" w14:textId="77777777" w:rsidR="00F42A37" w:rsidRPr="0090001B" w:rsidRDefault="00F42A37" w:rsidP="0090001B">
      <w:pPr>
        <w:pStyle w:val="Sinespaciado"/>
        <w:spacing w:line="276" w:lineRule="auto"/>
        <w:jc w:val="both"/>
        <w:rPr>
          <w:rFonts w:ascii="Arial" w:hAnsi="Arial" w:cs="Arial"/>
          <w:sz w:val="24"/>
          <w:szCs w:val="24"/>
        </w:rPr>
      </w:pPr>
    </w:p>
    <w:p w14:paraId="5202B79B" w14:textId="77777777" w:rsidR="00581795" w:rsidRPr="0090001B" w:rsidRDefault="00581795" w:rsidP="0090001B">
      <w:pPr>
        <w:pStyle w:val="Sinespaciado"/>
        <w:spacing w:line="276" w:lineRule="auto"/>
        <w:jc w:val="center"/>
        <w:rPr>
          <w:rFonts w:ascii="Arial" w:hAnsi="Arial" w:cs="Arial"/>
          <w:b/>
          <w:sz w:val="24"/>
          <w:szCs w:val="24"/>
        </w:rPr>
      </w:pPr>
      <w:r w:rsidRPr="0090001B">
        <w:rPr>
          <w:rFonts w:ascii="Arial" w:hAnsi="Arial" w:cs="Arial"/>
          <w:b/>
          <w:sz w:val="24"/>
          <w:szCs w:val="24"/>
        </w:rPr>
        <w:t>Consideraciones</w:t>
      </w:r>
    </w:p>
    <w:p w14:paraId="4D4A8CAD" w14:textId="77777777" w:rsidR="00581795" w:rsidRPr="0090001B" w:rsidRDefault="00581795" w:rsidP="0090001B">
      <w:pPr>
        <w:pStyle w:val="Sinespaciado"/>
        <w:spacing w:line="276" w:lineRule="auto"/>
        <w:jc w:val="both"/>
        <w:rPr>
          <w:rFonts w:ascii="Arial" w:hAnsi="Arial" w:cs="Arial"/>
          <w:sz w:val="24"/>
          <w:szCs w:val="24"/>
        </w:rPr>
      </w:pPr>
    </w:p>
    <w:p w14:paraId="40039ABF" w14:textId="0E0F47EA" w:rsidR="00581795" w:rsidRPr="0090001B" w:rsidRDefault="00581795" w:rsidP="0090001B">
      <w:pPr>
        <w:pStyle w:val="Sinespaciado"/>
        <w:numPr>
          <w:ilvl w:val="0"/>
          <w:numId w:val="16"/>
        </w:numPr>
        <w:spacing w:line="276" w:lineRule="auto"/>
        <w:jc w:val="both"/>
        <w:rPr>
          <w:rFonts w:ascii="Arial" w:hAnsi="Arial" w:cs="Arial"/>
          <w:b/>
          <w:sz w:val="24"/>
          <w:szCs w:val="24"/>
        </w:rPr>
      </w:pPr>
      <w:r w:rsidRPr="0090001B">
        <w:rPr>
          <w:rFonts w:ascii="Arial" w:hAnsi="Arial" w:cs="Arial"/>
          <w:b/>
          <w:sz w:val="24"/>
          <w:szCs w:val="24"/>
        </w:rPr>
        <w:t>Antecedentes</w:t>
      </w:r>
    </w:p>
    <w:p w14:paraId="65545951" w14:textId="77777777" w:rsidR="00581795" w:rsidRPr="0090001B" w:rsidRDefault="00581795" w:rsidP="0090001B">
      <w:pPr>
        <w:pStyle w:val="Sinespaciado"/>
        <w:spacing w:line="276" w:lineRule="auto"/>
        <w:jc w:val="both"/>
        <w:rPr>
          <w:rFonts w:ascii="Arial" w:hAnsi="Arial" w:cs="Arial"/>
          <w:sz w:val="24"/>
          <w:szCs w:val="24"/>
        </w:rPr>
      </w:pPr>
    </w:p>
    <w:p w14:paraId="7A071BAA" w14:textId="6339143E" w:rsidR="000B7CBB" w:rsidRPr="0090001B" w:rsidRDefault="00581795" w:rsidP="0090001B">
      <w:pPr>
        <w:spacing w:line="276" w:lineRule="auto"/>
        <w:jc w:val="both"/>
        <w:rPr>
          <w:rFonts w:ascii="Arial" w:hAnsi="Arial" w:cs="Arial"/>
        </w:rPr>
      </w:pPr>
      <w:r w:rsidRPr="0090001B">
        <w:rPr>
          <w:rFonts w:ascii="Arial" w:hAnsi="Arial" w:cs="Arial"/>
        </w:rPr>
        <w:tab/>
      </w:r>
      <w:r w:rsidR="000B7CBB" w:rsidRPr="0090001B">
        <w:rPr>
          <w:rFonts w:ascii="Arial" w:hAnsi="Arial" w:cs="Arial"/>
        </w:rPr>
        <w:t xml:space="preserve">El </w:t>
      </w:r>
      <w:r w:rsidR="001F100C">
        <w:rPr>
          <w:rFonts w:ascii="Arial" w:hAnsi="Arial" w:cs="Arial"/>
        </w:rPr>
        <w:t>11 de abril</w:t>
      </w:r>
      <w:r w:rsidR="00BF5BAE">
        <w:rPr>
          <w:rFonts w:ascii="Arial" w:hAnsi="Arial" w:cs="Arial"/>
        </w:rPr>
        <w:t xml:space="preserve"> del año 2024</w:t>
      </w:r>
      <w:r w:rsidR="000B7CBB" w:rsidRPr="0090001B">
        <w:rPr>
          <w:rFonts w:ascii="Arial" w:hAnsi="Arial" w:cs="Arial"/>
        </w:rPr>
        <w:t xml:space="preserve"> </w:t>
      </w:r>
      <w:r w:rsidR="005D3069" w:rsidRPr="0090001B">
        <w:rPr>
          <w:rFonts w:ascii="Arial" w:hAnsi="Arial" w:cs="Arial"/>
        </w:rPr>
        <w:t>la presidencia de la</w:t>
      </w:r>
      <w:r w:rsidR="000B7CBB" w:rsidRPr="0090001B">
        <w:rPr>
          <w:rFonts w:ascii="Arial" w:hAnsi="Arial" w:cs="Arial"/>
        </w:rPr>
        <w:t xml:space="preserve"> Mesa Directiva de la Sexagésima </w:t>
      </w:r>
      <w:r w:rsidR="00C567AB" w:rsidRPr="0090001B">
        <w:rPr>
          <w:rFonts w:ascii="Arial" w:hAnsi="Arial" w:cs="Arial"/>
        </w:rPr>
        <w:t>Quinta</w:t>
      </w:r>
      <w:r w:rsidR="000B7CBB" w:rsidRPr="0090001B">
        <w:rPr>
          <w:rFonts w:ascii="Arial" w:hAnsi="Arial" w:cs="Arial"/>
        </w:rPr>
        <w:t xml:space="preserve"> Legislatura, </w:t>
      </w:r>
      <w:r w:rsidR="00364368" w:rsidRPr="0090001B">
        <w:rPr>
          <w:rFonts w:ascii="Arial" w:hAnsi="Arial" w:cs="Arial"/>
        </w:rPr>
        <w:t>para efectos de su estudio y dictamen</w:t>
      </w:r>
      <w:r w:rsidR="00DA3661" w:rsidRPr="0090001B">
        <w:rPr>
          <w:rFonts w:ascii="Arial" w:hAnsi="Arial" w:cs="Arial"/>
        </w:rPr>
        <w:t xml:space="preserve"> turnó a esta comisión</w:t>
      </w:r>
      <w:r w:rsidR="00364368" w:rsidRPr="0090001B">
        <w:rPr>
          <w:rFonts w:ascii="Arial" w:hAnsi="Arial" w:cs="Arial"/>
        </w:rPr>
        <w:t xml:space="preserve"> la </w:t>
      </w:r>
      <w:r w:rsidR="004F65DE" w:rsidRPr="0090001B">
        <w:rPr>
          <w:rFonts w:ascii="Arial" w:hAnsi="Arial" w:cs="Arial"/>
        </w:rPr>
        <w:t xml:space="preserve">iniciativa </w:t>
      </w:r>
      <w:r w:rsidR="00364368" w:rsidRPr="0090001B">
        <w:rPr>
          <w:rFonts w:ascii="Arial" w:hAnsi="Arial" w:cs="Arial"/>
        </w:rPr>
        <w:t>referid</w:t>
      </w:r>
      <w:r w:rsidR="004F65DE" w:rsidRPr="0090001B">
        <w:rPr>
          <w:rFonts w:ascii="Arial" w:hAnsi="Arial" w:cs="Arial"/>
        </w:rPr>
        <w:t>a</w:t>
      </w:r>
      <w:r w:rsidR="00364368" w:rsidRPr="0090001B">
        <w:rPr>
          <w:rFonts w:ascii="Arial" w:hAnsi="Arial" w:cs="Arial"/>
        </w:rPr>
        <w:t xml:space="preserve"> en el proemio del presente dictamen</w:t>
      </w:r>
      <w:r w:rsidR="008F7285">
        <w:rPr>
          <w:rFonts w:ascii="Arial" w:hAnsi="Arial" w:cs="Arial"/>
        </w:rPr>
        <w:t xml:space="preserve">, con número de Expediente Legislativo Digital </w:t>
      </w:r>
      <w:r w:rsidR="001F100C">
        <w:rPr>
          <w:rFonts w:ascii="Arial" w:hAnsi="Arial" w:cs="Arial"/>
        </w:rPr>
        <w:t>713</w:t>
      </w:r>
      <w:r w:rsidR="008F7285">
        <w:rPr>
          <w:rFonts w:ascii="Arial" w:hAnsi="Arial" w:cs="Arial"/>
        </w:rPr>
        <w:t>/LXV-I. Lo anterior</w:t>
      </w:r>
      <w:r w:rsidR="00364368" w:rsidRPr="0090001B">
        <w:rPr>
          <w:rFonts w:ascii="Arial" w:hAnsi="Arial" w:cs="Arial"/>
        </w:rPr>
        <w:t xml:space="preserve"> con fundamento en el artículo 10</w:t>
      </w:r>
      <w:r w:rsidR="00EE4A92" w:rsidRPr="0090001B">
        <w:rPr>
          <w:rFonts w:ascii="Arial" w:hAnsi="Arial" w:cs="Arial"/>
        </w:rPr>
        <w:t>9</w:t>
      </w:r>
      <w:r w:rsidR="00364368" w:rsidRPr="0090001B">
        <w:rPr>
          <w:rFonts w:ascii="Arial" w:hAnsi="Arial" w:cs="Arial"/>
        </w:rPr>
        <w:t xml:space="preserve"> fracción I de la Ley Orgánica del Poder Legislativo del Estado de Guanajuato</w:t>
      </w:r>
      <w:r w:rsidR="000B7CBB" w:rsidRPr="0090001B">
        <w:rPr>
          <w:rFonts w:ascii="Arial" w:hAnsi="Arial" w:cs="Arial"/>
        </w:rPr>
        <w:t>.</w:t>
      </w:r>
    </w:p>
    <w:p w14:paraId="1D01AF7E" w14:textId="25F637FA" w:rsidR="000B7CBB" w:rsidRPr="0090001B" w:rsidRDefault="000B7CBB" w:rsidP="0090001B">
      <w:pPr>
        <w:spacing w:line="276" w:lineRule="auto"/>
        <w:jc w:val="both"/>
        <w:rPr>
          <w:rFonts w:ascii="Arial" w:hAnsi="Arial" w:cs="Arial"/>
        </w:rPr>
      </w:pPr>
    </w:p>
    <w:p w14:paraId="4E95E67B" w14:textId="212A233D" w:rsidR="0043061A" w:rsidRDefault="000B7CBB" w:rsidP="0090001B">
      <w:pPr>
        <w:pStyle w:val="Sinespaciado"/>
        <w:spacing w:line="276" w:lineRule="auto"/>
        <w:jc w:val="both"/>
        <w:rPr>
          <w:rFonts w:ascii="Arial" w:eastAsiaTheme="minorHAnsi" w:hAnsi="Arial" w:cs="Arial"/>
          <w:sz w:val="24"/>
          <w:szCs w:val="24"/>
          <w:lang w:eastAsia="en-US"/>
        </w:rPr>
      </w:pPr>
      <w:r w:rsidRPr="0090001B">
        <w:rPr>
          <w:rFonts w:ascii="Arial" w:eastAsia="Arial Unicode MS" w:hAnsi="Arial" w:cs="Arial"/>
          <w:sz w:val="24"/>
          <w:szCs w:val="24"/>
        </w:rPr>
        <w:t xml:space="preserve"> </w:t>
      </w:r>
      <w:r w:rsidRPr="0090001B">
        <w:rPr>
          <w:rFonts w:ascii="Arial" w:eastAsia="Arial Unicode MS" w:hAnsi="Arial" w:cs="Arial"/>
          <w:sz w:val="24"/>
          <w:szCs w:val="24"/>
        </w:rPr>
        <w:tab/>
      </w:r>
      <w:r w:rsidR="0043061A" w:rsidRPr="0090001B">
        <w:rPr>
          <w:rFonts w:ascii="Arial" w:eastAsiaTheme="minorHAnsi" w:hAnsi="Arial" w:cs="Arial"/>
          <w:sz w:val="24"/>
          <w:szCs w:val="24"/>
          <w:lang w:eastAsia="en-US"/>
        </w:rPr>
        <w:t xml:space="preserve">Posteriormente, el </w:t>
      </w:r>
      <w:r w:rsidR="00BF5BAE">
        <w:rPr>
          <w:rFonts w:ascii="Arial" w:eastAsiaTheme="minorHAnsi" w:hAnsi="Arial" w:cs="Arial"/>
          <w:sz w:val="24"/>
          <w:szCs w:val="24"/>
          <w:lang w:eastAsia="en-US"/>
        </w:rPr>
        <w:t>25 de abril</w:t>
      </w:r>
      <w:r w:rsidR="0044738E" w:rsidRPr="0090001B">
        <w:rPr>
          <w:rFonts w:ascii="Arial" w:eastAsiaTheme="minorHAnsi" w:hAnsi="Arial" w:cs="Arial"/>
          <w:sz w:val="24"/>
          <w:szCs w:val="24"/>
          <w:lang w:eastAsia="en-US"/>
        </w:rPr>
        <w:t xml:space="preserve"> del año 202</w:t>
      </w:r>
      <w:r w:rsidR="00BF5BAE">
        <w:rPr>
          <w:rFonts w:ascii="Arial" w:eastAsiaTheme="minorHAnsi" w:hAnsi="Arial" w:cs="Arial"/>
          <w:sz w:val="24"/>
          <w:szCs w:val="24"/>
          <w:lang w:eastAsia="en-US"/>
        </w:rPr>
        <w:t>4</w:t>
      </w:r>
      <w:r w:rsidR="0043061A" w:rsidRPr="0090001B">
        <w:rPr>
          <w:rFonts w:ascii="Arial" w:eastAsiaTheme="minorHAnsi" w:hAnsi="Arial" w:cs="Arial"/>
          <w:sz w:val="24"/>
          <w:szCs w:val="24"/>
          <w:lang w:eastAsia="en-US"/>
        </w:rPr>
        <w:t xml:space="preserve">, la comisión dictaminadora radicó la </w:t>
      </w:r>
      <w:r w:rsidR="00EF52A7">
        <w:rPr>
          <w:rFonts w:ascii="Arial" w:eastAsiaTheme="minorHAnsi" w:hAnsi="Arial" w:cs="Arial"/>
          <w:sz w:val="24"/>
          <w:szCs w:val="24"/>
          <w:lang w:eastAsia="en-US"/>
        </w:rPr>
        <w:t>iniciativa</w:t>
      </w:r>
      <w:r w:rsidR="0043061A" w:rsidRPr="0090001B">
        <w:rPr>
          <w:rFonts w:ascii="Arial" w:eastAsiaTheme="minorHAnsi" w:hAnsi="Arial" w:cs="Arial"/>
          <w:sz w:val="24"/>
          <w:szCs w:val="24"/>
          <w:lang w:eastAsia="en-US"/>
        </w:rPr>
        <w:t xml:space="preserve"> </w:t>
      </w:r>
      <w:r w:rsidR="00A43002" w:rsidRPr="0090001B">
        <w:rPr>
          <w:rFonts w:ascii="Arial" w:eastAsiaTheme="minorHAnsi" w:hAnsi="Arial" w:cs="Arial"/>
          <w:sz w:val="24"/>
          <w:szCs w:val="24"/>
          <w:lang w:eastAsia="en-US"/>
        </w:rPr>
        <w:t xml:space="preserve">y </w:t>
      </w:r>
      <w:r w:rsidR="0043061A" w:rsidRPr="0090001B">
        <w:rPr>
          <w:rFonts w:ascii="Arial" w:eastAsiaTheme="minorHAnsi" w:hAnsi="Arial" w:cs="Arial"/>
          <w:sz w:val="24"/>
          <w:szCs w:val="24"/>
          <w:lang w:eastAsia="en-US"/>
        </w:rPr>
        <w:t xml:space="preserve">acordó la metodología para su estudio </w:t>
      </w:r>
      <w:r w:rsidR="008F7285">
        <w:rPr>
          <w:rFonts w:ascii="Arial" w:eastAsiaTheme="minorHAnsi" w:hAnsi="Arial" w:cs="Arial"/>
          <w:sz w:val="24"/>
          <w:szCs w:val="24"/>
          <w:lang w:eastAsia="en-US"/>
        </w:rPr>
        <w:t>quedando de la siguiente forma:</w:t>
      </w:r>
    </w:p>
    <w:p w14:paraId="509FE09B" w14:textId="77777777" w:rsidR="009422CC" w:rsidRDefault="009422CC" w:rsidP="00332079">
      <w:pPr>
        <w:pStyle w:val="Sinespaciado"/>
        <w:spacing w:line="276" w:lineRule="auto"/>
        <w:jc w:val="both"/>
        <w:rPr>
          <w:rFonts w:ascii="Arial" w:eastAsiaTheme="minorHAnsi" w:hAnsi="Arial" w:cs="Arial"/>
          <w:b/>
          <w:bCs/>
          <w:sz w:val="24"/>
          <w:szCs w:val="24"/>
          <w:lang w:eastAsia="en-US"/>
        </w:rPr>
      </w:pPr>
    </w:p>
    <w:p w14:paraId="77E7CF65" w14:textId="77777777" w:rsidR="00F42A37" w:rsidRDefault="00F42A37" w:rsidP="00332079">
      <w:pPr>
        <w:pStyle w:val="Sinespaciado"/>
        <w:spacing w:line="276" w:lineRule="auto"/>
        <w:jc w:val="both"/>
        <w:rPr>
          <w:rFonts w:ascii="Arial" w:eastAsiaTheme="minorHAnsi" w:hAnsi="Arial" w:cs="Arial"/>
          <w:b/>
          <w:bCs/>
          <w:sz w:val="24"/>
          <w:szCs w:val="24"/>
          <w:lang w:eastAsia="en-US"/>
        </w:rPr>
      </w:pPr>
    </w:p>
    <w:p w14:paraId="5AB84A67" w14:textId="77777777" w:rsidR="00F42A37" w:rsidRDefault="00F42A37" w:rsidP="00332079">
      <w:pPr>
        <w:pStyle w:val="Sinespaciado"/>
        <w:spacing w:line="276" w:lineRule="auto"/>
        <w:jc w:val="both"/>
        <w:rPr>
          <w:rFonts w:ascii="Arial" w:eastAsiaTheme="minorHAnsi" w:hAnsi="Arial" w:cs="Arial"/>
          <w:b/>
          <w:bCs/>
          <w:sz w:val="24"/>
          <w:szCs w:val="24"/>
          <w:lang w:eastAsia="en-US"/>
        </w:rPr>
      </w:pPr>
    </w:p>
    <w:p w14:paraId="29A390D4" w14:textId="77777777" w:rsidR="00F42A37" w:rsidRPr="0090001B" w:rsidRDefault="00F42A37" w:rsidP="00332079">
      <w:pPr>
        <w:pStyle w:val="Sinespaciado"/>
        <w:spacing w:line="276" w:lineRule="auto"/>
        <w:jc w:val="both"/>
        <w:rPr>
          <w:rFonts w:ascii="Arial" w:eastAsiaTheme="minorHAnsi" w:hAnsi="Arial" w:cs="Arial"/>
          <w:b/>
          <w:bCs/>
          <w:sz w:val="24"/>
          <w:szCs w:val="24"/>
          <w:lang w:eastAsia="en-US"/>
        </w:rPr>
      </w:pPr>
    </w:p>
    <w:p w14:paraId="1376E6C4" w14:textId="54E72FB8" w:rsidR="0043061A" w:rsidRPr="0090001B" w:rsidRDefault="0043061A" w:rsidP="0090001B">
      <w:pPr>
        <w:pStyle w:val="Sinespaciado"/>
        <w:numPr>
          <w:ilvl w:val="1"/>
          <w:numId w:val="16"/>
        </w:numPr>
        <w:spacing w:line="276" w:lineRule="auto"/>
        <w:jc w:val="both"/>
        <w:rPr>
          <w:rFonts w:ascii="Arial" w:eastAsiaTheme="minorHAnsi" w:hAnsi="Arial" w:cs="Arial"/>
          <w:b/>
          <w:bCs/>
          <w:sz w:val="24"/>
          <w:szCs w:val="24"/>
          <w:lang w:eastAsia="en-US"/>
        </w:rPr>
      </w:pPr>
      <w:r w:rsidRPr="0090001B">
        <w:rPr>
          <w:rFonts w:ascii="Arial" w:eastAsiaTheme="minorHAnsi" w:hAnsi="Arial" w:cs="Arial"/>
          <w:b/>
          <w:bCs/>
          <w:sz w:val="24"/>
          <w:szCs w:val="24"/>
          <w:lang w:eastAsia="en-US"/>
        </w:rPr>
        <w:t xml:space="preserve">Metodología de trabajo </w:t>
      </w:r>
    </w:p>
    <w:p w14:paraId="537FAAA5" w14:textId="77777777" w:rsidR="0043061A" w:rsidRPr="0090001B" w:rsidRDefault="0043061A" w:rsidP="0090001B">
      <w:pPr>
        <w:pStyle w:val="Sinespaciado"/>
        <w:spacing w:line="276" w:lineRule="auto"/>
        <w:jc w:val="both"/>
        <w:rPr>
          <w:rFonts w:ascii="Arial" w:eastAsiaTheme="minorHAnsi" w:hAnsi="Arial" w:cs="Arial"/>
          <w:sz w:val="24"/>
          <w:szCs w:val="24"/>
          <w:lang w:eastAsia="en-US"/>
        </w:rPr>
      </w:pPr>
    </w:p>
    <w:p w14:paraId="2F3769A8" w14:textId="63870F93" w:rsidR="001F100C" w:rsidRPr="001F100C" w:rsidRDefault="001F100C" w:rsidP="001F100C">
      <w:pPr>
        <w:pStyle w:val="Prrafodelista"/>
        <w:numPr>
          <w:ilvl w:val="0"/>
          <w:numId w:val="36"/>
        </w:numPr>
        <w:shd w:val="clear" w:color="auto" w:fill="FFFFFF"/>
        <w:jc w:val="both"/>
        <w:rPr>
          <w:rFonts w:ascii="Arial" w:eastAsia="Times New Roman" w:hAnsi="Arial" w:cs="Arial"/>
          <w:i/>
          <w:iCs/>
          <w:lang w:eastAsia="es-MX"/>
        </w:rPr>
      </w:pPr>
      <w:bookmarkStart w:id="4" w:name="_Hlk8030224"/>
      <w:bookmarkEnd w:id="0"/>
      <w:r w:rsidRPr="001F100C">
        <w:rPr>
          <w:rFonts w:ascii="Arial" w:eastAsia="Times New Roman" w:hAnsi="Arial" w:cs="Arial"/>
          <w:i/>
          <w:iCs/>
          <w:lang w:eastAsia="es-MX"/>
        </w:rPr>
        <w:t>Remitir la iniciativa para efectos de su consulta, con fecha límite de respuesta el 24 de mayo del año en curso a:</w:t>
      </w:r>
    </w:p>
    <w:p w14:paraId="7BDD2F2A" w14:textId="77777777" w:rsidR="001F100C" w:rsidRPr="001F100C" w:rsidRDefault="001F100C" w:rsidP="001F100C">
      <w:pPr>
        <w:shd w:val="clear" w:color="auto" w:fill="FFFFFF"/>
        <w:ind w:left="851" w:hanging="284"/>
        <w:jc w:val="both"/>
        <w:rPr>
          <w:rFonts w:ascii="Arial" w:eastAsia="Times New Roman" w:hAnsi="Arial" w:cs="Arial"/>
          <w:i/>
          <w:iCs/>
          <w:lang w:eastAsia="es-MX"/>
        </w:rPr>
      </w:pPr>
      <w:r w:rsidRPr="001F100C">
        <w:rPr>
          <w:rFonts w:ascii="Arial" w:eastAsia="Times New Roman" w:hAnsi="Arial" w:cs="Arial"/>
          <w:i/>
          <w:iCs/>
          <w:lang w:eastAsia="es-MX"/>
        </w:rPr>
        <w:t>•</w:t>
      </w:r>
      <w:r w:rsidRPr="001F100C">
        <w:rPr>
          <w:rFonts w:ascii="Arial" w:eastAsia="Times New Roman" w:hAnsi="Arial" w:cs="Arial"/>
          <w:i/>
          <w:iCs/>
          <w:lang w:eastAsia="es-MX"/>
        </w:rPr>
        <w:tab/>
        <w:t>La Coordinación General Jurídica,</w:t>
      </w:r>
    </w:p>
    <w:p w14:paraId="6F6755FE" w14:textId="77777777" w:rsidR="001F100C" w:rsidRPr="001F100C" w:rsidRDefault="001F100C" w:rsidP="001F100C">
      <w:pPr>
        <w:shd w:val="clear" w:color="auto" w:fill="FFFFFF"/>
        <w:ind w:left="851" w:hanging="284"/>
        <w:jc w:val="both"/>
        <w:rPr>
          <w:rFonts w:ascii="Arial" w:eastAsia="Times New Roman" w:hAnsi="Arial" w:cs="Arial"/>
          <w:i/>
          <w:iCs/>
          <w:lang w:eastAsia="es-MX"/>
        </w:rPr>
      </w:pPr>
      <w:r w:rsidRPr="001F100C">
        <w:rPr>
          <w:rFonts w:ascii="Arial" w:eastAsia="Times New Roman" w:hAnsi="Arial" w:cs="Arial"/>
          <w:i/>
          <w:iCs/>
          <w:lang w:eastAsia="es-MX"/>
        </w:rPr>
        <w:t>•</w:t>
      </w:r>
      <w:r w:rsidRPr="001F100C">
        <w:rPr>
          <w:rFonts w:ascii="Arial" w:eastAsia="Times New Roman" w:hAnsi="Arial" w:cs="Arial"/>
          <w:i/>
          <w:iCs/>
          <w:lang w:eastAsia="es-MX"/>
        </w:rPr>
        <w:tab/>
        <w:t>La Secretaría de Educación,</w:t>
      </w:r>
    </w:p>
    <w:p w14:paraId="6A5AD54D" w14:textId="77777777" w:rsidR="001F100C" w:rsidRPr="001F100C" w:rsidRDefault="001F100C" w:rsidP="001F100C">
      <w:pPr>
        <w:shd w:val="clear" w:color="auto" w:fill="FFFFFF"/>
        <w:ind w:left="851" w:hanging="284"/>
        <w:jc w:val="both"/>
        <w:rPr>
          <w:rFonts w:ascii="Arial" w:eastAsia="Times New Roman" w:hAnsi="Arial" w:cs="Arial"/>
          <w:i/>
          <w:iCs/>
          <w:lang w:eastAsia="es-MX"/>
        </w:rPr>
      </w:pPr>
      <w:r w:rsidRPr="001F100C">
        <w:rPr>
          <w:rFonts w:ascii="Arial" w:eastAsia="Times New Roman" w:hAnsi="Arial" w:cs="Arial"/>
          <w:i/>
          <w:iCs/>
          <w:lang w:eastAsia="es-MX"/>
        </w:rPr>
        <w:t>•</w:t>
      </w:r>
      <w:r w:rsidRPr="001F100C">
        <w:rPr>
          <w:rFonts w:ascii="Arial" w:eastAsia="Times New Roman" w:hAnsi="Arial" w:cs="Arial"/>
          <w:i/>
          <w:iCs/>
          <w:lang w:eastAsia="es-MX"/>
        </w:rPr>
        <w:tab/>
        <w:t>La Secretaría de Salud.</w:t>
      </w:r>
    </w:p>
    <w:p w14:paraId="39B5D7B2" w14:textId="77777777" w:rsidR="001F100C" w:rsidRPr="001F100C" w:rsidRDefault="001F100C" w:rsidP="001F100C">
      <w:pPr>
        <w:shd w:val="clear" w:color="auto" w:fill="FFFFFF"/>
        <w:jc w:val="both"/>
        <w:rPr>
          <w:rFonts w:ascii="Arial" w:eastAsia="Times New Roman" w:hAnsi="Arial" w:cs="Arial"/>
          <w:i/>
          <w:iCs/>
          <w:lang w:eastAsia="es-MX"/>
        </w:rPr>
      </w:pPr>
    </w:p>
    <w:p w14:paraId="1ACA95E2" w14:textId="77777777" w:rsidR="001F100C" w:rsidRDefault="001F100C" w:rsidP="001F100C">
      <w:pPr>
        <w:pStyle w:val="Prrafodelista"/>
        <w:numPr>
          <w:ilvl w:val="0"/>
          <w:numId w:val="36"/>
        </w:numPr>
        <w:shd w:val="clear" w:color="auto" w:fill="FFFFFF"/>
        <w:jc w:val="both"/>
        <w:rPr>
          <w:rFonts w:ascii="Arial" w:eastAsia="Times New Roman" w:hAnsi="Arial" w:cs="Arial"/>
          <w:i/>
          <w:iCs/>
          <w:lang w:eastAsia="es-MX"/>
        </w:rPr>
      </w:pPr>
      <w:r w:rsidRPr="001F100C">
        <w:rPr>
          <w:rFonts w:ascii="Arial" w:eastAsia="Times New Roman" w:hAnsi="Arial" w:cs="Arial"/>
          <w:i/>
          <w:iCs/>
          <w:lang w:eastAsia="es-MX"/>
        </w:rPr>
        <w:t>Establecer un micrositio en la página web del Congreso del Estado para consulta ciudadana de la iniciativa, hasta el día 24 de mayo del año en curso.</w:t>
      </w:r>
    </w:p>
    <w:p w14:paraId="2B2C7F52" w14:textId="77777777" w:rsidR="001F100C" w:rsidRDefault="001F100C" w:rsidP="001F100C">
      <w:pPr>
        <w:pStyle w:val="Prrafodelista"/>
        <w:shd w:val="clear" w:color="auto" w:fill="FFFFFF"/>
        <w:jc w:val="both"/>
        <w:rPr>
          <w:rFonts w:ascii="Arial" w:eastAsia="Times New Roman" w:hAnsi="Arial" w:cs="Arial"/>
          <w:i/>
          <w:iCs/>
          <w:lang w:eastAsia="es-MX"/>
        </w:rPr>
      </w:pPr>
    </w:p>
    <w:p w14:paraId="6A5E9D00" w14:textId="77777777" w:rsidR="001F100C" w:rsidRDefault="001F100C" w:rsidP="001F100C">
      <w:pPr>
        <w:pStyle w:val="Prrafodelista"/>
        <w:numPr>
          <w:ilvl w:val="0"/>
          <w:numId w:val="36"/>
        </w:numPr>
        <w:shd w:val="clear" w:color="auto" w:fill="FFFFFF"/>
        <w:jc w:val="both"/>
        <w:rPr>
          <w:rFonts w:ascii="Arial" w:eastAsia="Times New Roman" w:hAnsi="Arial" w:cs="Arial"/>
          <w:i/>
          <w:iCs/>
          <w:lang w:eastAsia="es-MX"/>
        </w:rPr>
      </w:pPr>
      <w:r w:rsidRPr="001F100C">
        <w:rPr>
          <w:rFonts w:ascii="Arial" w:eastAsia="Times New Roman" w:hAnsi="Arial" w:cs="Arial"/>
          <w:i/>
          <w:iCs/>
          <w:lang w:eastAsia="es-MX"/>
        </w:rPr>
        <w:t>Elaborar comparativo con las respuestas derivadas de la consulta de la iniciativa, por parte de la secretaría técnica.</w:t>
      </w:r>
    </w:p>
    <w:p w14:paraId="723BC69F" w14:textId="77777777" w:rsidR="001F100C" w:rsidRPr="001F100C" w:rsidRDefault="001F100C" w:rsidP="001F100C">
      <w:pPr>
        <w:shd w:val="clear" w:color="auto" w:fill="FFFFFF"/>
        <w:jc w:val="both"/>
        <w:rPr>
          <w:rFonts w:ascii="Arial" w:eastAsia="Times New Roman" w:hAnsi="Arial" w:cs="Arial"/>
          <w:i/>
          <w:iCs/>
          <w:lang w:eastAsia="es-MX"/>
        </w:rPr>
      </w:pPr>
    </w:p>
    <w:p w14:paraId="4C26B6BA" w14:textId="77777777" w:rsidR="001F100C" w:rsidRDefault="001F100C" w:rsidP="001F100C">
      <w:pPr>
        <w:pStyle w:val="Prrafodelista"/>
        <w:numPr>
          <w:ilvl w:val="0"/>
          <w:numId w:val="36"/>
        </w:numPr>
        <w:shd w:val="clear" w:color="auto" w:fill="FFFFFF"/>
        <w:jc w:val="both"/>
        <w:rPr>
          <w:rFonts w:ascii="Arial" w:eastAsia="Times New Roman" w:hAnsi="Arial" w:cs="Arial"/>
          <w:i/>
          <w:iCs/>
          <w:lang w:eastAsia="es-MX"/>
        </w:rPr>
      </w:pPr>
      <w:r w:rsidRPr="001F100C">
        <w:rPr>
          <w:rFonts w:ascii="Arial" w:eastAsia="Times New Roman" w:hAnsi="Arial" w:cs="Arial"/>
          <w:i/>
          <w:iCs/>
          <w:lang w:eastAsia="es-MX"/>
        </w:rPr>
        <w:t>Mesa de trabajo en la que participarán las diputadas y el diputado integrantes de la comisión, representantes de la Secretaría de Educación, la Secretaría de Salud y la Coordinación General Jurídica; así como el personal de asesoría de los grupos representados en la comisión y la secretaría técnica.</w:t>
      </w:r>
    </w:p>
    <w:p w14:paraId="15A7CFCC" w14:textId="77777777" w:rsidR="001F100C" w:rsidRPr="001F100C" w:rsidRDefault="001F100C" w:rsidP="001F100C">
      <w:pPr>
        <w:shd w:val="clear" w:color="auto" w:fill="FFFFFF"/>
        <w:jc w:val="both"/>
        <w:rPr>
          <w:rFonts w:ascii="Arial" w:eastAsia="Times New Roman" w:hAnsi="Arial" w:cs="Arial"/>
          <w:i/>
          <w:iCs/>
          <w:lang w:eastAsia="es-MX"/>
        </w:rPr>
      </w:pPr>
    </w:p>
    <w:p w14:paraId="2DB9A8E5" w14:textId="204D2F92" w:rsidR="001F100C" w:rsidRPr="001F100C" w:rsidRDefault="001F100C" w:rsidP="001F100C">
      <w:pPr>
        <w:pStyle w:val="Prrafodelista"/>
        <w:numPr>
          <w:ilvl w:val="0"/>
          <w:numId w:val="36"/>
        </w:numPr>
        <w:shd w:val="clear" w:color="auto" w:fill="FFFFFF"/>
        <w:jc w:val="both"/>
        <w:rPr>
          <w:rFonts w:ascii="Arial" w:eastAsia="Times New Roman" w:hAnsi="Arial" w:cs="Arial"/>
          <w:i/>
          <w:iCs/>
          <w:lang w:eastAsia="es-MX"/>
        </w:rPr>
      </w:pPr>
      <w:r w:rsidRPr="001F100C">
        <w:rPr>
          <w:rFonts w:ascii="Arial" w:eastAsia="Times New Roman" w:hAnsi="Arial" w:cs="Arial"/>
          <w:i/>
          <w:iCs/>
          <w:lang w:eastAsia="es-MX"/>
        </w:rPr>
        <w:t>Reunión de la Comisión de Educación, Ciencia y Tecnología y Cultura para la discusión y, en su caso, aprobación del dictamen.</w:t>
      </w:r>
    </w:p>
    <w:p w14:paraId="5B566030" w14:textId="77777777" w:rsidR="001F100C" w:rsidRDefault="001F100C" w:rsidP="0090001B">
      <w:pPr>
        <w:spacing w:line="276" w:lineRule="auto"/>
        <w:ind w:firstLine="426"/>
        <w:jc w:val="both"/>
        <w:rPr>
          <w:rFonts w:ascii="Arial" w:hAnsi="Arial" w:cs="Arial"/>
        </w:rPr>
      </w:pPr>
      <w:bookmarkStart w:id="5" w:name="_Hlk114833447"/>
    </w:p>
    <w:p w14:paraId="6020BB4E" w14:textId="77731EBD" w:rsidR="00F03FCB" w:rsidRDefault="0073205C" w:rsidP="0090001B">
      <w:pPr>
        <w:spacing w:line="276" w:lineRule="auto"/>
        <w:ind w:firstLine="426"/>
        <w:jc w:val="both"/>
        <w:rPr>
          <w:rFonts w:ascii="Arial" w:hAnsi="Arial" w:cs="Arial"/>
        </w:rPr>
      </w:pPr>
      <w:r>
        <w:rPr>
          <w:rFonts w:ascii="Arial" w:hAnsi="Arial" w:cs="Arial"/>
        </w:rPr>
        <w:t xml:space="preserve">En fecha </w:t>
      </w:r>
      <w:r w:rsidR="00BF5BAE">
        <w:rPr>
          <w:rFonts w:ascii="Arial" w:hAnsi="Arial" w:cs="Arial"/>
        </w:rPr>
        <w:t>16 de julio</w:t>
      </w:r>
      <w:r>
        <w:rPr>
          <w:rFonts w:ascii="Arial" w:hAnsi="Arial" w:cs="Arial"/>
        </w:rPr>
        <w:t xml:space="preserve"> del año en curso, se llevó a cabo la mesa de trabajo en las que participaron integrantes de la comisión, representantes de</w:t>
      </w:r>
      <w:r w:rsidR="001F100C">
        <w:rPr>
          <w:rFonts w:ascii="Arial" w:hAnsi="Arial" w:cs="Arial"/>
        </w:rPr>
        <w:t xml:space="preserve"> las</w:t>
      </w:r>
      <w:r>
        <w:rPr>
          <w:rFonts w:ascii="Arial" w:hAnsi="Arial" w:cs="Arial"/>
        </w:rPr>
        <w:t xml:space="preserve"> </w:t>
      </w:r>
      <w:r w:rsidR="001F100C">
        <w:rPr>
          <w:rFonts w:ascii="Arial" w:hAnsi="Arial" w:cs="Arial"/>
        </w:rPr>
        <w:t>s</w:t>
      </w:r>
      <w:r>
        <w:rPr>
          <w:rFonts w:ascii="Arial" w:hAnsi="Arial" w:cs="Arial"/>
        </w:rPr>
        <w:t>ecretaría</w:t>
      </w:r>
      <w:r w:rsidR="001F100C">
        <w:rPr>
          <w:rFonts w:ascii="Arial" w:hAnsi="Arial" w:cs="Arial"/>
        </w:rPr>
        <w:t>s</w:t>
      </w:r>
      <w:r>
        <w:rPr>
          <w:rFonts w:ascii="Arial" w:hAnsi="Arial" w:cs="Arial"/>
        </w:rPr>
        <w:t xml:space="preserve"> de </w:t>
      </w:r>
      <w:r w:rsidRPr="004E52CF">
        <w:rPr>
          <w:rFonts w:ascii="Arial" w:hAnsi="Arial" w:cs="Arial"/>
        </w:rPr>
        <w:t>Educación</w:t>
      </w:r>
      <w:r w:rsidR="001F100C">
        <w:rPr>
          <w:rFonts w:ascii="Arial" w:hAnsi="Arial" w:cs="Arial"/>
        </w:rPr>
        <w:t xml:space="preserve">, de Salud </w:t>
      </w:r>
      <w:r w:rsidRPr="004E52CF">
        <w:rPr>
          <w:rFonts w:ascii="Arial" w:hAnsi="Arial" w:cs="Arial"/>
        </w:rPr>
        <w:t xml:space="preserve">y </w:t>
      </w:r>
      <w:r w:rsidR="001F100C">
        <w:rPr>
          <w:rFonts w:ascii="Arial" w:hAnsi="Arial" w:cs="Arial"/>
        </w:rPr>
        <w:t xml:space="preserve">de </w:t>
      </w:r>
      <w:r w:rsidRPr="004E52CF">
        <w:rPr>
          <w:rFonts w:ascii="Arial" w:hAnsi="Arial" w:cs="Arial"/>
        </w:rPr>
        <w:t>la Coordinación General Jurídica, así como</w:t>
      </w:r>
      <w:r w:rsidR="00DA20E9">
        <w:rPr>
          <w:rFonts w:ascii="Arial" w:hAnsi="Arial" w:cs="Arial"/>
        </w:rPr>
        <w:t xml:space="preserve"> el personal de asesoría </w:t>
      </w:r>
      <w:r>
        <w:rPr>
          <w:rFonts w:ascii="Arial" w:hAnsi="Arial" w:cs="Arial"/>
        </w:rPr>
        <w:t>de los grupos representados en la comisión y la secretaría técnica, donde se recibieron las opiniones y comentarios de l</w:t>
      </w:r>
      <w:r w:rsidR="00DA20E9">
        <w:rPr>
          <w:rFonts w:ascii="Arial" w:hAnsi="Arial" w:cs="Arial"/>
        </w:rPr>
        <w:t>a</w:t>
      </w:r>
      <w:r>
        <w:rPr>
          <w:rFonts w:ascii="Arial" w:hAnsi="Arial" w:cs="Arial"/>
        </w:rPr>
        <w:t>s</w:t>
      </w:r>
      <w:r w:rsidR="00DA20E9">
        <w:rPr>
          <w:rFonts w:ascii="Arial" w:hAnsi="Arial" w:cs="Arial"/>
        </w:rPr>
        <w:t xml:space="preserve"> y los</w:t>
      </w:r>
      <w:r>
        <w:rPr>
          <w:rFonts w:ascii="Arial" w:hAnsi="Arial" w:cs="Arial"/>
        </w:rPr>
        <w:t xml:space="preserve"> participantes</w:t>
      </w:r>
      <w:r w:rsidR="00BF5BAE">
        <w:rPr>
          <w:rFonts w:ascii="Arial" w:hAnsi="Arial" w:cs="Arial"/>
        </w:rPr>
        <w:t xml:space="preserve"> </w:t>
      </w:r>
      <w:r w:rsidR="00652335">
        <w:rPr>
          <w:rFonts w:ascii="Arial" w:hAnsi="Arial" w:cs="Arial"/>
        </w:rPr>
        <w:t>de las</w:t>
      </w:r>
      <w:r>
        <w:rPr>
          <w:rFonts w:ascii="Arial" w:hAnsi="Arial" w:cs="Arial"/>
        </w:rPr>
        <w:t xml:space="preserve"> dependencias consultadas</w:t>
      </w:r>
      <w:r w:rsidR="00E04C6E" w:rsidRPr="0090001B">
        <w:rPr>
          <w:rFonts w:ascii="Arial" w:hAnsi="Arial" w:cs="Arial"/>
        </w:rPr>
        <w:t>.</w:t>
      </w:r>
    </w:p>
    <w:p w14:paraId="3825D035" w14:textId="77777777" w:rsidR="00332079" w:rsidRDefault="00332079" w:rsidP="0090001B">
      <w:pPr>
        <w:spacing w:line="276" w:lineRule="auto"/>
        <w:ind w:firstLine="426"/>
        <w:jc w:val="both"/>
        <w:rPr>
          <w:rFonts w:ascii="Arial" w:hAnsi="Arial" w:cs="Arial"/>
        </w:rPr>
      </w:pPr>
    </w:p>
    <w:p w14:paraId="79179E7C" w14:textId="77777777" w:rsidR="003A44DC" w:rsidRPr="007A4BD0" w:rsidRDefault="003A44DC" w:rsidP="003A44DC">
      <w:pPr>
        <w:pStyle w:val="Sinespaciado"/>
        <w:spacing w:line="276" w:lineRule="auto"/>
        <w:ind w:firstLine="709"/>
        <w:jc w:val="both"/>
        <w:rPr>
          <w:rFonts w:ascii="Arial" w:hAnsi="Arial" w:cs="Arial"/>
          <w:sz w:val="24"/>
          <w:szCs w:val="24"/>
        </w:rPr>
      </w:pPr>
      <w:r w:rsidRPr="007A4BD0">
        <w:rPr>
          <w:rFonts w:ascii="Arial" w:hAnsi="Arial" w:cs="Arial"/>
          <w:sz w:val="24"/>
          <w:szCs w:val="24"/>
        </w:rPr>
        <w:lastRenderedPageBreak/>
        <w:t>Al respecto la Coordinación General Jurídica de sus opiniones se desprenden en lo medular las siguientes:</w:t>
      </w:r>
    </w:p>
    <w:p w14:paraId="1A28048B" w14:textId="77777777" w:rsidR="003A44DC" w:rsidRPr="007A4BD0" w:rsidRDefault="003A44DC" w:rsidP="003A44DC">
      <w:pPr>
        <w:pStyle w:val="Sinespaciado"/>
        <w:spacing w:line="276" w:lineRule="auto"/>
        <w:ind w:firstLine="709"/>
        <w:jc w:val="both"/>
        <w:rPr>
          <w:rFonts w:ascii="Arial" w:hAnsi="Arial" w:cs="Arial"/>
          <w:sz w:val="24"/>
          <w:szCs w:val="24"/>
        </w:rPr>
      </w:pPr>
    </w:p>
    <w:p w14:paraId="0C4307F7" w14:textId="77777777" w:rsidR="003A44DC" w:rsidRDefault="003A44DC" w:rsidP="003A44DC">
      <w:pPr>
        <w:pStyle w:val="Sinespaciado"/>
        <w:ind w:left="567" w:right="333" w:firstLine="709"/>
        <w:jc w:val="both"/>
        <w:rPr>
          <w:rFonts w:ascii="Arial" w:hAnsi="Arial" w:cs="Arial"/>
          <w:sz w:val="20"/>
          <w:szCs w:val="20"/>
        </w:rPr>
      </w:pPr>
      <w:r>
        <w:rPr>
          <w:rFonts w:ascii="Arial" w:hAnsi="Arial" w:cs="Arial"/>
          <w:sz w:val="20"/>
          <w:szCs w:val="20"/>
        </w:rPr>
        <w:t>“…</w:t>
      </w:r>
    </w:p>
    <w:p w14:paraId="02953C71" w14:textId="77777777" w:rsidR="003A44DC" w:rsidRDefault="003A44DC" w:rsidP="003A44DC">
      <w:pPr>
        <w:pStyle w:val="Sinespaciado"/>
        <w:ind w:left="567" w:right="333" w:firstLine="709"/>
        <w:jc w:val="both"/>
        <w:rPr>
          <w:rFonts w:ascii="Arial" w:hAnsi="Arial" w:cs="Arial"/>
          <w:sz w:val="20"/>
          <w:szCs w:val="20"/>
        </w:rPr>
      </w:pPr>
    </w:p>
    <w:p w14:paraId="34DC284E" w14:textId="77777777" w:rsidR="005148E9" w:rsidRPr="005148E9" w:rsidRDefault="005148E9" w:rsidP="005148E9">
      <w:pPr>
        <w:spacing w:line="276" w:lineRule="auto"/>
        <w:ind w:left="284" w:right="191" w:firstLine="283"/>
        <w:jc w:val="both"/>
        <w:rPr>
          <w:rFonts w:ascii="Arial" w:hAnsi="Arial" w:cs="Arial"/>
          <w:sz w:val="20"/>
          <w:szCs w:val="20"/>
        </w:rPr>
      </w:pPr>
      <w:r w:rsidRPr="005148E9">
        <w:rPr>
          <w:rFonts w:ascii="Arial" w:hAnsi="Arial" w:cs="Arial"/>
          <w:sz w:val="20"/>
          <w:szCs w:val="20"/>
        </w:rPr>
        <w:t>VI.</w:t>
      </w:r>
      <w:r w:rsidRPr="005148E9">
        <w:rPr>
          <w:rFonts w:ascii="Arial" w:hAnsi="Arial" w:cs="Arial"/>
          <w:sz w:val="20"/>
          <w:szCs w:val="20"/>
        </w:rPr>
        <w:tab/>
        <w:t>Comentarios.</w:t>
      </w:r>
    </w:p>
    <w:p w14:paraId="099E5E55" w14:textId="77777777" w:rsidR="006367A8" w:rsidRPr="006367A8" w:rsidRDefault="005148E9" w:rsidP="006367A8">
      <w:pPr>
        <w:spacing w:line="276" w:lineRule="auto"/>
        <w:ind w:left="284" w:right="191" w:firstLine="283"/>
        <w:jc w:val="both"/>
        <w:rPr>
          <w:rFonts w:ascii="Arial" w:hAnsi="Arial" w:cs="Arial"/>
          <w:sz w:val="20"/>
          <w:szCs w:val="20"/>
        </w:rPr>
      </w:pPr>
      <w:r w:rsidRPr="005148E9">
        <w:rPr>
          <w:rFonts w:ascii="Arial" w:hAnsi="Arial" w:cs="Arial"/>
          <w:sz w:val="20"/>
          <w:szCs w:val="20"/>
        </w:rPr>
        <w:t>Vl.1. Se considera valiosa la iniciativa para visibilizar la importancia de la salud mental. No obstante, con respecto al concepto «salud mental positiva» propuesto, entre otros teóricos, por la psicóloga Marie Jahoda, resulta pertinente señalar que, no es un concepto universalmente reconocido ni representa un rector en</w:t>
      </w:r>
      <w:r w:rsidR="006367A8">
        <w:rPr>
          <w:rFonts w:ascii="Arial" w:hAnsi="Arial" w:cs="Arial"/>
          <w:sz w:val="20"/>
          <w:szCs w:val="20"/>
        </w:rPr>
        <w:t xml:space="preserve"> </w:t>
      </w:r>
      <w:r w:rsidR="006367A8" w:rsidRPr="006367A8">
        <w:rPr>
          <w:rFonts w:ascii="Arial" w:hAnsi="Arial" w:cs="Arial"/>
          <w:sz w:val="20"/>
          <w:szCs w:val="20"/>
        </w:rPr>
        <w:t>documentos oficiales propuestos por entidades como la Organización Mundial de la Salud. Asimismo, epistemológicamente, al centrarse en una perspectiva individual, es incongruente con la perspectiva que, en materia de salud mental han adoptado la Organización de las Naciones Unidas y la Organización Mundial de Salud, que han establecido que /as inversiones efectivas [en materia de Salud Mental] deberían dirigirse a los grupos de población, las relaciones y otros determinantes en lugar de a los individuos y sus mentes.</w:t>
      </w:r>
    </w:p>
    <w:p w14:paraId="1B959BE7" w14:textId="77777777" w:rsidR="006367A8" w:rsidRPr="006367A8" w:rsidRDefault="006367A8" w:rsidP="006367A8">
      <w:pPr>
        <w:spacing w:line="276" w:lineRule="auto"/>
        <w:ind w:left="284" w:right="191" w:firstLine="283"/>
        <w:jc w:val="both"/>
        <w:rPr>
          <w:rFonts w:ascii="Arial" w:hAnsi="Arial" w:cs="Arial"/>
          <w:sz w:val="20"/>
          <w:szCs w:val="20"/>
        </w:rPr>
      </w:pPr>
    </w:p>
    <w:p w14:paraId="558AA929" w14:textId="77777777" w:rsidR="006367A8" w:rsidRPr="006367A8" w:rsidRDefault="006367A8" w:rsidP="006367A8">
      <w:pPr>
        <w:spacing w:line="276" w:lineRule="auto"/>
        <w:ind w:left="284" w:right="191" w:firstLine="283"/>
        <w:jc w:val="both"/>
        <w:rPr>
          <w:rFonts w:ascii="Arial" w:hAnsi="Arial" w:cs="Arial"/>
          <w:sz w:val="20"/>
          <w:szCs w:val="20"/>
        </w:rPr>
      </w:pPr>
      <w:r w:rsidRPr="006367A8">
        <w:rPr>
          <w:rFonts w:ascii="Arial" w:hAnsi="Arial" w:cs="Arial"/>
          <w:sz w:val="20"/>
          <w:szCs w:val="20"/>
        </w:rPr>
        <w:t>Vl.2. Resulta importante destacar que la Ley General de Salud no contempla o reconoce el concepto de «salud mental positiva», siendo el facultado para regular la salud mental la Federación, debido a que la materia forma parte de la salubridad general. Por lo tanto, al Estado únicamente le compete organizar, operar, supervisar y evaluar la prestación de los servicios de salubridad general. De ahí la razón por la cual, se estima no puede establecer un concepto o visión de la salud mental, pues es la Federación quien establece las directrices de cómo se regirá el tema, de conformidad con el marco normativo de previa cita</w:t>
      </w:r>
    </w:p>
    <w:p w14:paraId="4388653B" w14:textId="77777777" w:rsidR="006367A8" w:rsidRPr="006367A8" w:rsidRDefault="006367A8" w:rsidP="006367A8">
      <w:pPr>
        <w:spacing w:line="276" w:lineRule="auto"/>
        <w:ind w:left="284" w:right="191" w:firstLine="283"/>
        <w:jc w:val="both"/>
        <w:rPr>
          <w:rFonts w:ascii="Arial" w:hAnsi="Arial" w:cs="Arial"/>
          <w:sz w:val="20"/>
          <w:szCs w:val="20"/>
        </w:rPr>
      </w:pPr>
    </w:p>
    <w:p w14:paraId="70B72B47" w14:textId="62A07261" w:rsidR="003A44DC" w:rsidRDefault="006367A8" w:rsidP="006367A8">
      <w:pPr>
        <w:spacing w:line="276" w:lineRule="auto"/>
        <w:ind w:left="284" w:right="191" w:firstLine="283"/>
        <w:jc w:val="both"/>
        <w:rPr>
          <w:rFonts w:ascii="Arial" w:hAnsi="Arial" w:cs="Arial"/>
          <w:sz w:val="20"/>
          <w:szCs w:val="20"/>
        </w:rPr>
      </w:pPr>
      <w:r w:rsidRPr="006367A8">
        <w:rPr>
          <w:rFonts w:ascii="Arial" w:hAnsi="Arial" w:cs="Arial"/>
          <w:sz w:val="20"/>
          <w:szCs w:val="20"/>
        </w:rPr>
        <w:t>En ese sentido, se debe considerar si de aprobarse la iniciativa se pudiera invadir la competencia del Congreso de la Unión, atendiendo a lo dispuesto en los artículos 4o. párrafo cuarto y 73, fracción XVI de la Constitución Política de los Estados Unidos Mexicanos; y, 3 y 13 de la Ley General de Salud. Sin embargo, de estimarse pertinente la propuesta, se recomienda reconsiderar el uso del concepto «salud mental positiva» y replantear la misma utilizando los conceptos de validez universal tales como la misma «salud mental».</w:t>
      </w:r>
    </w:p>
    <w:p w14:paraId="7BAC5253" w14:textId="77777777" w:rsidR="006367A8" w:rsidRDefault="006367A8" w:rsidP="006367A8">
      <w:pPr>
        <w:spacing w:line="276" w:lineRule="auto"/>
        <w:ind w:left="284" w:right="191" w:firstLine="283"/>
        <w:jc w:val="both"/>
        <w:rPr>
          <w:rFonts w:ascii="Arial" w:hAnsi="Arial" w:cs="Arial"/>
          <w:sz w:val="20"/>
          <w:szCs w:val="20"/>
        </w:rPr>
      </w:pPr>
    </w:p>
    <w:p w14:paraId="39A39442" w14:textId="62018F55" w:rsidR="006367A8" w:rsidRDefault="006367A8" w:rsidP="006367A8">
      <w:pPr>
        <w:spacing w:line="276" w:lineRule="auto"/>
        <w:ind w:left="284" w:right="191" w:firstLine="283"/>
        <w:jc w:val="both"/>
        <w:rPr>
          <w:rFonts w:ascii="Arial" w:hAnsi="Arial" w:cs="Arial"/>
          <w:sz w:val="20"/>
          <w:szCs w:val="20"/>
        </w:rPr>
      </w:pPr>
      <w:r>
        <w:rPr>
          <w:rFonts w:ascii="Arial" w:hAnsi="Arial" w:cs="Arial"/>
          <w:sz w:val="20"/>
          <w:szCs w:val="20"/>
        </w:rPr>
        <w:t>…”</w:t>
      </w:r>
    </w:p>
    <w:p w14:paraId="16021E87" w14:textId="77777777" w:rsidR="006367A8" w:rsidRDefault="006367A8" w:rsidP="005148E9">
      <w:pPr>
        <w:spacing w:line="276" w:lineRule="auto"/>
        <w:ind w:left="284" w:right="191" w:firstLine="283"/>
        <w:jc w:val="both"/>
        <w:rPr>
          <w:rFonts w:ascii="Arial" w:hAnsi="Arial" w:cs="Arial"/>
          <w:sz w:val="20"/>
          <w:szCs w:val="20"/>
        </w:rPr>
      </w:pPr>
    </w:p>
    <w:p w14:paraId="1759B487" w14:textId="77777777" w:rsidR="006367A8" w:rsidRDefault="006367A8" w:rsidP="005148E9">
      <w:pPr>
        <w:spacing w:line="276" w:lineRule="auto"/>
        <w:ind w:left="284" w:right="191" w:firstLine="283"/>
        <w:jc w:val="both"/>
        <w:rPr>
          <w:rFonts w:ascii="Arial" w:hAnsi="Arial" w:cs="Arial"/>
          <w:sz w:val="20"/>
          <w:szCs w:val="20"/>
        </w:rPr>
      </w:pPr>
    </w:p>
    <w:p w14:paraId="0F2FF3B8" w14:textId="77777777" w:rsidR="006367A8" w:rsidRPr="005148E9" w:rsidRDefault="006367A8" w:rsidP="005148E9">
      <w:pPr>
        <w:spacing w:line="276" w:lineRule="auto"/>
        <w:ind w:left="284" w:right="191" w:firstLine="283"/>
        <w:jc w:val="both"/>
        <w:rPr>
          <w:rFonts w:ascii="Arial" w:hAnsi="Arial" w:cs="Arial"/>
          <w:sz w:val="20"/>
          <w:szCs w:val="20"/>
        </w:rPr>
      </w:pPr>
    </w:p>
    <w:p w14:paraId="2976ED48" w14:textId="77777777" w:rsidR="00332079" w:rsidRPr="006367A8" w:rsidRDefault="00332079" w:rsidP="006367A8">
      <w:pPr>
        <w:pStyle w:val="Sinespaciado"/>
        <w:spacing w:line="276" w:lineRule="auto"/>
        <w:ind w:right="49" w:firstLine="567"/>
        <w:jc w:val="both"/>
        <w:rPr>
          <w:rFonts w:ascii="Arial" w:eastAsiaTheme="minorHAnsi" w:hAnsi="Arial" w:cs="Arial"/>
          <w:sz w:val="24"/>
          <w:szCs w:val="24"/>
          <w:lang w:eastAsia="en-US"/>
        </w:rPr>
      </w:pPr>
      <w:r w:rsidRPr="006367A8">
        <w:rPr>
          <w:rFonts w:ascii="Arial" w:hAnsi="Arial" w:cs="Arial"/>
          <w:sz w:val="24"/>
          <w:szCs w:val="24"/>
        </w:rPr>
        <w:lastRenderedPageBreak/>
        <w:t>Ahora bien, la presidencia de esta Comisión de Educación, Ciencia y Tecnología y Cultura,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27FE22AA" w14:textId="77777777" w:rsidR="00332079" w:rsidRPr="0090001B" w:rsidRDefault="00332079" w:rsidP="0090001B">
      <w:pPr>
        <w:spacing w:line="276" w:lineRule="auto"/>
        <w:ind w:firstLine="426"/>
        <w:jc w:val="both"/>
        <w:rPr>
          <w:rFonts w:ascii="Arial" w:hAnsi="Arial" w:cs="Arial"/>
        </w:rPr>
      </w:pPr>
    </w:p>
    <w:bookmarkEnd w:id="5"/>
    <w:p w14:paraId="40F8BE57" w14:textId="77777777" w:rsidR="003658B4" w:rsidRPr="0090001B" w:rsidRDefault="003658B4" w:rsidP="0090001B">
      <w:pPr>
        <w:spacing w:line="276" w:lineRule="auto"/>
        <w:ind w:firstLine="426"/>
        <w:jc w:val="both"/>
        <w:rPr>
          <w:rFonts w:ascii="Arial" w:hAnsi="Arial" w:cs="Arial"/>
        </w:rPr>
      </w:pPr>
    </w:p>
    <w:p w14:paraId="7024879F" w14:textId="77777777" w:rsidR="00E04C6E" w:rsidRPr="0090001B" w:rsidRDefault="00004EFC" w:rsidP="0090001B">
      <w:pPr>
        <w:pStyle w:val="Sinespaciado"/>
        <w:numPr>
          <w:ilvl w:val="0"/>
          <w:numId w:val="16"/>
        </w:numPr>
        <w:spacing w:line="276" w:lineRule="auto"/>
        <w:ind w:left="709"/>
        <w:jc w:val="both"/>
        <w:rPr>
          <w:rFonts w:ascii="Arial" w:hAnsi="Arial" w:cs="Arial"/>
          <w:b/>
          <w:sz w:val="24"/>
          <w:szCs w:val="24"/>
        </w:rPr>
      </w:pPr>
      <w:bookmarkStart w:id="6" w:name="_Hlk114833614"/>
      <w:r w:rsidRPr="0090001B">
        <w:rPr>
          <w:rFonts w:ascii="Arial" w:hAnsi="Arial" w:cs="Arial"/>
          <w:b/>
          <w:sz w:val="24"/>
          <w:szCs w:val="24"/>
        </w:rPr>
        <w:t>Conten</w:t>
      </w:r>
      <w:r w:rsidR="00974ADF" w:rsidRPr="0090001B">
        <w:rPr>
          <w:rFonts w:ascii="Arial" w:hAnsi="Arial" w:cs="Arial"/>
          <w:b/>
          <w:sz w:val="24"/>
          <w:szCs w:val="24"/>
        </w:rPr>
        <w:t xml:space="preserve">ido de la Iniciativa </w:t>
      </w:r>
    </w:p>
    <w:bookmarkEnd w:id="6"/>
    <w:p w14:paraId="772D549A" w14:textId="77777777" w:rsidR="00A10D95" w:rsidRPr="0090001B" w:rsidRDefault="00A10D95" w:rsidP="0090001B">
      <w:pPr>
        <w:autoSpaceDE w:val="0"/>
        <w:autoSpaceDN w:val="0"/>
        <w:adjustRightInd w:val="0"/>
        <w:spacing w:line="276" w:lineRule="auto"/>
        <w:rPr>
          <w:rFonts w:ascii="Arial" w:hAnsi="Arial" w:cs="Arial"/>
          <w:color w:val="000000"/>
        </w:rPr>
      </w:pPr>
    </w:p>
    <w:p w14:paraId="3FD641CA" w14:textId="14A9DA1B" w:rsidR="00303BFD" w:rsidRDefault="006367A8" w:rsidP="00303BFD">
      <w:pPr>
        <w:spacing w:line="276" w:lineRule="auto"/>
        <w:ind w:left="-3" w:firstLine="567"/>
        <w:jc w:val="both"/>
        <w:rPr>
          <w:rFonts w:ascii="Arial" w:hAnsi="Arial" w:cs="Arial"/>
        </w:rPr>
      </w:pPr>
      <w:r>
        <w:rPr>
          <w:rFonts w:ascii="Arial" w:hAnsi="Arial" w:cs="Arial"/>
        </w:rPr>
        <w:t>La y los proponentes</w:t>
      </w:r>
      <w:r w:rsidR="00303BFD">
        <w:rPr>
          <w:rFonts w:ascii="Arial" w:hAnsi="Arial" w:cs="Arial"/>
        </w:rPr>
        <w:t xml:space="preserve"> manifest</w:t>
      </w:r>
      <w:r>
        <w:rPr>
          <w:rFonts w:ascii="Arial" w:hAnsi="Arial" w:cs="Arial"/>
        </w:rPr>
        <w:t>aron</w:t>
      </w:r>
      <w:r w:rsidR="00303BFD">
        <w:rPr>
          <w:rFonts w:ascii="Arial" w:hAnsi="Arial" w:cs="Arial"/>
        </w:rPr>
        <w:t xml:space="preserve"> en la parte expositiva de la iniciativa lo siguiente: </w:t>
      </w:r>
    </w:p>
    <w:p w14:paraId="2D925CBE" w14:textId="77777777" w:rsidR="00303BFD" w:rsidRDefault="00303BFD" w:rsidP="00303BFD">
      <w:pPr>
        <w:spacing w:line="276" w:lineRule="auto"/>
        <w:ind w:left="-3" w:firstLine="567"/>
        <w:jc w:val="both"/>
        <w:rPr>
          <w:rFonts w:ascii="Arial" w:hAnsi="Arial" w:cs="Arial"/>
        </w:rPr>
      </w:pPr>
    </w:p>
    <w:p w14:paraId="27E8CA06" w14:textId="77777777" w:rsidR="00446ECD" w:rsidRDefault="00446ECD" w:rsidP="00A4632B">
      <w:pPr>
        <w:ind w:left="567" w:right="474" w:firstLine="284"/>
        <w:jc w:val="both"/>
        <w:rPr>
          <w:rFonts w:ascii="Arial" w:hAnsi="Arial" w:cs="Arial"/>
          <w:i/>
          <w:iCs/>
          <w:sz w:val="20"/>
          <w:szCs w:val="20"/>
        </w:rPr>
      </w:pPr>
      <w:r>
        <w:rPr>
          <w:rFonts w:ascii="Arial" w:hAnsi="Arial" w:cs="Arial"/>
          <w:i/>
          <w:iCs/>
          <w:sz w:val="20"/>
          <w:szCs w:val="20"/>
        </w:rPr>
        <w:t>“…</w:t>
      </w:r>
    </w:p>
    <w:p w14:paraId="604184D6" w14:textId="77777777" w:rsidR="00446ECD" w:rsidRDefault="00446ECD" w:rsidP="00233F96">
      <w:pPr>
        <w:spacing w:line="276" w:lineRule="auto"/>
        <w:ind w:left="567" w:right="474" w:firstLine="284"/>
        <w:jc w:val="both"/>
        <w:rPr>
          <w:rFonts w:ascii="Arial" w:hAnsi="Arial" w:cs="Arial"/>
          <w:i/>
          <w:iCs/>
          <w:sz w:val="20"/>
          <w:szCs w:val="20"/>
        </w:rPr>
      </w:pPr>
    </w:p>
    <w:p w14:paraId="75E2051B"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las últimas décadas, distintos organismos han intentado modificar el concepto de salud, explicando que el Estado no concierne solamente a la salud física, es por ello que entidades como la Organización Mundial de la Salud han planteado distintas teorías que buscan entrelazar la salud mental y la salud física en un elemento de estudio, permitiendo que especialistas de ambas ramas combinen su conocimiento en razón de un bien común, correspondiente a mejorar la calidad de vida de la humanidad.</w:t>
      </w:r>
    </w:p>
    <w:p w14:paraId="7AEAE087" w14:textId="77777777" w:rsidR="001F100C" w:rsidRPr="001F100C" w:rsidRDefault="001F100C" w:rsidP="00233F96">
      <w:pPr>
        <w:spacing w:line="276" w:lineRule="auto"/>
        <w:ind w:left="567" w:right="474" w:firstLine="284"/>
        <w:jc w:val="both"/>
        <w:rPr>
          <w:rFonts w:ascii="Arial" w:hAnsi="Arial" w:cs="Arial"/>
          <w:i/>
          <w:iCs/>
          <w:sz w:val="20"/>
          <w:szCs w:val="20"/>
        </w:rPr>
      </w:pPr>
    </w:p>
    <w:p w14:paraId="0F4587F0" w14:textId="2888D4CC"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Ahora bien, hasta finales de la década de 1940, la OMS (Organización Mundial de la Salud) establece un nuevo concepto de salud mental, en el cual dicho período</w:t>
      </w:r>
      <w:r>
        <w:rPr>
          <w:rFonts w:ascii="Arial" w:hAnsi="Arial" w:cs="Arial"/>
          <w:i/>
          <w:iCs/>
          <w:sz w:val="20"/>
          <w:szCs w:val="20"/>
        </w:rPr>
        <w:t xml:space="preserve"> </w:t>
      </w:r>
      <w:r w:rsidRPr="001F100C">
        <w:rPr>
          <w:rFonts w:ascii="Arial" w:hAnsi="Arial" w:cs="Arial"/>
          <w:i/>
          <w:iCs/>
          <w:sz w:val="20"/>
          <w:szCs w:val="20"/>
        </w:rPr>
        <w:t>no corresponde a la ausencia de enfermedades psicológicas, sino que también este se constituye por la cantidad de actividades autónomas que pueda desarrollar el individuo, tales como el trabajar de forma productiva, tolerar problemas cotidianos y no cotidianos, entre otros.</w:t>
      </w:r>
    </w:p>
    <w:p w14:paraId="797CCC23"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3B065A2"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cuanto a las motivaciones que determinaron el comienzo de una definición psicológica, los autores del artículo titulado “construcción del concepto de la salud mental positiva demuestra que es conocida como la visión positiva de la salud mental, se da gracias a los cambios ocurridos en el campo de la salud desde finales de la década de los años 40, producto de la institucionalización del concepto de calidad de vida, lo que implicó la inclusión en la agenda política de acciones que canalizaran la responsabilidad de los Estados en la búsqueda del bienestar de las personas” (Ovidio et al., 2016, p. 166).</w:t>
      </w:r>
    </w:p>
    <w:p w14:paraId="6137C8B3" w14:textId="77777777" w:rsidR="001F100C" w:rsidRPr="001F100C" w:rsidRDefault="001F100C" w:rsidP="00233F96">
      <w:pPr>
        <w:spacing w:line="276" w:lineRule="auto"/>
        <w:ind w:left="567" w:right="474" w:firstLine="284"/>
        <w:jc w:val="both"/>
        <w:rPr>
          <w:rFonts w:ascii="Arial" w:hAnsi="Arial" w:cs="Arial"/>
          <w:i/>
          <w:iCs/>
          <w:sz w:val="20"/>
          <w:szCs w:val="20"/>
        </w:rPr>
      </w:pPr>
    </w:p>
    <w:p w14:paraId="341B547E"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Distintos son los conceptos que han venido presentando otros educadores de diferentes escuelas que se concentraron en determinar las variables para establecer la calidad de la salud mental desde la visión positiva; entre dichos doctrinantes fue Marie Jahoda la que trató los principales criterios a tener en cuenta a la hora de establecer la calidad de la salud mental positiva, características que en la actualidad se siguen implementando; dichos juicios fueron enfocados principalmente a fijar la personalidad del individuo en los entornos sociales y en la privacidad, logrando determinar la funcionalidad social e individual con la que cuenta la persona.</w:t>
      </w:r>
    </w:p>
    <w:p w14:paraId="17853AF8"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D3403B9"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la actualidad, la tecnología y las altas expectativas han generado una situación de presión social y discriminación frente a los adolescentes; lo que ha evidenciado una desmejora significativa en la salud, afectando la sociabilidad y la calidad de vida de los jóvenes; dicha presión y discriminación social se incrementa cuando los estudiantes se encuentran cursando los últimos años de educación media, esto teniendo en cuenta que dentro de poco tiempo decidirán su futuro personal y profesional.</w:t>
      </w:r>
    </w:p>
    <w:p w14:paraId="7F7FC2EB" w14:textId="77777777" w:rsidR="001F100C" w:rsidRPr="001F100C" w:rsidRDefault="001F100C" w:rsidP="00233F96">
      <w:pPr>
        <w:spacing w:line="276" w:lineRule="auto"/>
        <w:ind w:left="567" w:right="474" w:firstLine="284"/>
        <w:jc w:val="both"/>
        <w:rPr>
          <w:rFonts w:ascii="Arial" w:hAnsi="Arial" w:cs="Arial"/>
          <w:i/>
          <w:iCs/>
          <w:sz w:val="20"/>
          <w:szCs w:val="20"/>
        </w:rPr>
      </w:pPr>
    </w:p>
    <w:p w14:paraId="06A2FF19" w14:textId="161FB931"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Según la Organización Mundial de la Salud (OMS) la salud mental es un estado de bienestar en el cual el individuo consiente de sus principales capacidades puede afrontar las tenciones normales de la vida; esta definición conocida como la visión positiva de la salud mental, se da gracias a los cambios ocurridos en el campo de la salud, desde finales de la década de los años 40, producto de la institucionalización del concepto de calidad de vida. De la misma manera, la Organización Mundial de la Salud (OMS), señala que los trastornos mentales más frecuentes en la población son: la depresión que afecta a más de 35 millones de personas, el trastorno afectivo bipolar que perturba alrededor de 60 millones de personas, la esquizofrenia que es un trastorno mental grave que aqueja a 21</w:t>
      </w:r>
      <w:r>
        <w:rPr>
          <w:rFonts w:ascii="Arial" w:hAnsi="Arial" w:cs="Arial"/>
          <w:i/>
          <w:iCs/>
          <w:sz w:val="20"/>
          <w:szCs w:val="20"/>
        </w:rPr>
        <w:t xml:space="preserve"> </w:t>
      </w:r>
      <w:r w:rsidRPr="001F100C">
        <w:rPr>
          <w:rFonts w:ascii="Arial" w:hAnsi="Arial" w:cs="Arial"/>
          <w:i/>
          <w:iCs/>
          <w:sz w:val="20"/>
          <w:szCs w:val="20"/>
        </w:rPr>
        <w:t>millones de personas y la demencia que la padecen 47,5 millones de personas en el mundo; estas cifras dadas por la OMS en abril del 2016.</w:t>
      </w:r>
    </w:p>
    <w:p w14:paraId="3B370435" w14:textId="77777777" w:rsidR="001F100C" w:rsidRPr="001F100C" w:rsidRDefault="001F100C" w:rsidP="00233F96">
      <w:pPr>
        <w:spacing w:line="276" w:lineRule="auto"/>
        <w:ind w:left="567" w:right="474" w:firstLine="284"/>
        <w:jc w:val="both"/>
        <w:rPr>
          <w:rFonts w:ascii="Arial" w:hAnsi="Arial" w:cs="Arial"/>
          <w:i/>
          <w:iCs/>
          <w:sz w:val="20"/>
          <w:szCs w:val="20"/>
        </w:rPr>
      </w:pPr>
    </w:p>
    <w:p w14:paraId="36211EB3"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Estos resultados motivan al sistema de salud a realizar investigación, prevención y atención en salud mental.</w:t>
      </w:r>
    </w:p>
    <w:p w14:paraId="213F3DE0" w14:textId="77777777" w:rsidR="001F100C" w:rsidRPr="001F100C" w:rsidRDefault="001F100C" w:rsidP="00233F96">
      <w:pPr>
        <w:spacing w:line="276" w:lineRule="auto"/>
        <w:ind w:left="567" w:right="474" w:firstLine="284"/>
        <w:jc w:val="both"/>
        <w:rPr>
          <w:rFonts w:ascii="Arial" w:hAnsi="Arial" w:cs="Arial"/>
          <w:i/>
          <w:iCs/>
          <w:sz w:val="20"/>
          <w:szCs w:val="20"/>
        </w:rPr>
      </w:pPr>
    </w:p>
    <w:p w14:paraId="2FA390D8"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Así mismo surge el concepto de salud metal positiva (SMP) que en palabras de Jahoda, (1958) se define así, “la salud mental positiva se concibe desde una perspectiva individual, en la cual existe una relación entre los aspectos físicos y mentales de los seres humanos” (p.51); en este sentido se considera que a pesar de que el ambiente y la cultura influye en la salud y en la enfermedad, no se puede hablar de una “sociedad enferma”, </w:t>
      </w:r>
      <w:r w:rsidRPr="001F100C">
        <w:rPr>
          <w:rFonts w:ascii="Arial" w:hAnsi="Arial" w:cs="Arial"/>
          <w:i/>
          <w:iCs/>
          <w:sz w:val="20"/>
          <w:szCs w:val="20"/>
        </w:rPr>
        <w:lastRenderedPageBreak/>
        <w:t>pero acepta plenamente la influencia y relación que existe entre los aspectos físicos y mentales del ser humano.</w:t>
      </w:r>
    </w:p>
    <w:p w14:paraId="30F883D0"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8E59821"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tal orden de ideas, uno de los beneficios de evaluar la Salud Mental Positiva se enfoca en promover las cualidades del ser humano y facilitar su máximo desarrollo potencial y funcionamiento óptimo (Lluch, 1999; p.22).</w:t>
      </w:r>
    </w:p>
    <w:p w14:paraId="2753CF67" w14:textId="77777777" w:rsidR="001F100C" w:rsidRPr="001F100C" w:rsidRDefault="001F100C" w:rsidP="00233F96">
      <w:pPr>
        <w:spacing w:line="276" w:lineRule="auto"/>
        <w:ind w:left="567" w:right="474" w:firstLine="284"/>
        <w:jc w:val="both"/>
        <w:rPr>
          <w:rFonts w:ascii="Arial" w:hAnsi="Arial" w:cs="Arial"/>
          <w:i/>
          <w:iCs/>
          <w:sz w:val="20"/>
          <w:szCs w:val="20"/>
        </w:rPr>
      </w:pPr>
    </w:p>
    <w:p w14:paraId="2B0A1477"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De esta manera, se considera importante el fortalecimiento de la salud mental positiva (SMP), debido a que esto permite que los estudiantes no sean vulnerables ante situaciones que les producen malestar y, por el contrario, puedan tener herramientas para enfrentar con facilidad las adversidades.</w:t>
      </w:r>
    </w:p>
    <w:p w14:paraId="3CBFD0FA" w14:textId="77777777" w:rsidR="001F100C" w:rsidRPr="001F100C" w:rsidRDefault="001F100C" w:rsidP="00233F96">
      <w:pPr>
        <w:spacing w:line="276" w:lineRule="auto"/>
        <w:ind w:left="567" w:right="474" w:firstLine="284"/>
        <w:jc w:val="both"/>
        <w:rPr>
          <w:rFonts w:ascii="Arial" w:hAnsi="Arial" w:cs="Arial"/>
          <w:i/>
          <w:iCs/>
          <w:sz w:val="20"/>
          <w:szCs w:val="20"/>
        </w:rPr>
      </w:pPr>
    </w:p>
    <w:p w14:paraId="25C0E60E"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Para las nuevas generaciones la importancia de la aceptación social se ha convertido en un tema de suma relevancia, pues con esta los infantes y adolescentes buscan demostrar su valor social. Es de esta forma que en la actualidad factores como la autoestima, el auto control y la eficiencia de poder conservar las relaciones interpersonales se han convertido en ítems esenciales para determinar un futuro próspero.</w:t>
      </w:r>
    </w:p>
    <w:p w14:paraId="74467BC1"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F067EB1"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Las organizaciones internacionales y nacionales han determinado la importancia que posee una buena salud, teniendo énfasis en la salud mental positiva, la cual no solo estipula la ausencia de enfermedades psicológicas, sino que también, la capacidad de asesorar a los adolescentes para afrontar la presión social que ejercen sus familias y sus grupos sociales; estudios nacionales relacionados a “Calidad de vida y salud mental positiva en menores trabajadores de Toluviejo.” Y “Salud mental positiva en jóvenes escolarizados del municipio de Calarcá” (Colombia) demuestran la importancia que tiene la salud metal positiva en adolescentes y enseña factores culturales que afectan directamente los criterios para determinar una buena salud mental desde un enfoque positivo.</w:t>
      </w:r>
    </w:p>
    <w:p w14:paraId="56A05AFF"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7373593" w14:textId="1DA3D126"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Abordado lo anterior, consideramos importante traer a las presentes consideraciones lo relativo al derecho a la salud en varios</w:t>
      </w:r>
      <w:r>
        <w:rPr>
          <w:rFonts w:ascii="Arial" w:hAnsi="Arial" w:cs="Arial"/>
          <w:i/>
          <w:iCs/>
          <w:sz w:val="20"/>
          <w:szCs w:val="20"/>
        </w:rPr>
        <w:t xml:space="preserve"> </w:t>
      </w:r>
      <w:r w:rsidRPr="001F100C">
        <w:rPr>
          <w:rFonts w:ascii="Arial" w:hAnsi="Arial" w:cs="Arial"/>
          <w:i/>
          <w:iCs/>
          <w:sz w:val="20"/>
          <w:szCs w:val="20"/>
        </w:rPr>
        <w:t>vertientes como sigue.</w:t>
      </w:r>
    </w:p>
    <w:p w14:paraId="1721A413" w14:textId="309B6A42"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 </w:t>
      </w:r>
    </w:p>
    <w:p w14:paraId="00A03C1B"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Salud</w:t>
      </w:r>
    </w:p>
    <w:p w14:paraId="1E2E8B10"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La salud está definida por la Organización Mundial de la Salud OMS Como “un estado de completo bienestar físico, mental y social y no solamente la ausencia de afecciones o enfermedades”. Desde el momento en que la OMS percibe la salud como un aspecto </w:t>
      </w:r>
      <w:r w:rsidRPr="001F100C">
        <w:rPr>
          <w:rFonts w:ascii="Arial" w:hAnsi="Arial" w:cs="Arial"/>
          <w:i/>
          <w:iCs/>
          <w:sz w:val="20"/>
          <w:szCs w:val="20"/>
        </w:rPr>
        <w:lastRenderedPageBreak/>
        <w:t>global abre una brecha para poder atender en sus diferentes aspectos la salud que envuelve al ser humano.</w:t>
      </w:r>
    </w:p>
    <w:p w14:paraId="4F43AC6B" w14:textId="77777777" w:rsidR="001F100C" w:rsidRPr="001F100C" w:rsidRDefault="001F100C" w:rsidP="00233F96">
      <w:pPr>
        <w:spacing w:line="276" w:lineRule="auto"/>
        <w:ind w:left="567" w:right="474" w:firstLine="284"/>
        <w:jc w:val="both"/>
        <w:rPr>
          <w:rFonts w:ascii="Arial" w:hAnsi="Arial" w:cs="Arial"/>
          <w:i/>
          <w:iCs/>
          <w:sz w:val="20"/>
          <w:szCs w:val="20"/>
        </w:rPr>
      </w:pPr>
    </w:p>
    <w:p w14:paraId="7A99A194"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Depende socialmente de la cultura, influenciada por las condiciones económicas, políticas, religiosas e históricas en las que se han desarrollado, incluye creencias, ideas y valores acerca del ser humano y del sentido de su existencia, así como las representaciones sociales.</w:t>
      </w:r>
    </w:p>
    <w:p w14:paraId="72D89C04" w14:textId="77777777" w:rsidR="001F100C" w:rsidRPr="001F100C" w:rsidRDefault="001F100C" w:rsidP="00233F96">
      <w:pPr>
        <w:spacing w:line="276" w:lineRule="auto"/>
        <w:ind w:left="567" w:right="474" w:firstLine="284"/>
        <w:jc w:val="both"/>
        <w:rPr>
          <w:rFonts w:ascii="Arial" w:hAnsi="Arial" w:cs="Arial"/>
          <w:i/>
          <w:iCs/>
          <w:sz w:val="20"/>
          <w:szCs w:val="20"/>
        </w:rPr>
      </w:pPr>
    </w:p>
    <w:p w14:paraId="7AE6479A"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 salud deja de ser simplemente la ausencia de patología, para ser definida en forma más inclusiva, como la armonía y el bienestar de las personas en sus aspectos biológicos, cognoscitivos, afectivos y conductuales, abarcando los ámbitos más extensos de la vida personal, familiar y social.</w:t>
      </w:r>
    </w:p>
    <w:p w14:paraId="434AA98F"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F55CC6A" w14:textId="2257A3CD"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Salud mental</w:t>
      </w:r>
    </w:p>
    <w:p w14:paraId="498FE6E2" w14:textId="77777777" w:rsidR="001F100C" w:rsidRPr="001F100C" w:rsidRDefault="001F100C" w:rsidP="00233F96">
      <w:pPr>
        <w:spacing w:line="276" w:lineRule="auto"/>
        <w:ind w:left="567" w:right="474" w:firstLine="284"/>
        <w:jc w:val="both"/>
        <w:rPr>
          <w:rFonts w:ascii="Arial" w:hAnsi="Arial" w:cs="Arial"/>
          <w:i/>
          <w:iCs/>
          <w:sz w:val="20"/>
          <w:szCs w:val="20"/>
        </w:rPr>
      </w:pPr>
    </w:p>
    <w:p w14:paraId="309946FE" w14:textId="1733A294"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 salud mental es un estado de bienestar mental que permite a las personas hacer frente a los momentos de estrés de la vida, desarrollar todas sus habilidades, poder aprender y trabajar adecuadamente y contribuir a la mejora de su comunidad. Es parte fundamental de la salud y el bienestar que sustenta nuestras capacidades individuales y colectivas para tomar decisiones, establecer relaciones y dar forma al mundo en el que vivimos. La salud mental es, además, un derecho humano fundamental. Y un elemento esencial para el desarrollo personal, comunitario y socioeconómico.</w:t>
      </w:r>
    </w:p>
    <w:p w14:paraId="5799D336" w14:textId="77777777" w:rsidR="001F100C" w:rsidRPr="001F100C" w:rsidRDefault="001F100C" w:rsidP="00233F96">
      <w:pPr>
        <w:spacing w:line="276" w:lineRule="auto"/>
        <w:ind w:left="567" w:right="474" w:firstLine="284"/>
        <w:jc w:val="both"/>
        <w:rPr>
          <w:rFonts w:ascii="Arial" w:hAnsi="Arial" w:cs="Arial"/>
          <w:i/>
          <w:iCs/>
          <w:sz w:val="20"/>
          <w:szCs w:val="20"/>
        </w:rPr>
      </w:pPr>
    </w:p>
    <w:p w14:paraId="03453E6B"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 salud mental es más que la mera ausencia de trastornos mentales. Se da en un proceso complejo, que cada persona experimenta de una manera diferente, con diversos grados de dificultad y angustia y resultados sociales y clínicos que pueden ser muy diferentes.</w:t>
      </w:r>
    </w:p>
    <w:p w14:paraId="56C7E73D" w14:textId="77777777" w:rsidR="001F100C" w:rsidRPr="001F100C" w:rsidRDefault="001F100C" w:rsidP="00233F96">
      <w:pPr>
        <w:spacing w:line="276" w:lineRule="auto"/>
        <w:ind w:left="567" w:right="474" w:firstLine="284"/>
        <w:jc w:val="both"/>
        <w:rPr>
          <w:rFonts w:ascii="Arial" w:hAnsi="Arial" w:cs="Arial"/>
          <w:i/>
          <w:iCs/>
          <w:sz w:val="20"/>
          <w:szCs w:val="20"/>
        </w:rPr>
      </w:pPr>
    </w:p>
    <w:p w14:paraId="1932F072" w14:textId="1DA727BA"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Las afecciones de salud mental comprenden trastornos mentales y discapacidades psicosociales, así como otros estados mentales asociados a un alto grado de</w:t>
      </w:r>
      <w:r>
        <w:rPr>
          <w:rFonts w:ascii="Arial" w:hAnsi="Arial" w:cs="Arial"/>
          <w:i/>
          <w:iCs/>
          <w:sz w:val="20"/>
          <w:szCs w:val="20"/>
        </w:rPr>
        <w:t xml:space="preserve"> </w:t>
      </w:r>
      <w:r w:rsidRPr="001F100C">
        <w:rPr>
          <w:rFonts w:ascii="Arial" w:hAnsi="Arial" w:cs="Arial"/>
          <w:i/>
          <w:iCs/>
          <w:sz w:val="20"/>
          <w:szCs w:val="20"/>
        </w:rPr>
        <w:t>angustia, discapacidad funcional o riesgo de conducta autolesiva. Las personas que las padecen son más propensas a experimentar niveles más bajos de bienestar mental, aunque no siempre es necesariamente así.</w:t>
      </w:r>
    </w:p>
    <w:p w14:paraId="523EFE49" w14:textId="77777777" w:rsidR="001F100C" w:rsidRPr="001F100C" w:rsidRDefault="001F100C" w:rsidP="00233F96">
      <w:pPr>
        <w:spacing w:line="276" w:lineRule="auto"/>
        <w:ind w:left="567" w:right="474" w:firstLine="284"/>
        <w:jc w:val="both"/>
        <w:rPr>
          <w:rFonts w:ascii="Arial" w:hAnsi="Arial" w:cs="Arial"/>
          <w:i/>
          <w:iCs/>
          <w:sz w:val="20"/>
          <w:szCs w:val="20"/>
        </w:rPr>
      </w:pPr>
    </w:p>
    <w:p w14:paraId="55AE0B30"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En Colombia la Ley 1616 de 2003 define la salud mental como “un estado dinámico que se expresa en la vida cotidiana a través del comportamiento y la interacción de manera tal que permite a los sujetos individuales y colectivos desplegar sus recursos </w:t>
      </w:r>
      <w:r w:rsidRPr="001F100C">
        <w:rPr>
          <w:rFonts w:ascii="Arial" w:hAnsi="Arial" w:cs="Arial"/>
          <w:i/>
          <w:iCs/>
          <w:sz w:val="20"/>
          <w:szCs w:val="20"/>
        </w:rPr>
        <w:lastRenderedPageBreak/>
        <w:t>emocionales, cognitivos y mentales para transitar por la vida cotidiana, para trabajar, para establecer relaciones significativas y para contribuir a la comunidad”.</w:t>
      </w:r>
    </w:p>
    <w:p w14:paraId="10F01405"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53CC6A7"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 salud mental es una construcción social que puede variar de un contexto a otro, dependiendo de los criterios de salud y enfermedad, normalidad y anormalidad establecidos en cada grupo social (que puede ser tan extenso como una nación o tan reducido como una familia), lo cual influirá directamente en la forma de sentirse sano o enfermo de las personas pertenecientes a un determinado grupo.</w:t>
      </w:r>
    </w:p>
    <w:p w14:paraId="497B2EF3"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79DCF67"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Según la OMS puede ser entendida como un estado sujeto a fluctuaciones provenientes de factores biológicos y sociales, en que el individuo se encuentra en condiciones de seguir una síntesis satisfactoria de sus tendencias instintivas, potencialmente antagónicas, así como de formar y sostener relaciones armoniosas con los demás y participar constructivamente en los cambios que pueden introducirse en el medio ambiente físico y social. Sin embargo, esta aproximación otorga un carácter de estado al concepto, por lo cual desconoce los determinantes generados en el proceso histórico social que viven los sujetos.</w:t>
      </w:r>
    </w:p>
    <w:p w14:paraId="2C2AA159"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9F3CFE5"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este sentido, la definición ofrecida por el Nacional Instituto of Mental Health (NIMH)3, aporta una comprensión más clara de la naturaleza de la salud mental: “La salud mental desde la infancia hasta la muerte es el trampolín de las destrezas de pensamiento, comunicación, aprendizaje, desarrollo emocional, residencia y autoestima”. Es importante reconocer que la salud mental es también una situación que puede ser alterada o afectada por las condiciones ya sea de orden orgánico, social y/o cultural, en las que puede vivir el sujeto. Así, Gonzáles4, ofrece una definición para referirse a los trastornos mentales; No es el problema aislado de un individuo; con frecuencia es el derrumbamiento de fuentes normales de apoyo social. Especialmente de la familia, aunque el individuo contribuye a esa</w:t>
      </w:r>
      <w:r>
        <w:rPr>
          <w:rFonts w:ascii="Arial" w:hAnsi="Arial" w:cs="Arial"/>
          <w:i/>
          <w:iCs/>
          <w:sz w:val="20"/>
          <w:szCs w:val="20"/>
        </w:rPr>
        <w:t xml:space="preserve"> </w:t>
      </w:r>
      <w:r w:rsidRPr="001F100C">
        <w:rPr>
          <w:rFonts w:ascii="Arial" w:hAnsi="Arial" w:cs="Arial"/>
          <w:i/>
          <w:iCs/>
          <w:sz w:val="20"/>
          <w:szCs w:val="20"/>
        </w:rPr>
        <w:t>frustración, no es sólo él que se deteriora y se destruye, son los sistemas de los cuales hace parte a través de la familia, la escuela o el trabajo, mediante la religión o simplemente la amistad, estos sistemas han fracasado en su papel de apoyo.</w:t>
      </w:r>
    </w:p>
    <w:p w14:paraId="297B5724" w14:textId="77777777" w:rsidR="001F100C" w:rsidRPr="001F100C" w:rsidRDefault="001F100C" w:rsidP="00233F96">
      <w:pPr>
        <w:spacing w:line="276" w:lineRule="auto"/>
        <w:ind w:left="567" w:right="474" w:firstLine="284"/>
        <w:jc w:val="both"/>
        <w:rPr>
          <w:rFonts w:ascii="Arial" w:hAnsi="Arial" w:cs="Arial"/>
          <w:i/>
          <w:iCs/>
          <w:sz w:val="20"/>
          <w:szCs w:val="20"/>
        </w:rPr>
      </w:pPr>
    </w:p>
    <w:p w14:paraId="7BCAB679"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El problema de la salud mental, como se expuso al comienzo de este artículo, se encuentra relacionado con los aspectos sociales, económicos y culturales en los que están inmersas las personas. Es así como los grupos poblacionales más vulnerables tienden a sufrir diversos tipos de problemas entre ellos encontramos la pobreza extrema, interrupciones en el proceso educativo, personas traumatizadas por la violencia, desplazados, desempleo, violación de los derechos humanos y deficiencias en las </w:t>
      </w:r>
      <w:r w:rsidRPr="001F100C">
        <w:rPr>
          <w:rFonts w:ascii="Arial" w:hAnsi="Arial" w:cs="Arial"/>
          <w:i/>
          <w:iCs/>
          <w:sz w:val="20"/>
          <w:szCs w:val="20"/>
        </w:rPr>
        <w:lastRenderedPageBreak/>
        <w:t>necesidades de apoyo social e intervención en los aspectos sociales y relaciones interpersonales.</w:t>
      </w:r>
    </w:p>
    <w:p w14:paraId="2AC73B37" w14:textId="77777777" w:rsidR="001F100C" w:rsidRPr="001F100C" w:rsidRDefault="001F100C" w:rsidP="00233F96">
      <w:pPr>
        <w:spacing w:line="276" w:lineRule="auto"/>
        <w:ind w:left="567" w:right="474" w:firstLine="284"/>
        <w:jc w:val="both"/>
        <w:rPr>
          <w:rFonts w:ascii="Arial" w:hAnsi="Arial" w:cs="Arial"/>
          <w:i/>
          <w:iCs/>
          <w:sz w:val="20"/>
          <w:szCs w:val="20"/>
        </w:rPr>
      </w:pPr>
    </w:p>
    <w:p w14:paraId="38377F2D"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Determinantes de la salud mental.</w:t>
      </w:r>
    </w:p>
    <w:p w14:paraId="4416C527"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A lo largo de la vida, múltiples determinantes individuales, sociales y estructurales pueden combinarse para proteger o socavar nuestra salud mental y cambiar nuestra situación respecto a la salud mental.</w:t>
      </w:r>
    </w:p>
    <w:p w14:paraId="389640E9" w14:textId="77777777" w:rsidR="001F100C" w:rsidRPr="001F100C" w:rsidRDefault="001F100C" w:rsidP="00233F96">
      <w:pPr>
        <w:spacing w:line="276" w:lineRule="auto"/>
        <w:ind w:left="567" w:right="474" w:firstLine="284"/>
        <w:jc w:val="both"/>
        <w:rPr>
          <w:rFonts w:ascii="Arial" w:hAnsi="Arial" w:cs="Arial"/>
          <w:i/>
          <w:iCs/>
          <w:sz w:val="20"/>
          <w:szCs w:val="20"/>
        </w:rPr>
      </w:pPr>
    </w:p>
    <w:p w14:paraId="7744F904"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Factores psicológicos y biológicos individuales, como las habilidades emocionales, el abuso de sustancias y la genética, pueden hacer que las personas sean más vulnerables a las afecciones de salud mental.</w:t>
      </w:r>
    </w:p>
    <w:p w14:paraId="7677AE37" w14:textId="77777777" w:rsidR="001F100C" w:rsidRPr="001F100C" w:rsidRDefault="001F100C" w:rsidP="00233F96">
      <w:pPr>
        <w:spacing w:line="276" w:lineRule="auto"/>
        <w:ind w:left="567" w:right="474" w:firstLine="284"/>
        <w:jc w:val="both"/>
        <w:rPr>
          <w:rFonts w:ascii="Arial" w:hAnsi="Arial" w:cs="Arial"/>
          <w:i/>
          <w:iCs/>
          <w:sz w:val="20"/>
          <w:szCs w:val="20"/>
        </w:rPr>
      </w:pPr>
    </w:p>
    <w:p w14:paraId="2C120E82"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La exposición a circunstancias sociales, económicas, geopolíticas y ambientales desfavorables, como la pobreza, la violencia, la desigualdad y la degradación del medio ambiente, también aumenta el riesgo de sufrir afecciones de salud mental.</w:t>
      </w:r>
    </w:p>
    <w:p w14:paraId="4BC35509" w14:textId="77777777" w:rsidR="001F100C" w:rsidRPr="001F100C" w:rsidRDefault="001F100C" w:rsidP="00233F96">
      <w:pPr>
        <w:spacing w:line="276" w:lineRule="auto"/>
        <w:ind w:left="567" w:right="474" w:firstLine="284"/>
        <w:jc w:val="both"/>
        <w:rPr>
          <w:rFonts w:ascii="Arial" w:hAnsi="Arial" w:cs="Arial"/>
          <w:i/>
          <w:iCs/>
          <w:sz w:val="20"/>
          <w:szCs w:val="20"/>
        </w:rPr>
      </w:pPr>
    </w:p>
    <w:p w14:paraId="1FA222DF"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Los riesgos pueden manifestarse en todas las etapas de la vida, pero los que ocurren durante los períodos sensibles del desarrollo, especialmente en la primera infancia, son particularmente perjudiciales. Por ejemplo, se sabe que la crianza severa y los castigos físicos perjudican la salud infantil y que el acoso escolar es un importante factor de riesgo de las afecciones de salud mental.</w:t>
      </w:r>
    </w:p>
    <w:p w14:paraId="46CF6A77" w14:textId="77777777" w:rsidR="001F100C" w:rsidRPr="001F100C" w:rsidRDefault="001F100C" w:rsidP="00233F96">
      <w:pPr>
        <w:spacing w:line="276" w:lineRule="auto"/>
        <w:ind w:left="567" w:right="474" w:firstLine="284"/>
        <w:jc w:val="both"/>
        <w:rPr>
          <w:rFonts w:ascii="Arial" w:hAnsi="Arial" w:cs="Arial"/>
          <w:i/>
          <w:iCs/>
          <w:sz w:val="20"/>
          <w:szCs w:val="20"/>
        </w:rPr>
      </w:pPr>
    </w:p>
    <w:p w14:paraId="2A208E5E"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Los factores de protección se dan también durante toda la vida y aumentan la resiliencia. Entre ellos se cuentan las habilidades y atributos sociales y emocionales individuales, así como las interacciones sociales positivas, la educación de calidad, el trabajo decente, los vecindarios seguros y la cohesión social, entre otros.</w:t>
      </w:r>
    </w:p>
    <w:p w14:paraId="3E027F52"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C81A905" w14:textId="67B3B802"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Los riesgos para la salud mental y los factores de protección se encuentran en la sociedad en distintas escalas. Las amenazas locales aumentan el riesgo para las personas, las familias y las comunidades. Las amenazas mundiales incrementan el</w:t>
      </w:r>
      <w:r>
        <w:rPr>
          <w:rFonts w:ascii="Arial" w:hAnsi="Arial" w:cs="Arial"/>
          <w:i/>
          <w:iCs/>
          <w:sz w:val="20"/>
          <w:szCs w:val="20"/>
        </w:rPr>
        <w:t xml:space="preserve"> </w:t>
      </w:r>
      <w:r w:rsidRPr="001F100C">
        <w:rPr>
          <w:rFonts w:ascii="Arial" w:hAnsi="Arial" w:cs="Arial"/>
          <w:i/>
          <w:iCs/>
          <w:sz w:val="20"/>
          <w:szCs w:val="20"/>
        </w:rPr>
        <w:t>riesgo para poblaciones enteras; entre ellas se cuentan las recesiones económicas, los brotes de enfermedades, las emergencias humanitarias y los desplazamientos forzados, y la creciente crisis climática.</w:t>
      </w:r>
    </w:p>
    <w:p w14:paraId="453E1582" w14:textId="77777777" w:rsidR="001F100C" w:rsidRPr="001F100C" w:rsidRDefault="001F100C" w:rsidP="00233F96">
      <w:pPr>
        <w:spacing w:line="276" w:lineRule="auto"/>
        <w:ind w:left="567" w:right="474" w:firstLine="284"/>
        <w:jc w:val="both"/>
        <w:rPr>
          <w:rFonts w:ascii="Arial" w:hAnsi="Arial" w:cs="Arial"/>
          <w:i/>
          <w:iCs/>
          <w:sz w:val="20"/>
          <w:szCs w:val="20"/>
        </w:rPr>
      </w:pPr>
    </w:p>
    <w:p w14:paraId="79CBFD41"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 xml:space="preserve">Cada factor de riesgo o de protección tiene una capacidad predictiva limitada. La mayoría de las personas no desarrollan afecciones de salud mental, aunque estén expuestas a un factor de riesgo, mientras que muchas personas no expuestas a factores de riesgo conocidos desarrollan una afección de salud mental. En todo caso, los </w:t>
      </w:r>
      <w:r w:rsidRPr="001F100C">
        <w:rPr>
          <w:rFonts w:ascii="Arial" w:hAnsi="Arial" w:cs="Arial"/>
          <w:i/>
          <w:iCs/>
          <w:sz w:val="20"/>
          <w:szCs w:val="20"/>
        </w:rPr>
        <w:lastRenderedPageBreak/>
        <w:t>determinantes de la salud mental, que están relacionados entre sí, contribuyen a mejorar o socavar la salud mental.</w:t>
      </w:r>
    </w:p>
    <w:p w14:paraId="4AD0752D"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D2AD180"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Problemas que afectan la salud mental</w:t>
      </w:r>
    </w:p>
    <w:p w14:paraId="21BFAF6F" w14:textId="49D78C36"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w:t>
      </w:r>
    </w:p>
    <w:p w14:paraId="51BA02E0"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general, se sabe que el crecimiento y envejecimiento poblacional, serán constantes en los próximos años, lo cual se considera determinante para la presencia de desórdenes y problemas mentales; en este sentido, el informe de salud reportó los siguientes hallazgos:</w:t>
      </w:r>
    </w:p>
    <w:p w14:paraId="3FFD8C4B" w14:textId="77777777" w:rsidR="001F100C" w:rsidRPr="001F100C" w:rsidRDefault="001F100C" w:rsidP="00233F96">
      <w:pPr>
        <w:spacing w:line="276" w:lineRule="auto"/>
        <w:ind w:left="567" w:right="474" w:firstLine="284"/>
        <w:jc w:val="both"/>
        <w:rPr>
          <w:rFonts w:ascii="Arial" w:hAnsi="Arial" w:cs="Arial"/>
          <w:i/>
          <w:iCs/>
          <w:sz w:val="20"/>
          <w:szCs w:val="20"/>
        </w:rPr>
      </w:pPr>
    </w:p>
    <w:p w14:paraId="680D2523"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1.</w:t>
      </w:r>
      <w:r w:rsidRPr="001F100C">
        <w:rPr>
          <w:rFonts w:ascii="Arial" w:hAnsi="Arial" w:cs="Arial"/>
          <w:i/>
          <w:iCs/>
          <w:sz w:val="20"/>
          <w:szCs w:val="20"/>
        </w:rPr>
        <w:tab/>
        <w:t>Crecimiento poblacional:</w:t>
      </w:r>
    </w:p>
    <w:p w14:paraId="2562F62B" w14:textId="77777777"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Población mundial, que en 1955 era de 2.800 millones de habitantes, es actualmente de 5.800 millones y aumentará en casi 80 millones al año, hasta situarse en unos 8.000 millones de habitantes en 2.025. En 1997 se registraron cada día 365.000 nacimientos y alrededor de 140.000 defunciones, lo que arroja un incremento natural de aproximadamente 220.000 personas al día. Para el 2025 se esperan aumentos de hasta el 300 % de la población de edad de muchos países en desarrollo, especialmente de América Latina y de Asia.</w:t>
      </w:r>
    </w:p>
    <w:p w14:paraId="608A9D78" w14:textId="77777777" w:rsidR="001F100C" w:rsidRPr="001F100C" w:rsidRDefault="001F100C" w:rsidP="00233F96">
      <w:pPr>
        <w:spacing w:line="276" w:lineRule="auto"/>
        <w:ind w:left="567" w:right="474" w:firstLine="284"/>
        <w:jc w:val="both"/>
        <w:rPr>
          <w:rFonts w:ascii="Arial" w:hAnsi="Arial" w:cs="Arial"/>
          <w:i/>
          <w:iCs/>
          <w:sz w:val="20"/>
          <w:szCs w:val="20"/>
        </w:rPr>
      </w:pPr>
    </w:p>
    <w:p w14:paraId="40C7FA3B" w14:textId="15413C3E" w:rsidR="001F100C" w:rsidRP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2.</w:t>
      </w:r>
      <w:r>
        <w:rPr>
          <w:rFonts w:ascii="Arial" w:hAnsi="Arial" w:cs="Arial"/>
          <w:i/>
          <w:iCs/>
          <w:sz w:val="20"/>
          <w:szCs w:val="20"/>
        </w:rPr>
        <w:t xml:space="preserve"> </w:t>
      </w:r>
      <w:r w:rsidRPr="001F100C">
        <w:rPr>
          <w:rFonts w:ascii="Arial" w:hAnsi="Arial" w:cs="Arial"/>
          <w:i/>
          <w:iCs/>
          <w:sz w:val="20"/>
          <w:szCs w:val="20"/>
        </w:rPr>
        <w:t>Crecimiento población urbana:</w:t>
      </w:r>
    </w:p>
    <w:p w14:paraId="52D78A04" w14:textId="77777777" w:rsidR="001F100C" w:rsidRDefault="001F100C" w:rsidP="00233F96">
      <w:pPr>
        <w:spacing w:line="276" w:lineRule="auto"/>
        <w:ind w:left="567" w:right="474" w:firstLine="284"/>
        <w:jc w:val="both"/>
        <w:rPr>
          <w:rFonts w:ascii="Arial" w:hAnsi="Arial" w:cs="Arial"/>
          <w:i/>
          <w:iCs/>
          <w:sz w:val="20"/>
          <w:szCs w:val="20"/>
        </w:rPr>
      </w:pPr>
      <w:r w:rsidRPr="001F100C">
        <w:rPr>
          <w:rFonts w:ascii="Arial" w:hAnsi="Arial" w:cs="Arial"/>
          <w:i/>
          <w:iCs/>
          <w:sz w:val="20"/>
          <w:szCs w:val="20"/>
        </w:rPr>
        <w:t>En 1955, el 68 % de la población mundial vivía en las zonas rurales y el 32 % en las urbanas. En 1995, la proporción era del 55 % y del 45 %, respectivamente; en 2025, el 41 % de la población será rural y el 59 % urbana.</w:t>
      </w:r>
    </w:p>
    <w:p w14:paraId="7C4494D4" w14:textId="77777777" w:rsidR="001F100C" w:rsidRPr="001F100C" w:rsidRDefault="001F100C" w:rsidP="00233F96">
      <w:pPr>
        <w:spacing w:line="276" w:lineRule="auto"/>
        <w:ind w:right="474"/>
        <w:jc w:val="both"/>
        <w:rPr>
          <w:rFonts w:ascii="Arial" w:hAnsi="Arial" w:cs="Arial"/>
          <w:i/>
          <w:iCs/>
          <w:sz w:val="20"/>
          <w:szCs w:val="20"/>
        </w:rPr>
      </w:pPr>
    </w:p>
    <w:p w14:paraId="283338AE" w14:textId="4587A74C" w:rsidR="00AA0AFF" w:rsidRPr="001F100C" w:rsidRDefault="001F100C" w:rsidP="00233F96">
      <w:pPr>
        <w:pStyle w:val="Prrafodelista"/>
        <w:numPr>
          <w:ilvl w:val="0"/>
          <w:numId w:val="16"/>
        </w:numPr>
        <w:spacing w:line="276" w:lineRule="auto"/>
        <w:ind w:left="1276" w:right="474"/>
        <w:jc w:val="both"/>
        <w:rPr>
          <w:rFonts w:ascii="Arial" w:hAnsi="Arial" w:cs="Arial"/>
          <w:i/>
          <w:iCs/>
          <w:sz w:val="20"/>
          <w:szCs w:val="20"/>
        </w:rPr>
      </w:pPr>
      <w:r w:rsidRPr="001F100C">
        <w:rPr>
          <w:rFonts w:ascii="Arial" w:hAnsi="Arial" w:cs="Arial"/>
          <w:i/>
          <w:iCs/>
          <w:sz w:val="20"/>
          <w:szCs w:val="20"/>
        </w:rPr>
        <w:t>Envejecimiento poblacional:</w:t>
      </w:r>
    </w:p>
    <w:p w14:paraId="4D7AFFDA" w14:textId="77777777" w:rsidR="001F100C" w:rsidRPr="001F100C" w:rsidRDefault="001F100C" w:rsidP="00233F96">
      <w:pPr>
        <w:spacing w:line="276" w:lineRule="auto"/>
        <w:ind w:left="644" w:right="474" w:firstLine="207"/>
        <w:jc w:val="both"/>
        <w:rPr>
          <w:rFonts w:ascii="Arial" w:hAnsi="Arial" w:cs="Arial"/>
          <w:i/>
          <w:iCs/>
          <w:sz w:val="20"/>
          <w:szCs w:val="20"/>
        </w:rPr>
      </w:pPr>
      <w:r w:rsidRPr="001F100C">
        <w:rPr>
          <w:rFonts w:ascii="Arial" w:hAnsi="Arial" w:cs="Arial"/>
          <w:i/>
          <w:iCs/>
          <w:sz w:val="20"/>
          <w:szCs w:val="20"/>
        </w:rPr>
        <w:t>La población actual está compuesta por 613 millones de niños menores de cinco años; 1.700 millones de niños y adolescentes entre 5 y 19 años; 3.100 millones de adultos entre 20 y 64 años; y 390 millones de mayores de 65 años. La proporción de personas de edad que necesitan el apoyo de adultos pasará del 10,5 % en 1955 y el 12,3 % en 1995 al 17,2 % en 2025. El número de personas de más de 65 años pasará de los 390 millones de la actualidad a 800 millones en 2025, llegando a representar el 10 % de la población total.</w:t>
      </w:r>
    </w:p>
    <w:p w14:paraId="02B61F59" w14:textId="77777777" w:rsidR="001F100C" w:rsidRPr="001F100C" w:rsidRDefault="001F100C" w:rsidP="00233F96">
      <w:pPr>
        <w:pStyle w:val="Prrafodelista"/>
        <w:spacing w:line="276" w:lineRule="auto"/>
        <w:ind w:left="1004" w:right="474"/>
        <w:jc w:val="both"/>
        <w:rPr>
          <w:rFonts w:ascii="Arial" w:hAnsi="Arial" w:cs="Arial"/>
          <w:i/>
          <w:iCs/>
          <w:sz w:val="20"/>
          <w:szCs w:val="20"/>
        </w:rPr>
      </w:pPr>
    </w:p>
    <w:p w14:paraId="2C17656D" w14:textId="77777777" w:rsidR="001F100C" w:rsidRDefault="001F100C" w:rsidP="00233F96">
      <w:pPr>
        <w:pStyle w:val="Prrafodelista"/>
        <w:spacing w:line="276" w:lineRule="auto"/>
        <w:ind w:left="1004" w:right="474"/>
        <w:jc w:val="both"/>
        <w:rPr>
          <w:rFonts w:ascii="Arial" w:hAnsi="Arial" w:cs="Arial"/>
          <w:i/>
          <w:iCs/>
          <w:sz w:val="20"/>
          <w:szCs w:val="20"/>
        </w:rPr>
      </w:pPr>
      <w:r w:rsidRPr="001F100C">
        <w:rPr>
          <w:rFonts w:ascii="Arial" w:hAnsi="Arial" w:cs="Arial"/>
          <w:i/>
          <w:iCs/>
          <w:sz w:val="20"/>
          <w:szCs w:val="20"/>
        </w:rPr>
        <w:t>4.</w:t>
      </w:r>
      <w:r w:rsidRPr="001F100C">
        <w:rPr>
          <w:rFonts w:ascii="Arial" w:hAnsi="Arial" w:cs="Arial"/>
          <w:i/>
          <w:iCs/>
          <w:sz w:val="20"/>
          <w:szCs w:val="20"/>
        </w:rPr>
        <w:tab/>
        <w:t>Disminución población joven:</w:t>
      </w:r>
    </w:p>
    <w:p w14:paraId="012058A8"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En 1955 había 12 personas de más de 65 años por cada 100 menores de 20 años. En ese año (2019) una población de edad / jóvenes era de 16/100; en 2.025 será de 31/100. La proporción de jóvenes menores de 20 años pasará del 40 % actual al 32</w:t>
      </w:r>
      <w:r>
        <w:rPr>
          <w:rFonts w:ascii="Arial" w:hAnsi="Arial" w:cs="Arial"/>
          <w:i/>
          <w:iCs/>
          <w:sz w:val="20"/>
          <w:szCs w:val="20"/>
        </w:rPr>
        <w:t xml:space="preserve"> </w:t>
      </w:r>
      <w:r w:rsidRPr="001F100C">
        <w:rPr>
          <w:rFonts w:ascii="Arial" w:hAnsi="Arial" w:cs="Arial"/>
          <w:i/>
          <w:iCs/>
          <w:sz w:val="20"/>
          <w:szCs w:val="20"/>
        </w:rPr>
        <w:t xml:space="preserve">% </w:t>
      </w:r>
      <w:r w:rsidRPr="001F100C">
        <w:rPr>
          <w:rFonts w:ascii="Arial" w:hAnsi="Arial" w:cs="Arial"/>
          <w:i/>
          <w:iCs/>
          <w:sz w:val="20"/>
          <w:szCs w:val="20"/>
        </w:rPr>
        <w:lastRenderedPageBreak/>
        <w:t>de la población total en el 2.025, a pesar de que el número de jóvenes de esas edades llegará a 2.600 millones, lo que supone un incremento efectivo de 252 millones. A nivel mundial, la población de niños menores de cinco años aumentará sólo un 0,25% anual entre 1995 y 2.025, mientras que la de mayores de 65 años crecerá el 2,6 %.</w:t>
      </w:r>
    </w:p>
    <w:p w14:paraId="01940F82" w14:textId="77777777" w:rsidR="001F100C" w:rsidRDefault="001F100C" w:rsidP="00233F96">
      <w:pPr>
        <w:pStyle w:val="Prrafodelista"/>
        <w:spacing w:line="276" w:lineRule="auto"/>
        <w:ind w:left="709" w:right="474"/>
        <w:jc w:val="both"/>
        <w:rPr>
          <w:rFonts w:ascii="Arial" w:hAnsi="Arial" w:cs="Arial"/>
          <w:i/>
          <w:iCs/>
          <w:sz w:val="20"/>
          <w:szCs w:val="20"/>
        </w:rPr>
      </w:pPr>
    </w:p>
    <w:p w14:paraId="17EE5D76" w14:textId="50F5D25D"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El problema de la pobreza y desigualdad es fundamental en la situación de salud en general, y de salud mental en particular. En este orden de ideas, la distribución de las afecciones mentales en la población no es aleatoria, ya que hay una relación inversa entre el estrato socioeconómico y la tasa agregada de trastornos: cuanto más bajo es el nivel tanta más alta es la tasa. Las necesidades son especialmente altas en los sectores con mayor riesgo, como las poblaciones indígenas y los grupos que sufren desplazamientos, persecución o guerra. Cabe recordar también que solo en algunos casos las personas con necesidades de atención consultan los servicios.</w:t>
      </w:r>
    </w:p>
    <w:p w14:paraId="7A8C21B9"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3CA059B6" w14:textId="77777777" w:rsidR="001F100C" w:rsidRDefault="001F100C" w:rsidP="00233F96">
      <w:pPr>
        <w:pStyle w:val="Prrafodelista"/>
        <w:spacing w:line="276" w:lineRule="auto"/>
        <w:ind w:left="1004" w:right="474"/>
        <w:jc w:val="both"/>
        <w:rPr>
          <w:rFonts w:ascii="Arial" w:hAnsi="Arial" w:cs="Arial"/>
          <w:i/>
          <w:iCs/>
          <w:sz w:val="20"/>
          <w:szCs w:val="20"/>
        </w:rPr>
      </w:pPr>
      <w:r w:rsidRPr="001F100C">
        <w:rPr>
          <w:rFonts w:ascii="Arial" w:hAnsi="Arial" w:cs="Arial"/>
          <w:i/>
          <w:iCs/>
          <w:sz w:val="20"/>
          <w:szCs w:val="20"/>
        </w:rPr>
        <w:t>Salud mental positiva.</w:t>
      </w:r>
    </w:p>
    <w:p w14:paraId="627A7F8E" w14:textId="51C2E38C"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Nació a finales de la segunda guerra mundial; tiempo en el cual los profesionales de la salud buscaban nuevas formas de establecer la conformidad social e íntima de las personas. Varios doctrinantes entre los cuales Marie Jahoda7 quien encontró una nueva técnica en la cual se busca establecer la funcionalidad del individuo en un ambiente social, además de descartar enfermedades mentales más comunes.</w:t>
      </w:r>
    </w:p>
    <w:p w14:paraId="18ED27F1" w14:textId="77777777" w:rsidR="001F100C" w:rsidRDefault="001F100C" w:rsidP="00233F96">
      <w:pPr>
        <w:pStyle w:val="Prrafodelista"/>
        <w:spacing w:line="276" w:lineRule="auto"/>
        <w:ind w:left="709" w:right="474"/>
        <w:jc w:val="both"/>
        <w:rPr>
          <w:rFonts w:ascii="Arial" w:hAnsi="Arial" w:cs="Arial"/>
          <w:i/>
          <w:iCs/>
          <w:sz w:val="20"/>
          <w:szCs w:val="20"/>
        </w:rPr>
      </w:pPr>
    </w:p>
    <w:p w14:paraId="180A7286"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En la actualidad, los expertos han seguido desarrollando esta nueva noción de salud mental; entre los más destacables se encuentra el doctor Alipio Sánchez Vidal, quien en su libro Psicología social aplicada: teoría, método y práctica, señala que la salud mental positiva nació gracias a los esfuerzos del gobierno norteamericano de establecer la salud mental tradicional de sus habitantes; “Fruto del encargo de la Comisión Conjunta creada en EE UU para valorar la situación global de salud mental del país, en 1958 la psicóloga social Marie Jahoda publicó el libro Conceptos actuales de salud mental positiva…” (Sánchez Vidal, 2002, p. 123)8</w:t>
      </w:r>
    </w:p>
    <w:p w14:paraId="63D84A35"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Para el educador Sánchez, la psicóloga Jahoda, desarrolló este nuevo enfoque de salud mental a partir de comprobar la incompatibilidad entre el concepto de salud metal convencional y el ámbito positivista; cuestión que hacía imposible determinar de forma asertiva la salud mental real de los estadounidenses; para el doctrinante Sánchez Vidal, la salud metal positiva es un elemento inherente al ámbito personal, por ende no busca establecer la salud de un colectivo o de la sociedad general; “…Consideró la salud mental positiva como un atributo, o comportamiento, personal, no colectivo, de forma que, desde ese punto de vista, sería impropio hablar de «patología social» o de «salud comunitaria»…” (Sánchez Vidal, 2002, p. 123).</w:t>
      </w:r>
    </w:p>
    <w:p w14:paraId="7BA3B0B0"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51BE3D2F"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Asimismo, el autor señala que si bien es cierto este ámbito de la psicología estudia el ambiente personal y no el social, factores como lo cultural o la misma sociedad, son elementos importantes que afectan de forma directa en la salud mental positiva, además señala la poca estabilidad de estos dos componentes, provocando que comportamientos que en un principio se consideraban saludables en un estudio futuro se tuvieran negativos.</w:t>
      </w:r>
    </w:p>
    <w:p w14:paraId="6A1025BD"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A3E079F"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Reconoció, sin embargo, que el entorno social y cultural facilitan o dificultan las consecuencias que trae la salud, por medio de las normas para evaluar el comportamiento saludable, que, lejos de ser fijas y objetivas, varían con el lugar, el tiempo, la cultura y las expectativas de cada grupo social. Cada criterio puede ser considerado como un continuo entre un extremo positivo de salud y uno negativo de trastorno o enfermedad… (Sánchez Vidal, 2002, p-p. 123-124)</w:t>
      </w:r>
    </w:p>
    <w:p w14:paraId="08B7268C"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7B16727D" w14:textId="754E7CC8"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Finalmente, el autor describe que la educadora Marie Jahoda determinó seis criterios por los cuales se comprobaría el estado de salud metal positiva de las personas analizadas; estos criterios son los siguientes:</w:t>
      </w:r>
    </w:p>
    <w:p w14:paraId="4EFE97EE"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1.</w:t>
      </w:r>
      <w:r w:rsidRPr="001F100C">
        <w:rPr>
          <w:rFonts w:ascii="Arial" w:hAnsi="Arial" w:cs="Arial"/>
          <w:i/>
          <w:iCs/>
          <w:sz w:val="20"/>
          <w:szCs w:val="20"/>
        </w:rPr>
        <w:tab/>
        <w:t>Actitud positiva hacia uno mismo.</w:t>
      </w:r>
    </w:p>
    <w:p w14:paraId="569B3D05" w14:textId="5C7D4E0F"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2.</w:t>
      </w:r>
      <w:r w:rsidRPr="001F100C">
        <w:rPr>
          <w:rFonts w:ascii="Arial" w:hAnsi="Arial" w:cs="Arial"/>
          <w:i/>
          <w:iCs/>
          <w:sz w:val="20"/>
          <w:szCs w:val="20"/>
        </w:rPr>
        <w:tab/>
        <w:t>Crecimiento / actualización personal.</w:t>
      </w:r>
    </w:p>
    <w:p w14:paraId="1C80C4E8"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3.</w:t>
      </w:r>
      <w:r w:rsidRPr="001F100C">
        <w:rPr>
          <w:rFonts w:ascii="Arial" w:hAnsi="Arial" w:cs="Arial"/>
          <w:i/>
          <w:iCs/>
          <w:sz w:val="20"/>
          <w:szCs w:val="20"/>
        </w:rPr>
        <w:tab/>
        <w:t>Integración / equilibrio interior.</w:t>
      </w:r>
    </w:p>
    <w:p w14:paraId="130EB4D4"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4.</w:t>
      </w:r>
      <w:r w:rsidRPr="001F100C">
        <w:rPr>
          <w:rFonts w:ascii="Arial" w:hAnsi="Arial" w:cs="Arial"/>
          <w:i/>
          <w:iCs/>
          <w:sz w:val="20"/>
          <w:szCs w:val="20"/>
        </w:rPr>
        <w:tab/>
        <w:t>Autonomía razonable.</w:t>
      </w:r>
    </w:p>
    <w:p w14:paraId="302DAEF7" w14:textId="6410F31C"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5.</w:t>
      </w:r>
      <w:r w:rsidRPr="001F100C">
        <w:rPr>
          <w:rFonts w:ascii="Arial" w:hAnsi="Arial" w:cs="Arial"/>
          <w:i/>
          <w:iCs/>
          <w:sz w:val="20"/>
          <w:szCs w:val="20"/>
        </w:rPr>
        <w:tab/>
        <w:t>Percepción correcta realidad.</w:t>
      </w:r>
    </w:p>
    <w:p w14:paraId="639E0EEC"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6.</w:t>
      </w:r>
      <w:r w:rsidRPr="001F100C">
        <w:rPr>
          <w:rFonts w:ascii="Arial" w:hAnsi="Arial" w:cs="Arial"/>
          <w:i/>
          <w:iCs/>
          <w:sz w:val="20"/>
          <w:szCs w:val="20"/>
        </w:rPr>
        <w:tab/>
        <w:t>Dominio / maestría razonable del entorno.</w:t>
      </w:r>
    </w:p>
    <w:p w14:paraId="41AF61BB"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0450F4A"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Aquí conviene detenerse un momento a fin de realizar la descripción de cada uno de los criterios, teniendo en cuenta el instrumento de salud mental positiva de María Teresa Lluch:</w:t>
      </w:r>
    </w:p>
    <w:p w14:paraId="5AF89D89"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746840E1"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 xml:space="preserve">Criterio 1: Actitudes hacia sí mismo. Este criterio hace referencia a los diferentes aspectos o componentes del auto concepto enfatizando la importancia de la autopercepción. Las actitudes hacia uno mismo se describen con términos tales como auto aceptación, autoconfianza y/o auto dependencia. Estos conceptos tienen muchos puntos en común, pero también tienen matizaciones propias que los diferencian. Así, la auto aceptación implica que la persona ha aprendido a vivir consigo misma, aceptando sus propias limitaciones y posibilidades. La autoconfianza engloba la autoestima y el autorrespeto e implica que la persona se considera a sí misma buena, fuerte y capaz. Incluyendo el concepto de autoconfianza, pero enfatizando más hacía </w:t>
      </w:r>
      <w:r w:rsidRPr="001F100C">
        <w:rPr>
          <w:rFonts w:ascii="Arial" w:hAnsi="Arial" w:cs="Arial"/>
          <w:i/>
          <w:iCs/>
          <w:sz w:val="20"/>
          <w:szCs w:val="20"/>
        </w:rPr>
        <w:lastRenderedPageBreak/>
        <w:t>la independencia de los demás y la propia iniciativa, reforzando la idea de que uno depende fundamentalmente de sí mismo y de sus propios criterios.</w:t>
      </w:r>
    </w:p>
    <w:p w14:paraId="5E8DDE04"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6C312EB" w14:textId="6CB9FDC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Criterio 2: Crecimiento y auto actualización propia. Este criterio está relacionado con lo que la persona hace con su vida. La auto actualización, también denominada autorrealización o crecimiento personal, puede ser entendida en dos aspectos. El primero hace referencia a un principio general de vida, es decir, como la fuerza motriz que moviliza la actividad de todos los organismos y el segundo un criterio de salud mental positiva que tiene dos dimensiones: la motivación por la vida y la implicación de la vida. Al respecto cabe señalar que el motivo por la existencia hace referencia en palabras del autor al significado de la vida, incluyendo este la motivación, la satisfacción de necesidades básicas y propende por la auto actualización generándose un nivel de tensión que la persona psicológicamente sana vive como placentera y estimulante. Mientras que se presentan diferentes obstáculos en la vida la define como la persona auto actualizada participe activamente en las diferentes actividades de la vida. Vale la pena anotar; que la</w:t>
      </w:r>
      <w:r>
        <w:rPr>
          <w:rFonts w:ascii="Arial" w:hAnsi="Arial" w:cs="Arial"/>
          <w:i/>
          <w:iCs/>
          <w:sz w:val="20"/>
          <w:szCs w:val="20"/>
        </w:rPr>
        <w:t xml:space="preserve"> </w:t>
      </w:r>
      <w:r w:rsidRPr="001F100C">
        <w:rPr>
          <w:rFonts w:ascii="Arial" w:hAnsi="Arial" w:cs="Arial"/>
          <w:i/>
          <w:iCs/>
          <w:sz w:val="20"/>
          <w:szCs w:val="20"/>
        </w:rPr>
        <w:t>autora hace referencia que una persona sana demuestra interés por los otros y no está centrada solamente en satisfacer sus propias necesidades.</w:t>
      </w:r>
    </w:p>
    <w:p w14:paraId="439140FE"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4B96BDC"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Criterio 3: Integración. La integración implica la interrelación de todos los procesos y atributos de la persona. Algunos autores tratan este criterio como parte del auto concepto o de la auto actualización, pero Jahoda (1958) considera que debe abordarse como una categoría independiente. La integración, como criterio de salud mental positiva, puede ser tratada bajo una de las tres perspectivas siguientes: Equilibrio psíquico, filosofía personal para la vida y resistencia al estrés.</w:t>
      </w:r>
    </w:p>
    <w:p w14:paraId="586B8A06"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309ADD60"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Criterio 4: Autonomía. Esta dimensión hace referencia a la relación de la persona con el mundo (con el ambiente) y el término es sinónimo de independencia y autodeterminación. El grado de dependencia e independencia frente a las influencias sociales es un indicador del estado de la salud mental. La persona psicológicamente sana tiene una cierta autonomía y no depende fundamentalmente del mundo y de los demás. Según la autora el criterio de autonomía puede entenderse desde una o ambas de las siguientes dimensiones: Autorregulación y conducta independiente.</w:t>
      </w:r>
    </w:p>
    <w:p w14:paraId="402B7382"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5DFB0E94"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Criterio 5: Percepción de la realidad. Este criterio implica la capacidad para percibir adecuadamente la realidad. La percepción del ambiente la cual no puede ser totalmente objetiva, pero sí es bastante la aproximida para permitir interacciones eficientes entre la persona y su medio ambiente. Existen dos dimensiones de la percepción de la realidad: percepción objetiva y empatía o sensibilidad social.</w:t>
      </w:r>
    </w:p>
    <w:p w14:paraId="036B2121"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lastRenderedPageBreak/>
        <w:t>Criterio 6: Dominio del entorno. El área del funcionamiento humano seleccionada con más frecuencia como criterio de salud mental es la capacidad para manejarse en la realidad. Este criterio está vinculado a dos temas fundamentales: el éxito (que enfatiza el logro o resultado) y la adaptación (que enfatiza el proceso). Dentro de este criterio Jahoda distingue seis dimensiones íntimamente relacionadas: satisfacción sexual, adecuación en el amor, en el trabajo y el tiempo libre, adecuación en las relaciones interpersonales, habilidad para satisfacer las demandas en el entorno, adaptación en el ajuste y resolución de problemas.</w:t>
      </w:r>
    </w:p>
    <w:p w14:paraId="3FE2AEE7"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766759F9" w14:textId="18654462"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Jahoda piensa que estos criterios para definir y evaluar la salud mental positiva están interrelacionados y en función del momento o de la situación personal, prevalecen unos y otros; de la misma forma, los distintos criterios interactúan dialécticamente y configuran un funcionamiento psicológico encadenado. Cabe resaltar la importancia de la aplicación de la escala para la medición de la salud mental positiva de Lluch, a través de un cuestionario formado por 39 ítems, ya que permite evaluar y analizar el bienestar y las habilidades del ser humano para</w:t>
      </w:r>
      <w:r>
        <w:rPr>
          <w:rFonts w:ascii="Arial" w:hAnsi="Arial" w:cs="Arial"/>
          <w:i/>
          <w:iCs/>
          <w:sz w:val="20"/>
          <w:szCs w:val="20"/>
        </w:rPr>
        <w:t xml:space="preserve"> </w:t>
      </w:r>
      <w:r w:rsidRPr="001F100C">
        <w:rPr>
          <w:rFonts w:ascii="Arial" w:hAnsi="Arial" w:cs="Arial"/>
          <w:i/>
          <w:iCs/>
          <w:sz w:val="20"/>
          <w:szCs w:val="20"/>
        </w:rPr>
        <w:t>adaptarse a los diferentes contextos; con objetivo de promover una mejor calidad de vida y generando programas de promoción y prevención en salud mental.</w:t>
      </w:r>
    </w:p>
    <w:p w14:paraId="2B9929DF" w14:textId="77777777" w:rsidR="001F100C" w:rsidRDefault="001F100C" w:rsidP="00233F96">
      <w:pPr>
        <w:pStyle w:val="Prrafodelista"/>
        <w:spacing w:line="276" w:lineRule="auto"/>
        <w:ind w:left="709" w:right="474"/>
        <w:jc w:val="both"/>
        <w:rPr>
          <w:rFonts w:ascii="Arial" w:hAnsi="Arial" w:cs="Arial"/>
          <w:i/>
          <w:iCs/>
          <w:sz w:val="20"/>
          <w:szCs w:val="20"/>
        </w:rPr>
      </w:pPr>
    </w:p>
    <w:p w14:paraId="1B897FC9" w14:textId="659B0539"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Adolescencia.</w:t>
      </w:r>
    </w:p>
    <w:p w14:paraId="04F812B9"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Es definida como una etapa del ciclo vital entre la niñez y la adultez, que se inicia por los cambios puberales y se caracteriza por profundas transformaciones biológicas, psicológicas y sociales, muchas de ellas generadoras de crisis, conflictos y contradicciones, pero esencialmente positivas. De acuerdo con la OMS la adolescencia es la etapa que transcurre entre los 10 y 19 años, considerándose dos fases: la adolescencia temprana de 10 a 14 años, y la adolescencia tardía de 15 a 19 años, coincidiendo con la propuesta por Naciones Unidas que ha trabajado el tema de la juventud y es acogida para el presente estudio. La adolescencia empieza con los cambios fisiológicos de la pubertad (rápido crecimiento del cuerpo, calcificación de los huesos, cambios hormonales y aparición de las características sexuales primarias y secundarias, al igual que las reacciones psicológicas a estos cambios) y termina cuando se llega al pleno estatus sociológico del adulto.</w:t>
      </w:r>
    </w:p>
    <w:p w14:paraId="3BF2E85F"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66F3771F" w14:textId="70C961F2"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 xml:space="preserve">La adolescencia considerada como un período crítico de desarrollo, representa una etapa de tensiones particulares en nuestra sociedad; es un período de transición y de línea divisoria, una etapa del ciclo de crecimiento que marca el final de la niñez y el posterior inicio de la adultez. Para algunos es un período de incertidumbre y desesperación; para otros, es una etapa de amistades, de disminución de ligaduras </w:t>
      </w:r>
      <w:r w:rsidRPr="001F100C">
        <w:rPr>
          <w:rFonts w:ascii="Arial" w:hAnsi="Arial" w:cs="Arial"/>
          <w:i/>
          <w:iCs/>
          <w:sz w:val="20"/>
          <w:szCs w:val="20"/>
        </w:rPr>
        <w:lastRenderedPageBreak/>
        <w:t>con los padres y de sueños acerca del futuro. Es quizás la época más complicada en todo el ciclo de la vida humana. Los adolescentes son conscientes y están seguros de que todo el mundo los observa, entre tanto, su cuerpo continuamente los modifica; sin embargo, la adolescencia también ofrece nuevas oportunidades que los jóvenes muchas veces pierden por diferentes motivos. La adolescencia es el principio de un gran cambio en el que se empieza a tomar decisiones propias y en el que a medida que va pasando el tiempo, se sabe que esas decisiones, tendrán una consecuencia buena o mala. Es el principio de la propia vida. Todos estos factores ayudan de una manera u otra a crear responsabilidad en cada joven, lo que hace temprana o tardíamente que éste obtenga una maduración intelectual. Dependiendo de dicha maduración intelectual, emocional y social, el adolescente se hace más idóneo para ponerse en sintonía con los demás, para dialogar con sus coetáneos y con los9 adultos, para descubrir el significado de sus actividades, para colaborar en el plano de las ideas.</w:t>
      </w:r>
    </w:p>
    <w:p w14:paraId="18B8CD63" w14:textId="77777777" w:rsidR="001F100C" w:rsidRDefault="001F100C" w:rsidP="00233F96">
      <w:pPr>
        <w:pStyle w:val="Prrafodelista"/>
        <w:spacing w:line="276" w:lineRule="auto"/>
        <w:ind w:left="709" w:right="474"/>
        <w:jc w:val="both"/>
        <w:rPr>
          <w:rFonts w:ascii="Arial" w:hAnsi="Arial" w:cs="Arial"/>
          <w:i/>
          <w:iCs/>
          <w:sz w:val="20"/>
          <w:szCs w:val="20"/>
        </w:rPr>
      </w:pPr>
    </w:p>
    <w:p w14:paraId="146E3B33" w14:textId="41884548"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Promoción de la salud mental y prevención de las afecciones de salud mental.</w:t>
      </w:r>
    </w:p>
    <w:p w14:paraId="63E1CE58"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Las intervenciones de promoción y prevención se centran en identificar los determinantes individuales, sociales y estructurales de la salud mental, para luego intervenir a fin de reducir los riesgos, aumentar la resiliencia y crear entornos favorables para la salud mental. Pueden ir dirigidas a individuos, grupos específicos o poblaciones enteras.</w:t>
      </w:r>
    </w:p>
    <w:p w14:paraId="68B5F65C"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Actuar sobre los determinantes de la salud mental requiere a veces adoptar medidas en sectores distintos del de la salud, por lo que los programas de promoción y prevención deben involucrar a los sectores responsables de educación, trabajo, justicia, transporte, medio ambiente, vivienda y protección social. El sector de la salud puede contribuir de modo significativo integrando los esfuerzos de promoción y prevención en los servicios de salud, y promoviendo, iniciando y, cuando proceda, facilitando la colaboración y la coordinación multisectoriales.</w:t>
      </w:r>
    </w:p>
    <w:p w14:paraId="27B912F2"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2189A7F"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 prevención del suicidio es una prioridad mundial y forma parte de los Objetivos de Desarrollo Sostenible. Algunas medidas permitirían avanzar considerablemente al respecto, como limitar el acceso a los medios de suicidio, fomentar una cobertura mediática responsable, promover el aprendizaje socioemocional en los adolescentes y favorecer la intervención temprana. Prohibir los plaguicidas muy peligrosos es una intervención particularmente económica y rentable para reducir las tasas de suicidio.</w:t>
      </w:r>
    </w:p>
    <w:p w14:paraId="04EB9FAE"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5E5989C3"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 xml:space="preserve">La promoción de la salud mental de los niños y adolescentes es otra prioridad, que puede lograrse mediante políticas y leyes que promuevan y protejan la salud mental, apoyando a los cuidadores para que ofrezcan un cuidado cariñoso, poniendo en </w:t>
      </w:r>
      <w:r w:rsidRPr="001F100C">
        <w:rPr>
          <w:rFonts w:ascii="Arial" w:hAnsi="Arial" w:cs="Arial"/>
          <w:i/>
          <w:iCs/>
          <w:sz w:val="20"/>
          <w:szCs w:val="20"/>
        </w:rPr>
        <w:lastRenderedPageBreak/>
        <w:t>marcha programas escolares y mejorando la calidad de los entornos comunitarios y en línea. Los programas de aprendizaje socioemocional en las escuelas son de las estrategias de promoción más eficaces para cualquier país, independientemente de su nivel de ingresos.</w:t>
      </w:r>
    </w:p>
    <w:p w14:paraId="2C06ED7A"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20D11E3D"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 promoción y protección de la salud mental en el trabajo es una esfera de interés creciente, que puede favorecerse mediante la legislación y la reglamentación, estrategias organizacionales, capacitación de gerentes e intervenciones dirigidas a los trabajadores.</w:t>
      </w:r>
    </w:p>
    <w:p w14:paraId="0062FB5F" w14:textId="77777777" w:rsidR="001F100C" w:rsidRDefault="001F100C" w:rsidP="00233F96">
      <w:pPr>
        <w:pStyle w:val="Prrafodelista"/>
        <w:spacing w:line="276" w:lineRule="auto"/>
        <w:ind w:left="709" w:right="474"/>
        <w:jc w:val="both"/>
        <w:rPr>
          <w:rFonts w:ascii="Arial" w:hAnsi="Arial" w:cs="Arial"/>
          <w:i/>
          <w:iCs/>
          <w:sz w:val="20"/>
          <w:szCs w:val="20"/>
        </w:rPr>
      </w:pPr>
    </w:p>
    <w:p w14:paraId="011FA919" w14:textId="3A001C73"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Proteger la salud mental desde los centros educativos.</w:t>
      </w:r>
    </w:p>
    <w:p w14:paraId="36A6D2FD"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Los centros educativos tienen una importante labor en la prevención de problemas de salud mental, ya que son un espacio central de aprendizaje y desarrollo en la infancia y adolescencia. Se trata de un entorno en el que las niñas, niños y adolescentes pasan muchas horas y donde todo aquello que sucede impacta en su autoestima, creencias, hábitos, relación con los demás, proyectos a futuro, etc. Impulsar actuaciones que fortalezcan estos aspectos de forma saludable, supone consolidar los factores de protección de la salud del alumnado.</w:t>
      </w:r>
    </w:p>
    <w:p w14:paraId="38F90283"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43E22F49"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Está demostrado que el alumnado aprende mucho más de todo aquello que vive, que de aquello que se les explica. Como docentes se acompaña a decenas de estudiantes a lo largo de su ejercicio profesional y resultan, inevitablemente, referentes para ellos y ellas. Asumir esta responsabilidad requiere de un ejercicio de reflexión imprescindible en relación con las creencias sobre el éxito, la salud, el género y la diversidad, las estrategias para resolver determinadas situaciones, nuestra manera de comunicarnos y la relación que existen con el cuerpo y la persona. Todo aquello que se desee enseñar al alumnado tomará mucha más consistencia si se acompaña en coherencia con la manera de mostrarse ante ellos y ellas.</w:t>
      </w:r>
    </w:p>
    <w:p w14:paraId="703CC433"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19000726" w14:textId="573CD93D"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 xml:space="preserve">Durante la infancia y la adolescencia el colegio y el instituto son espacios de vida centrales. Estar a gusto en el centro educativo y sentir pertenencia a la comunidad, es primordial para el bienestar emocional, aspecto que influye directamente en la autoestima, el aprendizaje y las relaciones sociales. Prácticas como las asambleas, las tutorías, los círculos restaurativos o la mediación entre iguales son algunas de las opciones que pueden ponerse en práctica para fortalecer vínculos, impulsar la expresión y gestión emocional, así como adquirir estrategias para resolver conflictos. Es muy importante que el alumnado considere el centro educativo como un espacio seguro, donde las relaciones se desarrollan en un clima de respeto y de tolerancia cero </w:t>
      </w:r>
      <w:r w:rsidRPr="001F100C">
        <w:rPr>
          <w:rFonts w:ascii="Arial" w:hAnsi="Arial" w:cs="Arial"/>
          <w:i/>
          <w:iCs/>
          <w:sz w:val="20"/>
          <w:szCs w:val="20"/>
        </w:rPr>
        <w:lastRenderedPageBreak/>
        <w:t>ante cualquier tipo de violencia . De este modo, favorecemos que sientan la tranquilidad y confianza que, ante una situación compleja, disponen de estrategias personales y van a encontrar apoyo tanto por parte de su grupo de iguales como del profesorado.</w:t>
      </w:r>
    </w:p>
    <w:p w14:paraId="36F4F783" w14:textId="77777777" w:rsidR="001F100C" w:rsidRDefault="001F100C" w:rsidP="00233F96">
      <w:pPr>
        <w:pStyle w:val="Prrafodelista"/>
        <w:spacing w:line="276" w:lineRule="auto"/>
        <w:ind w:left="709" w:right="474"/>
        <w:jc w:val="both"/>
        <w:rPr>
          <w:rFonts w:ascii="Arial" w:hAnsi="Arial" w:cs="Arial"/>
          <w:i/>
          <w:iCs/>
          <w:sz w:val="20"/>
          <w:szCs w:val="20"/>
        </w:rPr>
      </w:pPr>
    </w:p>
    <w:p w14:paraId="6BED63AB"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En este orden de ideas es necesario potenciar el espíritu crítico de nuestros niños, niñas y jóvenes, Hace tiempo que sabemos que las nuevas tecnologías y las redes sociales están transformando la manera como nos relacionamos con nuestro entorno y con nosotros mismos, así como el aprendizaje o el acceso a la información. Estimular el espíritu crítico y uso responsable de estos dispositivos y plataformas es fundamental para gestionarlas con seguridad. Para ello es imprescindible acompañar a nuestro alumnado en la adquisición de estrategias para seleccionar, contrastar y filtrar la información, así como recursos para gestionar la comunicación interpersonal.</w:t>
      </w:r>
    </w:p>
    <w:p w14:paraId="250271EF" w14:textId="77777777" w:rsidR="001F100C" w:rsidRDefault="001F100C" w:rsidP="00233F96">
      <w:pPr>
        <w:pStyle w:val="Prrafodelista"/>
        <w:spacing w:line="276" w:lineRule="auto"/>
        <w:ind w:left="709" w:right="474"/>
        <w:jc w:val="both"/>
        <w:rPr>
          <w:rFonts w:ascii="Arial" w:hAnsi="Arial" w:cs="Arial"/>
          <w:i/>
          <w:iCs/>
          <w:sz w:val="20"/>
          <w:szCs w:val="20"/>
        </w:rPr>
      </w:pPr>
    </w:p>
    <w:p w14:paraId="0D1590E2" w14:textId="60060AD3"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Los tiempos modernos.</w:t>
      </w:r>
    </w:p>
    <w:p w14:paraId="0F63E806"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Aunque los jóvenes suelen tener síntomas más leves del virus COVID-19, la pandemia ha traído cambios y desafíos sin precedentes a sus vidas. El cierre de las escuelas por la pandemia ha interrumpido su aprendizaje y los ha aislado de sus compañeros.</w:t>
      </w:r>
    </w:p>
    <w:p w14:paraId="67E5FB06"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6C8F152"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Muchos jóvenes han sido menos activos físicamente, han tenido patrones de sueño irregulares y dietas menos favorables. La pérdida de los medios de subsistencia o la disminución de los salarios de los cuidadores han sumido a muchos jóvenes en la pobreza. Además, el aumento de la drogadicción y la violencia doméstica se ha transformado en un enorme desafío para los jóvenes, ya que durante muchos meses perdieron el refugio que les proporcionaban sus escuelas en tiempos normales. Muchos han perdido a sus cuidadores u otros seres queridos.</w:t>
      </w:r>
    </w:p>
    <w:p w14:paraId="65DE80AC"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772A5E42" w14:textId="03197B46"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 salud mental como un desafío para los jóvenes de América Latina y el Caribe.</w:t>
      </w:r>
    </w:p>
    <w:p w14:paraId="7E75A537"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Empiezan a surgir datos en todo el mundo que sugieren que un número cada vez mayor de jóvenes lucha contra la depresión, la ansiedad y los pensamientos suicidas. En América Latina y el Caribe (ALC), una encuesta realizada por el BID en 2021 a unos 5.000 jóvenes de 11 a 18 años en Belice, Colombia y Costa Rica</w:t>
      </w:r>
      <w:r>
        <w:rPr>
          <w:rFonts w:ascii="Arial" w:hAnsi="Arial" w:cs="Arial"/>
          <w:i/>
          <w:iCs/>
          <w:sz w:val="20"/>
          <w:szCs w:val="20"/>
        </w:rPr>
        <w:t xml:space="preserve"> </w:t>
      </w:r>
      <w:r w:rsidRPr="001F100C">
        <w:rPr>
          <w:rFonts w:ascii="Arial" w:hAnsi="Arial" w:cs="Arial"/>
          <w:i/>
          <w:iCs/>
          <w:sz w:val="20"/>
          <w:szCs w:val="20"/>
        </w:rPr>
        <w:t>comienza a explorar los efectos de la pandemia en los jóvenes. Los resultados sugieren una crisis de salud mental entre los jóvenes de ALC.</w:t>
      </w:r>
    </w:p>
    <w:p w14:paraId="1BA43638" w14:textId="77777777" w:rsidR="00E82F54" w:rsidRPr="001F100C" w:rsidRDefault="00E82F54" w:rsidP="00233F96">
      <w:pPr>
        <w:pStyle w:val="Prrafodelista"/>
        <w:spacing w:line="276" w:lineRule="auto"/>
        <w:ind w:left="709" w:right="474"/>
        <w:jc w:val="both"/>
        <w:rPr>
          <w:rFonts w:ascii="Arial" w:hAnsi="Arial" w:cs="Arial"/>
          <w:i/>
          <w:iCs/>
          <w:sz w:val="20"/>
          <w:szCs w:val="20"/>
        </w:rPr>
      </w:pPr>
    </w:p>
    <w:p w14:paraId="025021B3"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w:t>
      </w:r>
      <w:r w:rsidRPr="001F100C">
        <w:rPr>
          <w:rFonts w:ascii="Arial" w:hAnsi="Arial" w:cs="Arial"/>
          <w:i/>
          <w:iCs/>
          <w:sz w:val="20"/>
          <w:szCs w:val="20"/>
        </w:rPr>
        <w:tab/>
        <w:t xml:space="preserve">Más del 50% de los jóvenes declararon experimentar hiperactividad (55%) y síntomas emocionales que atribuyen a los desafíos relacionados con la pandemia (57%), incluyendo miedo, ira, tristeza, preocupación, entumecimiento, frustración o </w:t>
      </w:r>
      <w:r w:rsidRPr="001F100C">
        <w:rPr>
          <w:rFonts w:ascii="Arial" w:hAnsi="Arial" w:cs="Arial"/>
          <w:i/>
          <w:iCs/>
          <w:sz w:val="20"/>
          <w:szCs w:val="20"/>
        </w:rPr>
        <w:lastRenderedPageBreak/>
        <w:t>problemas con los compañeros de clase (50%). Estos resultados fueron más o menos consistentes en todos los países.</w:t>
      </w:r>
    </w:p>
    <w:p w14:paraId="57298719"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w:t>
      </w:r>
      <w:r w:rsidRPr="001F100C">
        <w:rPr>
          <w:rFonts w:ascii="Arial" w:hAnsi="Arial" w:cs="Arial"/>
          <w:i/>
          <w:iCs/>
          <w:sz w:val="20"/>
          <w:szCs w:val="20"/>
        </w:rPr>
        <w:tab/>
        <w:t>Las jóvenes informan sistemáticamente de niveles de angustia más elevados que sus compañeros varones.</w:t>
      </w:r>
    </w:p>
    <w:p w14:paraId="6F30B754"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w:t>
      </w:r>
      <w:r w:rsidRPr="001F100C">
        <w:rPr>
          <w:rFonts w:ascii="Arial" w:hAnsi="Arial" w:cs="Arial"/>
          <w:i/>
          <w:iCs/>
          <w:sz w:val="20"/>
          <w:szCs w:val="20"/>
        </w:rPr>
        <w:tab/>
        <w:t>Durante la pandemia, la exposición de los jóvenes a los traumas ha aumentado de forma exponencial, lo que ha hecho que las escuelas se esfuercen por responder a una crisis de salud mental al mismo tiempo que están sometidas a una gran presión para completar niveles históricos de aprendizaje inacabado debido al cierre de escuelas.</w:t>
      </w:r>
    </w:p>
    <w:p w14:paraId="3AF5FBEA"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w:t>
      </w:r>
      <w:r w:rsidRPr="001F100C">
        <w:rPr>
          <w:rFonts w:ascii="Arial" w:hAnsi="Arial" w:cs="Arial"/>
          <w:i/>
          <w:iCs/>
          <w:sz w:val="20"/>
          <w:szCs w:val="20"/>
        </w:rPr>
        <w:tab/>
        <w:t>Incluso en los mejores momentos, los educadores de ALC han asumido el papel de trabajadores sociales, atendiendo no sólo las necesidades de aprendizaje, sino también las socioeconómicas y psicológicas de sus alumnos.</w:t>
      </w:r>
    </w:p>
    <w:p w14:paraId="09CE1727" w14:textId="77777777" w:rsidR="001F100C" w:rsidRP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w:t>
      </w:r>
      <w:r w:rsidRPr="001F100C">
        <w:rPr>
          <w:rFonts w:ascii="Arial" w:hAnsi="Arial" w:cs="Arial"/>
          <w:i/>
          <w:iCs/>
          <w:sz w:val="20"/>
          <w:szCs w:val="20"/>
        </w:rPr>
        <w:tab/>
        <w:t>Para agravar la situación, las pruebas incipientes sugieren que la salud mental de los profesores se ha visto afectada por la pandemia. En una encuesta realizada en El Salvador, más de la mitad de los profesores informan de que están agotados, de que su ansiedad se ha disparado y de que presentan síntomas relacionados con el estrés. En el espectro de factores que influyen en la salud mental de los profesores, destacan la preocupación por su propia seguridad y el compromiso de los alumnos y sus padres.</w:t>
      </w:r>
    </w:p>
    <w:p w14:paraId="425AF029" w14:textId="77777777" w:rsidR="001F100C" w:rsidRPr="001F100C" w:rsidRDefault="001F100C" w:rsidP="00233F96">
      <w:pPr>
        <w:pStyle w:val="Prrafodelista"/>
        <w:spacing w:line="276" w:lineRule="auto"/>
        <w:ind w:left="709" w:right="474"/>
        <w:jc w:val="both"/>
        <w:rPr>
          <w:rFonts w:ascii="Arial" w:hAnsi="Arial" w:cs="Arial"/>
          <w:i/>
          <w:iCs/>
          <w:sz w:val="20"/>
          <w:szCs w:val="20"/>
        </w:rPr>
      </w:pPr>
    </w:p>
    <w:p w14:paraId="0E84FD8B" w14:textId="549FD99D" w:rsidR="001F100C" w:rsidRPr="00E82F54"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¿Cómo debería ser una respuesta eficaz en materia de salud mental en la escuela?</w:t>
      </w:r>
    </w:p>
    <w:p w14:paraId="1EFF6E94" w14:textId="77777777" w:rsidR="001F100C"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Las investigaciones realizadas antes de la pandemia sirven de orientación. Los principales modelos teóricos sugieren que la salud mental de los jóvenes debe promoverse en múltiples niveles, desde el individual y el familiar hasta el escolar y el comunitario.</w:t>
      </w:r>
    </w:p>
    <w:p w14:paraId="3C300375" w14:textId="77777777" w:rsidR="00E82F54" w:rsidRPr="001F100C" w:rsidRDefault="00E82F54" w:rsidP="00233F96">
      <w:pPr>
        <w:pStyle w:val="Prrafodelista"/>
        <w:spacing w:line="276" w:lineRule="auto"/>
        <w:ind w:left="709" w:right="474"/>
        <w:jc w:val="both"/>
        <w:rPr>
          <w:rFonts w:ascii="Arial" w:hAnsi="Arial" w:cs="Arial"/>
          <w:i/>
          <w:iCs/>
          <w:sz w:val="20"/>
          <w:szCs w:val="20"/>
        </w:rPr>
      </w:pPr>
    </w:p>
    <w:p w14:paraId="506D015C" w14:textId="77777777" w:rsidR="00E82F54" w:rsidRPr="00E82F54" w:rsidRDefault="001F100C" w:rsidP="00233F96">
      <w:pPr>
        <w:pStyle w:val="Prrafodelista"/>
        <w:spacing w:line="276" w:lineRule="auto"/>
        <w:ind w:left="709" w:right="474"/>
        <w:jc w:val="both"/>
        <w:rPr>
          <w:rFonts w:ascii="Arial" w:hAnsi="Arial" w:cs="Arial"/>
          <w:i/>
          <w:iCs/>
          <w:sz w:val="20"/>
          <w:szCs w:val="20"/>
        </w:rPr>
      </w:pPr>
      <w:r w:rsidRPr="001F100C">
        <w:rPr>
          <w:rFonts w:ascii="Arial" w:hAnsi="Arial" w:cs="Arial"/>
          <w:i/>
          <w:iCs/>
          <w:sz w:val="20"/>
          <w:szCs w:val="20"/>
        </w:rPr>
        <w:t>Las estrategias eficaces de salud mental en la escuela suelen aplicarse a través de algún tipo de modelo de Sistema de Apoyos Múltiples (MTSS). Este tipo de MTSS se</w:t>
      </w:r>
      <w:r w:rsidR="00E82F54">
        <w:rPr>
          <w:rFonts w:ascii="Arial" w:hAnsi="Arial" w:cs="Arial"/>
          <w:i/>
          <w:iCs/>
          <w:sz w:val="20"/>
          <w:szCs w:val="20"/>
        </w:rPr>
        <w:t xml:space="preserve"> </w:t>
      </w:r>
      <w:r w:rsidR="00E82F54" w:rsidRPr="00E82F54">
        <w:rPr>
          <w:rFonts w:ascii="Arial" w:hAnsi="Arial" w:cs="Arial"/>
          <w:i/>
          <w:iCs/>
          <w:sz w:val="20"/>
          <w:szCs w:val="20"/>
        </w:rPr>
        <w:t>utiliza ampliamente en Estados Unidos y Europa, y estructura las intervenciones de salud mental en la escuela a lo largo de tres niveles de apoyo.</w:t>
      </w:r>
    </w:p>
    <w:p w14:paraId="00DA147F" w14:textId="77777777"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En función de las necesidades de los alumnos, el modelo abarca desde las medidas preventivas universales del Nivel 1 hasta el apoyo individualizado e intensivo del Nivel 3.</w:t>
      </w:r>
    </w:p>
    <w:p w14:paraId="4951048F" w14:textId="77777777" w:rsidR="00E82F54" w:rsidRPr="00E82F54" w:rsidRDefault="00E82F54" w:rsidP="00233F96">
      <w:pPr>
        <w:pStyle w:val="Prrafodelista"/>
        <w:spacing w:line="276" w:lineRule="auto"/>
        <w:ind w:left="709" w:right="474"/>
        <w:jc w:val="both"/>
        <w:rPr>
          <w:rFonts w:ascii="Arial" w:hAnsi="Arial" w:cs="Arial"/>
          <w:i/>
          <w:iCs/>
          <w:sz w:val="20"/>
          <w:szCs w:val="20"/>
        </w:rPr>
      </w:pPr>
    </w:p>
    <w:p w14:paraId="686E8064" w14:textId="66D1D54D"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¿Cómo deben responder las escuelas a la crisis de salud mental que dejó el COVID-19?</w:t>
      </w:r>
    </w:p>
    <w:p w14:paraId="72405B42" w14:textId="77777777"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Aunque los jóvenes suelen tener síntomas más leves del virus COVID-19, la pandemia ha traído cambios y desafíos sin precedentes a sus vidas. El cierre de las escuelas por la pandemia ha interrumpido su aprendizaje y los ha aislado de sus compañeros.</w:t>
      </w:r>
    </w:p>
    <w:p w14:paraId="29F9F880" w14:textId="77777777"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lastRenderedPageBreak/>
        <w:t>Muchos jóvenes han sido menos activos físicamente, han tenido patrones de sueño irregulares y dietas menos favorables. La pérdida de los medios de subsistencia o la disminución de los salarios de los cuidadores han sumido a muchos jóvenes en la pobreza. Además, el aumento de la drogadicción y la violencia doméstica se ha transformado en un enorme desafío para los jóvenes, ya que durante muchos meses perdieron el refugio que les proporcionaban sus escuelas en tiempos normales. Muchos han perdido a sus cuidadores u otros seres queridos.</w:t>
      </w:r>
    </w:p>
    <w:p w14:paraId="3E7C8FF8" w14:textId="77777777" w:rsidR="00E82F54" w:rsidRPr="002B5CB1" w:rsidRDefault="00E82F54" w:rsidP="00233F96">
      <w:pPr>
        <w:spacing w:line="276" w:lineRule="auto"/>
        <w:ind w:right="474"/>
        <w:jc w:val="both"/>
        <w:rPr>
          <w:rFonts w:ascii="Arial" w:hAnsi="Arial" w:cs="Arial"/>
          <w:i/>
          <w:iCs/>
          <w:sz w:val="20"/>
          <w:szCs w:val="20"/>
        </w:rPr>
      </w:pPr>
    </w:p>
    <w:p w14:paraId="2035749A" w14:textId="36662B0E"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La salud mental como un desafío para los jóvenes de América Latina y el Caribe.</w:t>
      </w:r>
    </w:p>
    <w:p w14:paraId="3DC6EF78" w14:textId="77777777" w:rsidR="00E82F54" w:rsidRPr="00E82F54"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Empiezan a surgir datos en todo el mundo que sugieren que un número cada vez mayor de jóvenes lucha contra la depresión, la ansiedad y los pensamientos suicidas. En América Latina y el Caribe (ALC), una encuesta realizada por el BID en 2021 a unos 5.000 jóvenes de 11 a 18 años en Belice, Colombia y Costa Rica comienza a explorar los efectos de la pandemia en los jóvenes. Los resultados sugieren una crisis de salud mental entre los jóvenes de ALC.</w:t>
      </w:r>
    </w:p>
    <w:p w14:paraId="13DD98ED" w14:textId="77777777" w:rsidR="00E82F54" w:rsidRPr="00E82F54" w:rsidRDefault="00E82F54" w:rsidP="00233F96">
      <w:pPr>
        <w:pStyle w:val="Prrafodelista"/>
        <w:spacing w:line="276" w:lineRule="auto"/>
        <w:ind w:left="709" w:right="474"/>
        <w:jc w:val="both"/>
        <w:rPr>
          <w:rFonts w:ascii="Arial" w:hAnsi="Arial" w:cs="Arial"/>
          <w:i/>
          <w:iCs/>
          <w:sz w:val="20"/>
          <w:szCs w:val="20"/>
        </w:rPr>
      </w:pPr>
    </w:p>
    <w:p w14:paraId="13557AB2" w14:textId="352518CE" w:rsidR="001F100C" w:rsidRPr="001F100C" w:rsidRDefault="00E82F54" w:rsidP="00233F96">
      <w:pPr>
        <w:pStyle w:val="Prrafodelista"/>
        <w:spacing w:line="276" w:lineRule="auto"/>
        <w:ind w:left="709" w:right="474"/>
        <w:jc w:val="both"/>
        <w:rPr>
          <w:rFonts w:ascii="Arial" w:hAnsi="Arial" w:cs="Arial"/>
          <w:i/>
          <w:iCs/>
          <w:sz w:val="20"/>
          <w:szCs w:val="20"/>
        </w:rPr>
      </w:pPr>
      <w:r w:rsidRPr="00E82F54">
        <w:rPr>
          <w:rFonts w:ascii="Arial" w:hAnsi="Arial" w:cs="Arial"/>
          <w:i/>
          <w:iCs/>
          <w:sz w:val="20"/>
          <w:szCs w:val="20"/>
        </w:rPr>
        <w:t>•</w:t>
      </w:r>
      <w:r w:rsidR="006367A8">
        <w:rPr>
          <w:rFonts w:ascii="Arial" w:hAnsi="Arial" w:cs="Arial"/>
          <w:i/>
          <w:iCs/>
          <w:sz w:val="20"/>
          <w:szCs w:val="20"/>
        </w:rPr>
        <w:t xml:space="preserve"> </w:t>
      </w:r>
      <w:r w:rsidRPr="00E82F54">
        <w:rPr>
          <w:rFonts w:ascii="Arial" w:hAnsi="Arial" w:cs="Arial"/>
          <w:i/>
          <w:iCs/>
          <w:sz w:val="20"/>
          <w:szCs w:val="20"/>
        </w:rPr>
        <w:t>Más del 50% de los jóvenes declararon experimentar hiperactividad (55%) y síntomas emocionales que atribuyen a los desafíos relacionados con la pandemia (57%), incluyendo miedo, ira, tristeza, preocupación, entumecimiento, frustración o problemas con los compañeros de clase (50%). Estos resultados fueron más o menos consistentes en todos los países.</w:t>
      </w:r>
    </w:p>
    <w:p w14:paraId="63388BB6" w14:textId="048726C6" w:rsidR="00AA0AFF" w:rsidRPr="00D84CB5" w:rsidRDefault="00AA0AFF" w:rsidP="00233F96">
      <w:pPr>
        <w:spacing w:line="276" w:lineRule="auto"/>
        <w:ind w:left="567" w:right="474" w:firstLine="284"/>
        <w:jc w:val="both"/>
        <w:rPr>
          <w:rFonts w:ascii="Arial" w:hAnsi="Arial" w:cs="Arial"/>
          <w:i/>
          <w:iCs/>
          <w:sz w:val="20"/>
          <w:szCs w:val="20"/>
        </w:rPr>
      </w:pPr>
      <w:r>
        <w:rPr>
          <w:rFonts w:ascii="Arial" w:hAnsi="Arial" w:cs="Arial"/>
          <w:i/>
          <w:iCs/>
          <w:sz w:val="20"/>
          <w:szCs w:val="20"/>
        </w:rPr>
        <w:t>…"</w:t>
      </w:r>
    </w:p>
    <w:p w14:paraId="2408465E" w14:textId="27324F70" w:rsidR="00810CBA" w:rsidRPr="00D84CB5" w:rsidRDefault="00810CBA" w:rsidP="00233F96">
      <w:pPr>
        <w:spacing w:line="276" w:lineRule="auto"/>
        <w:ind w:left="567" w:right="474" w:firstLine="284"/>
        <w:jc w:val="both"/>
        <w:rPr>
          <w:rFonts w:ascii="Arial" w:eastAsiaTheme="minorEastAsia" w:hAnsi="Arial" w:cs="Arial"/>
          <w:i/>
          <w:iCs/>
          <w:sz w:val="20"/>
          <w:szCs w:val="20"/>
        </w:rPr>
      </w:pPr>
      <w:r w:rsidRPr="00D84CB5">
        <w:rPr>
          <w:rFonts w:ascii="Arial" w:hAnsi="Arial" w:cs="Arial"/>
          <w:i/>
          <w:iCs/>
          <w:sz w:val="20"/>
          <w:szCs w:val="20"/>
        </w:rPr>
        <w:t xml:space="preserve"> </w:t>
      </w:r>
    </w:p>
    <w:p w14:paraId="6505F15F" w14:textId="77777777" w:rsidR="00AA0AFF" w:rsidRDefault="00AA0AFF" w:rsidP="007D285C">
      <w:pPr>
        <w:spacing w:line="276" w:lineRule="auto"/>
        <w:ind w:left="-3" w:firstLine="567"/>
        <w:jc w:val="both"/>
        <w:rPr>
          <w:rFonts w:ascii="Arial" w:hAnsi="Arial" w:cs="Arial"/>
        </w:rPr>
      </w:pPr>
    </w:p>
    <w:p w14:paraId="44695D84" w14:textId="77777777" w:rsidR="007D285C" w:rsidRDefault="007D285C" w:rsidP="007D285C">
      <w:pPr>
        <w:pStyle w:val="Prrafodelista"/>
        <w:numPr>
          <w:ilvl w:val="0"/>
          <w:numId w:val="30"/>
        </w:numPr>
        <w:spacing w:line="276" w:lineRule="auto"/>
        <w:ind w:left="993" w:hanging="284"/>
        <w:jc w:val="both"/>
        <w:rPr>
          <w:rFonts w:ascii="Arial" w:hAnsi="Arial" w:cs="Arial"/>
          <w:b/>
          <w:bCs/>
        </w:rPr>
      </w:pPr>
      <w:r>
        <w:rPr>
          <w:rFonts w:ascii="Arial" w:hAnsi="Arial" w:cs="Arial"/>
          <w:b/>
          <w:bCs/>
        </w:rPr>
        <w:t>Análisis de la propuesta</w:t>
      </w:r>
    </w:p>
    <w:p w14:paraId="3F0FA300" w14:textId="1A873638" w:rsidR="006367A8" w:rsidRDefault="002B5CB1" w:rsidP="003F6BCB">
      <w:pPr>
        <w:pStyle w:val="Default"/>
        <w:spacing w:line="276" w:lineRule="auto"/>
        <w:ind w:firstLine="567"/>
        <w:jc w:val="both"/>
        <w:rPr>
          <w:rFonts w:ascii="Arial" w:hAnsi="Arial" w:cs="Arial"/>
        </w:rPr>
      </w:pPr>
      <w:r w:rsidRPr="002B5CB1">
        <w:rPr>
          <w:rFonts w:ascii="Arial" w:hAnsi="Arial" w:cs="Arial"/>
        </w:rPr>
        <w:t>Quienes integramos esta comisión dictaminadora, identificamos el objetivo principal de la iniciativa que es adicionar a la Ley de Educación para el Estado de Guanajuato,</w:t>
      </w:r>
      <w:r w:rsidR="00FA0065">
        <w:rPr>
          <w:rFonts w:ascii="Arial" w:hAnsi="Arial" w:cs="Arial"/>
        </w:rPr>
        <w:t xml:space="preserve"> </w:t>
      </w:r>
      <w:r w:rsidR="00FA0065" w:rsidRPr="00FA0065">
        <w:rPr>
          <w:rFonts w:ascii="Arial" w:hAnsi="Arial" w:cs="Arial"/>
        </w:rPr>
        <w:t xml:space="preserve">la procuración de la salud mental positiva de los educandos del </w:t>
      </w:r>
      <w:r w:rsidR="00FA0065">
        <w:rPr>
          <w:rFonts w:ascii="Arial" w:hAnsi="Arial" w:cs="Arial"/>
        </w:rPr>
        <w:t>E</w:t>
      </w:r>
      <w:r w:rsidR="00FA0065" w:rsidRPr="00FA0065">
        <w:rPr>
          <w:rFonts w:ascii="Arial" w:hAnsi="Arial" w:cs="Arial"/>
        </w:rPr>
        <w:t>stado</w:t>
      </w:r>
      <w:r w:rsidR="00FA0065">
        <w:rPr>
          <w:rFonts w:ascii="Arial" w:hAnsi="Arial" w:cs="Arial"/>
        </w:rPr>
        <w:t>.</w:t>
      </w:r>
    </w:p>
    <w:p w14:paraId="5FD7777B" w14:textId="77777777" w:rsidR="002B5CB1" w:rsidRDefault="002B5CB1" w:rsidP="003F6BCB">
      <w:pPr>
        <w:pStyle w:val="Default"/>
        <w:spacing w:line="276" w:lineRule="auto"/>
        <w:ind w:firstLine="567"/>
        <w:jc w:val="both"/>
        <w:rPr>
          <w:rFonts w:ascii="Arial" w:hAnsi="Arial" w:cs="Arial"/>
        </w:rPr>
      </w:pPr>
    </w:p>
    <w:p w14:paraId="0180E73B" w14:textId="4C6C88F0" w:rsidR="006367A8" w:rsidRDefault="00C87627" w:rsidP="00C87627">
      <w:pPr>
        <w:pStyle w:val="Default"/>
        <w:spacing w:line="276" w:lineRule="auto"/>
        <w:ind w:firstLine="567"/>
        <w:jc w:val="both"/>
        <w:rPr>
          <w:rFonts w:ascii="Arial" w:hAnsi="Arial" w:cs="Arial"/>
        </w:rPr>
      </w:pPr>
      <w:r w:rsidRPr="00C87627">
        <w:rPr>
          <w:rFonts w:ascii="Arial" w:hAnsi="Arial" w:cs="Arial"/>
        </w:rPr>
        <w:t>La Organización Mundial de la Salud</w:t>
      </w:r>
      <w:r>
        <w:rPr>
          <w:rFonts w:ascii="Arial" w:hAnsi="Arial" w:cs="Arial"/>
        </w:rPr>
        <w:t xml:space="preserve"> </w:t>
      </w:r>
      <w:r w:rsidRPr="00C87627">
        <w:rPr>
          <w:rFonts w:ascii="Arial" w:hAnsi="Arial" w:cs="Arial"/>
        </w:rPr>
        <w:t>define la salud menta</w:t>
      </w:r>
      <w:r>
        <w:rPr>
          <w:rFonts w:ascii="Arial" w:hAnsi="Arial" w:cs="Arial"/>
        </w:rPr>
        <w:t>l como el e</w:t>
      </w:r>
      <w:r w:rsidRPr="00C87627">
        <w:rPr>
          <w:rFonts w:ascii="Arial" w:hAnsi="Arial" w:cs="Arial"/>
        </w:rPr>
        <w:t xml:space="preserve">stado de bienestar mental que permite a las personas hacer frente a los momentos de estrés de la vida, desarrollar todas sus habilidades, aprender y trabajar adecuadamente e integrarse en su entorno. La salud mental tiene un valor intrínseco y fundamental, y forma parte de nuestro bienestar general. </w:t>
      </w:r>
      <w:r>
        <w:rPr>
          <w:rFonts w:ascii="Arial" w:hAnsi="Arial" w:cs="Arial"/>
        </w:rPr>
        <w:t xml:space="preserve"> </w:t>
      </w:r>
      <w:r w:rsidRPr="00C87627">
        <w:rPr>
          <w:rFonts w:ascii="Arial" w:hAnsi="Arial" w:cs="Arial"/>
        </w:rPr>
        <w:t>Esta</w:t>
      </w:r>
      <w:r>
        <w:rPr>
          <w:rFonts w:ascii="Arial" w:hAnsi="Arial" w:cs="Arial"/>
        </w:rPr>
        <w:t xml:space="preserve"> </w:t>
      </w:r>
      <w:r w:rsidRPr="00C87627">
        <w:rPr>
          <w:rFonts w:ascii="Arial" w:hAnsi="Arial" w:cs="Arial"/>
        </w:rPr>
        <w:t xml:space="preserve">definición, conocida como la visión </w:t>
      </w:r>
      <w:r w:rsidRPr="00C87627">
        <w:rPr>
          <w:rFonts w:ascii="Arial" w:hAnsi="Arial" w:cs="Arial"/>
        </w:rPr>
        <w:lastRenderedPageBreak/>
        <w:t>positiva de la salud mental, se da gracias a los</w:t>
      </w:r>
      <w:r>
        <w:rPr>
          <w:rFonts w:ascii="Arial" w:hAnsi="Arial" w:cs="Arial"/>
        </w:rPr>
        <w:t xml:space="preserve"> </w:t>
      </w:r>
      <w:r w:rsidRPr="00C87627">
        <w:rPr>
          <w:rFonts w:ascii="Arial" w:hAnsi="Arial" w:cs="Arial"/>
        </w:rPr>
        <w:t>cambios ocurridos en el campo de la salud, producto de la institucionalización del</w:t>
      </w:r>
      <w:r>
        <w:rPr>
          <w:rFonts w:ascii="Arial" w:hAnsi="Arial" w:cs="Arial"/>
        </w:rPr>
        <w:t xml:space="preserve"> </w:t>
      </w:r>
      <w:r w:rsidRPr="00C87627">
        <w:rPr>
          <w:rFonts w:ascii="Arial" w:hAnsi="Arial" w:cs="Arial"/>
        </w:rPr>
        <w:t>concepto de calidad de vida, lo que implicó la inclusión en la agenda política de</w:t>
      </w:r>
      <w:r>
        <w:rPr>
          <w:rFonts w:ascii="Arial" w:hAnsi="Arial" w:cs="Arial"/>
        </w:rPr>
        <w:t xml:space="preserve"> </w:t>
      </w:r>
      <w:r w:rsidRPr="00C87627">
        <w:rPr>
          <w:rFonts w:ascii="Arial" w:hAnsi="Arial" w:cs="Arial"/>
        </w:rPr>
        <w:t>acciones que canalizaran la responsabilidad de los Estados en la búsqueda del</w:t>
      </w:r>
      <w:r>
        <w:rPr>
          <w:rFonts w:ascii="Arial" w:hAnsi="Arial" w:cs="Arial"/>
        </w:rPr>
        <w:t xml:space="preserve"> </w:t>
      </w:r>
      <w:r w:rsidRPr="00C87627">
        <w:rPr>
          <w:rFonts w:ascii="Arial" w:hAnsi="Arial" w:cs="Arial"/>
        </w:rPr>
        <w:t>bienestar de las personas</w:t>
      </w:r>
      <w:r>
        <w:rPr>
          <w:rFonts w:ascii="Arial" w:hAnsi="Arial" w:cs="Arial"/>
        </w:rPr>
        <w:t>.</w:t>
      </w:r>
    </w:p>
    <w:p w14:paraId="5601011C" w14:textId="77777777" w:rsidR="00C87627" w:rsidRDefault="00C87627" w:rsidP="00C87627">
      <w:pPr>
        <w:pStyle w:val="Default"/>
        <w:spacing w:line="276" w:lineRule="auto"/>
        <w:ind w:firstLine="567"/>
        <w:jc w:val="both"/>
        <w:rPr>
          <w:rFonts w:ascii="Arial" w:hAnsi="Arial" w:cs="Arial"/>
        </w:rPr>
      </w:pPr>
    </w:p>
    <w:p w14:paraId="7B486CDD" w14:textId="1F2430EF" w:rsidR="00C87627" w:rsidRDefault="00C87627" w:rsidP="00C87627">
      <w:pPr>
        <w:pStyle w:val="Default"/>
        <w:spacing w:line="276" w:lineRule="auto"/>
        <w:ind w:firstLine="567"/>
        <w:jc w:val="both"/>
        <w:rPr>
          <w:rFonts w:ascii="Arial" w:hAnsi="Arial" w:cs="Arial"/>
        </w:rPr>
      </w:pPr>
      <w:r>
        <w:rPr>
          <w:rFonts w:ascii="Arial" w:hAnsi="Arial" w:cs="Arial"/>
        </w:rPr>
        <w:t>La propia Organización Mundial de la Salud en respuesta a este problema ha pedido</w:t>
      </w:r>
      <w:r w:rsidRPr="00C87627">
        <w:rPr>
          <w:rFonts w:ascii="Arial" w:hAnsi="Arial" w:cs="Arial"/>
        </w:rPr>
        <w:t xml:space="preserve"> a todos los países que agilicen los progresos para aplicar </w:t>
      </w:r>
      <w:r>
        <w:rPr>
          <w:rFonts w:ascii="Arial" w:hAnsi="Arial" w:cs="Arial"/>
        </w:rPr>
        <w:t xml:space="preserve">el Plan de acción </w:t>
      </w:r>
      <w:r w:rsidRPr="00C87627">
        <w:rPr>
          <w:rFonts w:ascii="Arial" w:hAnsi="Arial" w:cs="Arial"/>
        </w:rPr>
        <w:t>insistiendo en el valor de la salud mental, dando prioridad a su promoción y su prevención, y estableciendo redes de servicios comunitarios. </w:t>
      </w:r>
    </w:p>
    <w:p w14:paraId="2E03F34A" w14:textId="77777777" w:rsidR="00C87627" w:rsidRDefault="00C87627" w:rsidP="00C87627">
      <w:pPr>
        <w:pStyle w:val="Default"/>
        <w:spacing w:line="276" w:lineRule="auto"/>
        <w:ind w:firstLine="567"/>
        <w:jc w:val="both"/>
        <w:rPr>
          <w:rFonts w:ascii="Arial" w:hAnsi="Arial" w:cs="Arial"/>
        </w:rPr>
      </w:pPr>
    </w:p>
    <w:p w14:paraId="540D9EA7" w14:textId="78F92345" w:rsidR="00C87627" w:rsidRDefault="00233F96" w:rsidP="00C87627">
      <w:pPr>
        <w:pStyle w:val="Default"/>
        <w:spacing w:line="276" w:lineRule="auto"/>
        <w:ind w:firstLine="567"/>
        <w:jc w:val="both"/>
        <w:rPr>
          <w:rFonts w:ascii="Arial" w:hAnsi="Arial" w:cs="Arial"/>
        </w:rPr>
      </w:pPr>
      <w:r>
        <w:rPr>
          <w:rFonts w:ascii="Arial" w:hAnsi="Arial" w:cs="Arial"/>
        </w:rPr>
        <w:t>En México, l</w:t>
      </w:r>
      <w:r w:rsidR="00C87627">
        <w:rPr>
          <w:rFonts w:ascii="Arial" w:hAnsi="Arial" w:cs="Arial"/>
        </w:rPr>
        <w:t xml:space="preserve">a Constitución Política de los Estados Unidos Mexicanos establece en el artículo 4º </w:t>
      </w:r>
      <w:r w:rsidR="00A22704">
        <w:rPr>
          <w:rFonts w:ascii="Arial" w:hAnsi="Arial" w:cs="Arial"/>
        </w:rPr>
        <w:t>el derecho a la protección</w:t>
      </w:r>
      <w:r w:rsidR="00A22704" w:rsidRPr="00A22704">
        <w:rPr>
          <w:rFonts w:ascii="Arial" w:hAnsi="Arial" w:cs="Arial"/>
        </w:rPr>
        <w:t xml:space="preserve"> de la salud</w:t>
      </w:r>
      <w:r w:rsidR="00A22704">
        <w:rPr>
          <w:rFonts w:ascii="Arial" w:hAnsi="Arial" w:cs="Arial"/>
        </w:rPr>
        <w:t xml:space="preserve">, estableciendo que será la </w:t>
      </w:r>
      <w:r w:rsidR="00A22704" w:rsidRPr="00A22704">
        <w:rPr>
          <w:rFonts w:ascii="Arial" w:hAnsi="Arial" w:cs="Arial"/>
        </w:rPr>
        <w:t xml:space="preserve">Ley </w:t>
      </w:r>
      <w:r w:rsidR="00A22704">
        <w:rPr>
          <w:rFonts w:ascii="Arial" w:hAnsi="Arial" w:cs="Arial"/>
        </w:rPr>
        <w:t xml:space="preserve">que </w:t>
      </w:r>
      <w:r w:rsidR="00A22704" w:rsidRPr="00A22704">
        <w:rPr>
          <w:rFonts w:ascii="Arial" w:hAnsi="Arial" w:cs="Arial"/>
        </w:rPr>
        <w:t>definirá las bases y modalidades para el acceso a los servicios de salud</w:t>
      </w:r>
      <w:r w:rsidR="00A22704">
        <w:rPr>
          <w:rFonts w:ascii="Arial" w:hAnsi="Arial" w:cs="Arial"/>
        </w:rPr>
        <w:t xml:space="preserve">, con la </w:t>
      </w:r>
      <w:r w:rsidR="00A22704" w:rsidRPr="00A22704">
        <w:rPr>
          <w:rFonts w:ascii="Arial" w:hAnsi="Arial" w:cs="Arial"/>
        </w:rPr>
        <w:t>concurrencia de la Federación y las entidades federativas en materia de salubridad general, conforme a lo que dispone la fracción XVI del artículo 73. La Ley definirá un sistema de salud para el bienestar, con el fin de garantizar la extensión progresiva, cuantitativa y cualitativa de los servicios de salud para la atención integral y gratuita de las personas que no cuenten con seguridad social.</w:t>
      </w:r>
    </w:p>
    <w:p w14:paraId="7859A4A4" w14:textId="77777777" w:rsidR="00A22704" w:rsidRDefault="00A22704" w:rsidP="00C87627">
      <w:pPr>
        <w:pStyle w:val="Default"/>
        <w:spacing w:line="276" w:lineRule="auto"/>
        <w:ind w:firstLine="567"/>
        <w:jc w:val="both"/>
        <w:rPr>
          <w:rFonts w:ascii="Arial" w:hAnsi="Arial" w:cs="Arial"/>
        </w:rPr>
      </w:pPr>
    </w:p>
    <w:p w14:paraId="154F6770" w14:textId="7A55D698" w:rsidR="00A22704" w:rsidRDefault="00A22704" w:rsidP="00C87627">
      <w:pPr>
        <w:pStyle w:val="Default"/>
        <w:spacing w:line="276" w:lineRule="auto"/>
        <w:ind w:firstLine="567"/>
        <w:jc w:val="both"/>
        <w:rPr>
          <w:rFonts w:ascii="Arial" w:hAnsi="Arial" w:cs="Arial"/>
        </w:rPr>
      </w:pPr>
      <w:r>
        <w:rPr>
          <w:rFonts w:ascii="Arial" w:hAnsi="Arial" w:cs="Arial"/>
        </w:rPr>
        <w:t>En ese tenor el artículo 73 fracción XVI refiere:</w:t>
      </w:r>
    </w:p>
    <w:p w14:paraId="5D6B0D95" w14:textId="77777777" w:rsidR="00A22704" w:rsidRDefault="00A22704" w:rsidP="00C87627">
      <w:pPr>
        <w:pStyle w:val="Default"/>
        <w:spacing w:line="276" w:lineRule="auto"/>
        <w:ind w:firstLine="567"/>
        <w:jc w:val="both"/>
        <w:rPr>
          <w:rFonts w:ascii="Arial" w:hAnsi="Arial" w:cs="Arial"/>
        </w:rPr>
      </w:pPr>
    </w:p>
    <w:p w14:paraId="4B1ED6A8" w14:textId="77777777" w:rsidR="00A22704" w:rsidRPr="00233F96" w:rsidRDefault="00A22704" w:rsidP="00E17C01">
      <w:pPr>
        <w:pStyle w:val="Default"/>
        <w:ind w:firstLine="567"/>
        <w:jc w:val="both"/>
        <w:rPr>
          <w:rFonts w:ascii="Arial" w:hAnsi="Arial" w:cs="Arial"/>
          <w:i/>
          <w:iCs/>
          <w:sz w:val="22"/>
          <w:szCs w:val="22"/>
        </w:rPr>
      </w:pPr>
      <w:r w:rsidRPr="00233F96">
        <w:rPr>
          <w:rFonts w:ascii="Arial" w:hAnsi="Arial" w:cs="Arial"/>
          <w:i/>
          <w:iCs/>
          <w:sz w:val="22"/>
          <w:szCs w:val="22"/>
        </w:rPr>
        <w:t>Artículo 73. El Congreso tiene facultad:</w:t>
      </w:r>
    </w:p>
    <w:p w14:paraId="3F2E3F33" w14:textId="77777777" w:rsidR="00A22704" w:rsidRPr="00233F96" w:rsidRDefault="00A22704" w:rsidP="00E17C01">
      <w:pPr>
        <w:pStyle w:val="Default"/>
        <w:numPr>
          <w:ilvl w:val="0"/>
          <w:numId w:val="37"/>
        </w:numPr>
        <w:ind w:left="993" w:hanging="426"/>
        <w:jc w:val="both"/>
        <w:rPr>
          <w:rFonts w:ascii="Arial" w:hAnsi="Arial" w:cs="Arial"/>
          <w:i/>
          <w:iCs/>
          <w:sz w:val="22"/>
          <w:szCs w:val="22"/>
        </w:rPr>
      </w:pPr>
      <w:r w:rsidRPr="00233F96">
        <w:rPr>
          <w:rFonts w:ascii="Arial" w:hAnsi="Arial" w:cs="Arial"/>
          <w:i/>
          <w:iCs/>
          <w:sz w:val="22"/>
          <w:szCs w:val="22"/>
        </w:rPr>
        <w:t>a XV.</w:t>
      </w:r>
    </w:p>
    <w:p w14:paraId="4A48CCE9" w14:textId="77777777" w:rsidR="00A22704" w:rsidRPr="00233F96" w:rsidRDefault="00A22704" w:rsidP="00E17C01">
      <w:pPr>
        <w:pStyle w:val="Default"/>
        <w:ind w:left="1287"/>
        <w:jc w:val="both"/>
        <w:rPr>
          <w:rFonts w:ascii="Arial" w:hAnsi="Arial" w:cs="Arial"/>
          <w:i/>
          <w:iCs/>
          <w:sz w:val="22"/>
          <w:szCs w:val="22"/>
        </w:rPr>
      </w:pPr>
    </w:p>
    <w:p w14:paraId="3B19F74C" w14:textId="57A38EBC" w:rsidR="00A22704" w:rsidRPr="00233F96" w:rsidRDefault="00A22704" w:rsidP="00E17C01">
      <w:pPr>
        <w:pStyle w:val="Default"/>
        <w:ind w:left="567"/>
        <w:jc w:val="both"/>
        <w:rPr>
          <w:rFonts w:ascii="Arial" w:hAnsi="Arial" w:cs="Arial"/>
          <w:i/>
          <w:iCs/>
          <w:sz w:val="22"/>
          <w:szCs w:val="22"/>
        </w:rPr>
      </w:pPr>
      <w:r w:rsidRPr="00233F96">
        <w:rPr>
          <w:rFonts w:ascii="Arial" w:hAnsi="Arial" w:cs="Arial"/>
          <w:b/>
          <w:bCs/>
          <w:i/>
          <w:iCs/>
          <w:sz w:val="22"/>
          <w:szCs w:val="22"/>
        </w:rPr>
        <w:t>XVI.</w:t>
      </w:r>
      <w:r w:rsidRPr="00233F96">
        <w:rPr>
          <w:rFonts w:ascii="Arial" w:hAnsi="Arial" w:cs="Arial"/>
          <w:i/>
          <w:iCs/>
          <w:sz w:val="22"/>
          <w:szCs w:val="22"/>
        </w:rPr>
        <w:t xml:space="preserve">  Para dictar leyes sobre nacionalidad, condición jurídica de los extranjeros, ciudadanía, naturalización, colonización, emigración e inmigración y salubridad general de la República.</w:t>
      </w:r>
    </w:p>
    <w:p w14:paraId="14D81174" w14:textId="77777777" w:rsidR="00A22704" w:rsidRPr="00233F96" w:rsidRDefault="00A22704" w:rsidP="00E17C01">
      <w:pPr>
        <w:pStyle w:val="Default"/>
        <w:ind w:left="567"/>
        <w:jc w:val="both"/>
        <w:rPr>
          <w:rFonts w:ascii="Arial" w:hAnsi="Arial" w:cs="Arial"/>
          <w:i/>
          <w:iCs/>
          <w:sz w:val="22"/>
          <w:szCs w:val="22"/>
        </w:rPr>
      </w:pPr>
    </w:p>
    <w:p w14:paraId="333BD0ED" w14:textId="77777777" w:rsidR="00A22704" w:rsidRPr="00233F96" w:rsidRDefault="00A22704" w:rsidP="00E17C01">
      <w:pPr>
        <w:pStyle w:val="Default"/>
        <w:ind w:left="1418" w:hanging="284"/>
        <w:jc w:val="both"/>
        <w:rPr>
          <w:rFonts w:ascii="Arial" w:hAnsi="Arial" w:cs="Arial"/>
          <w:i/>
          <w:iCs/>
          <w:sz w:val="22"/>
          <w:szCs w:val="22"/>
        </w:rPr>
      </w:pPr>
      <w:r w:rsidRPr="00233F96">
        <w:rPr>
          <w:rFonts w:ascii="Arial" w:hAnsi="Arial" w:cs="Arial"/>
          <w:i/>
          <w:iCs/>
          <w:sz w:val="22"/>
          <w:szCs w:val="22"/>
        </w:rPr>
        <w:t>1a. El Consejo de Salubridad General dependerá directamente del Presidente de la República, sin intervención de ninguna Secretaría de Estado, y sus disposiciones generales serán obligatorias en el país.</w:t>
      </w:r>
    </w:p>
    <w:p w14:paraId="1A07CF41" w14:textId="77777777" w:rsidR="00A22704" w:rsidRPr="00233F96" w:rsidRDefault="00A22704" w:rsidP="00E17C01">
      <w:pPr>
        <w:pStyle w:val="Default"/>
        <w:ind w:left="1418" w:hanging="284"/>
        <w:jc w:val="both"/>
        <w:rPr>
          <w:rFonts w:ascii="Arial" w:hAnsi="Arial" w:cs="Arial"/>
          <w:i/>
          <w:iCs/>
          <w:sz w:val="22"/>
          <w:szCs w:val="22"/>
        </w:rPr>
      </w:pPr>
    </w:p>
    <w:p w14:paraId="25D45B26" w14:textId="77777777" w:rsidR="00A22704" w:rsidRPr="00233F96" w:rsidRDefault="00A22704" w:rsidP="00E17C01">
      <w:pPr>
        <w:pStyle w:val="Default"/>
        <w:ind w:left="1418" w:hanging="284"/>
        <w:jc w:val="both"/>
        <w:rPr>
          <w:rFonts w:ascii="Arial" w:hAnsi="Arial" w:cs="Arial"/>
          <w:i/>
          <w:iCs/>
          <w:sz w:val="22"/>
          <w:szCs w:val="22"/>
        </w:rPr>
      </w:pPr>
      <w:r w:rsidRPr="00233F96">
        <w:rPr>
          <w:rFonts w:ascii="Arial" w:hAnsi="Arial" w:cs="Arial"/>
          <w:i/>
          <w:iCs/>
          <w:sz w:val="22"/>
          <w:szCs w:val="22"/>
        </w:rPr>
        <w:t xml:space="preserve">2a. En caso de epidemias de carácter grave o peligro de invasión de enfermedades exóticas en el país, la Secretaría de Salud tendrá obligación </w:t>
      </w:r>
      <w:r w:rsidRPr="00233F96">
        <w:rPr>
          <w:rFonts w:ascii="Arial" w:hAnsi="Arial" w:cs="Arial"/>
          <w:i/>
          <w:iCs/>
          <w:sz w:val="22"/>
          <w:szCs w:val="22"/>
        </w:rPr>
        <w:lastRenderedPageBreak/>
        <w:t>de dictar inmediatamente las medidas preventivas indispensables, a reserva de ser después sancionadas por el Presidente de la República.</w:t>
      </w:r>
    </w:p>
    <w:p w14:paraId="1162FE22" w14:textId="77777777" w:rsidR="00A22704" w:rsidRPr="00233F96" w:rsidRDefault="00A22704" w:rsidP="00E17C01">
      <w:pPr>
        <w:pStyle w:val="Default"/>
        <w:ind w:left="1418" w:hanging="284"/>
        <w:jc w:val="both"/>
        <w:rPr>
          <w:rFonts w:ascii="Arial" w:hAnsi="Arial" w:cs="Arial"/>
          <w:i/>
          <w:iCs/>
          <w:sz w:val="22"/>
          <w:szCs w:val="22"/>
        </w:rPr>
      </w:pPr>
    </w:p>
    <w:p w14:paraId="20FF31BE" w14:textId="77777777" w:rsidR="00A22704" w:rsidRPr="00233F96" w:rsidRDefault="00A22704" w:rsidP="00E17C01">
      <w:pPr>
        <w:pStyle w:val="Default"/>
        <w:ind w:left="1418" w:hanging="284"/>
        <w:jc w:val="both"/>
        <w:rPr>
          <w:rFonts w:ascii="Arial" w:hAnsi="Arial" w:cs="Arial"/>
          <w:i/>
          <w:iCs/>
          <w:sz w:val="22"/>
          <w:szCs w:val="22"/>
        </w:rPr>
      </w:pPr>
      <w:r w:rsidRPr="00233F96">
        <w:rPr>
          <w:rFonts w:ascii="Arial" w:hAnsi="Arial" w:cs="Arial"/>
          <w:i/>
          <w:iCs/>
          <w:sz w:val="22"/>
          <w:szCs w:val="22"/>
        </w:rPr>
        <w:t>3a. La autoridad sanitaria será ejecutiva y sus disposiciones serán obedecidas por las autoridades administrativas del País.</w:t>
      </w:r>
    </w:p>
    <w:p w14:paraId="7829A700" w14:textId="77777777" w:rsidR="00A22704" w:rsidRPr="00233F96" w:rsidRDefault="00A22704" w:rsidP="00E17C01">
      <w:pPr>
        <w:pStyle w:val="Default"/>
        <w:ind w:left="1418" w:hanging="284"/>
        <w:jc w:val="both"/>
        <w:rPr>
          <w:rFonts w:ascii="Arial" w:hAnsi="Arial" w:cs="Arial"/>
          <w:i/>
          <w:iCs/>
          <w:sz w:val="22"/>
          <w:szCs w:val="22"/>
        </w:rPr>
      </w:pPr>
    </w:p>
    <w:p w14:paraId="4747477E" w14:textId="2311B502" w:rsidR="00A22704" w:rsidRPr="00233F96" w:rsidRDefault="00A22704" w:rsidP="00E17C01">
      <w:pPr>
        <w:pStyle w:val="Default"/>
        <w:ind w:left="1418" w:hanging="284"/>
        <w:jc w:val="both"/>
        <w:rPr>
          <w:rFonts w:ascii="Arial" w:hAnsi="Arial" w:cs="Arial"/>
          <w:i/>
          <w:iCs/>
          <w:sz w:val="22"/>
          <w:szCs w:val="22"/>
        </w:rPr>
      </w:pPr>
      <w:r w:rsidRPr="00233F96">
        <w:rPr>
          <w:rFonts w:ascii="Arial" w:hAnsi="Arial" w:cs="Arial"/>
          <w:i/>
          <w:iCs/>
          <w:sz w:val="22"/>
          <w:szCs w:val="22"/>
        </w:rPr>
        <w:t>4a. Las medidas que el Consejo haya puesto en vigor en la Campaña contra el alcoholismo y la venta de sustancias que envenenan al individuo o degeneran la especie humana, así como las adoptadas para prevenir y combatir la contaminación ambiental, serán después revisadas por el Congreso de la Unión en los casos que le competan.</w:t>
      </w:r>
    </w:p>
    <w:p w14:paraId="572AF2B6" w14:textId="77777777" w:rsidR="006367A8" w:rsidRDefault="006367A8" w:rsidP="003F6BCB">
      <w:pPr>
        <w:pStyle w:val="Default"/>
        <w:spacing w:line="276" w:lineRule="auto"/>
        <w:ind w:firstLine="567"/>
        <w:jc w:val="both"/>
        <w:rPr>
          <w:rFonts w:ascii="Arial" w:hAnsi="Arial" w:cs="Arial"/>
        </w:rPr>
      </w:pPr>
    </w:p>
    <w:p w14:paraId="23810DFE" w14:textId="1E9AB36C" w:rsidR="006367A8" w:rsidRDefault="00A22704" w:rsidP="003F6BCB">
      <w:pPr>
        <w:pStyle w:val="Default"/>
        <w:spacing w:line="276" w:lineRule="auto"/>
        <w:ind w:firstLine="567"/>
        <w:jc w:val="both"/>
        <w:rPr>
          <w:rFonts w:ascii="Arial" w:hAnsi="Arial" w:cs="Arial"/>
        </w:rPr>
      </w:pPr>
      <w:r>
        <w:rPr>
          <w:rFonts w:ascii="Arial" w:hAnsi="Arial" w:cs="Arial"/>
        </w:rPr>
        <w:t xml:space="preserve">En consecuencia, la Ley General de Salud tiene como objeto establecer </w:t>
      </w:r>
      <w:r w:rsidRPr="00A22704">
        <w:rPr>
          <w:rFonts w:ascii="Arial" w:hAnsi="Arial" w:cs="Arial"/>
        </w:rPr>
        <w:t>las bases y modalidades para el acceso a los servicios de salud, distribuye competencias y establece los casos de concurrencia entre la Federación y las entidades federativas en materia de salubridad general. Es de aplicación en toda la República y sus disposiciones son de orden público e interés social.</w:t>
      </w:r>
      <w:r>
        <w:rPr>
          <w:rStyle w:val="Refdenotaalpie"/>
          <w:rFonts w:ascii="Arial" w:hAnsi="Arial" w:cs="Arial"/>
        </w:rPr>
        <w:footnoteReference w:id="1"/>
      </w:r>
    </w:p>
    <w:p w14:paraId="0300DFAA" w14:textId="77777777" w:rsidR="00A22704" w:rsidRDefault="00A22704" w:rsidP="003F6BCB">
      <w:pPr>
        <w:pStyle w:val="Default"/>
        <w:spacing w:line="276" w:lineRule="auto"/>
        <w:ind w:firstLine="567"/>
        <w:jc w:val="both"/>
        <w:rPr>
          <w:rFonts w:ascii="Arial" w:hAnsi="Arial" w:cs="Arial"/>
        </w:rPr>
      </w:pPr>
    </w:p>
    <w:p w14:paraId="0979552A" w14:textId="1980444B" w:rsidR="00A22704" w:rsidRDefault="00A22704" w:rsidP="003F6BCB">
      <w:pPr>
        <w:pStyle w:val="Default"/>
        <w:spacing w:line="276" w:lineRule="auto"/>
        <w:ind w:firstLine="567"/>
        <w:jc w:val="both"/>
        <w:rPr>
          <w:rFonts w:ascii="Arial" w:hAnsi="Arial" w:cs="Arial"/>
        </w:rPr>
      </w:pPr>
      <w:r>
        <w:rPr>
          <w:rFonts w:ascii="Arial" w:hAnsi="Arial" w:cs="Arial"/>
        </w:rPr>
        <w:t>De igual forma el artículo 3º establece que es materia de salubridad general, entre otras, la Salud Mental</w:t>
      </w:r>
      <w:r>
        <w:rPr>
          <w:rStyle w:val="Refdenotaalpie"/>
          <w:rFonts w:ascii="Arial" w:hAnsi="Arial" w:cs="Arial"/>
        </w:rPr>
        <w:footnoteReference w:id="2"/>
      </w:r>
      <w:r>
        <w:rPr>
          <w:rFonts w:ascii="Arial" w:hAnsi="Arial" w:cs="Arial"/>
        </w:rPr>
        <w:t>.</w:t>
      </w:r>
    </w:p>
    <w:p w14:paraId="5ADDE8A7" w14:textId="77777777" w:rsidR="00B87DF5" w:rsidRDefault="00B87DF5" w:rsidP="003F6BCB">
      <w:pPr>
        <w:pStyle w:val="Default"/>
        <w:spacing w:line="276" w:lineRule="auto"/>
        <w:ind w:firstLine="567"/>
        <w:jc w:val="both"/>
        <w:rPr>
          <w:rFonts w:ascii="Arial" w:hAnsi="Arial" w:cs="Arial"/>
        </w:rPr>
      </w:pPr>
    </w:p>
    <w:p w14:paraId="522F20E6" w14:textId="3AAD16F8" w:rsidR="006367A8" w:rsidRDefault="00B87DF5" w:rsidP="00B87DF5">
      <w:pPr>
        <w:pStyle w:val="Default"/>
        <w:spacing w:line="276" w:lineRule="auto"/>
        <w:ind w:firstLine="567"/>
        <w:jc w:val="both"/>
        <w:rPr>
          <w:rFonts w:ascii="Arial" w:hAnsi="Arial" w:cs="Arial"/>
        </w:rPr>
      </w:pPr>
      <w:r>
        <w:rPr>
          <w:rFonts w:ascii="Arial" w:hAnsi="Arial" w:cs="Arial"/>
        </w:rPr>
        <w:t>El artículo 13 de la misma ley general refiere que l</w:t>
      </w:r>
      <w:r w:rsidRPr="00B87DF5">
        <w:rPr>
          <w:rFonts w:ascii="Arial" w:hAnsi="Arial" w:cs="Arial"/>
        </w:rPr>
        <w:t xml:space="preserve">a competencia entre la Federación y las entidades federativas en materia de salubridad general </w:t>
      </w:r>
      <w:r>
        <w:rPr>
          <w:rFonts w:ascii="Arial" w:hAnsi="Arial" w:cs="Arial"/>
        </w:rPr>
        <w:t xml:space="preserve">en donde el aparato B, indica que </w:t>
      </w:r>
      <w:r w:rsidRPr="00B87DF5">
        <w:rPr>
          <w:rFonts w:ascii="Arial" w:hAnsi="Arial" w:cs="Arial"/>
        </w:rPr>
        <w:t>a los gobiernos de las entidades federativas, en materia de salubridad general, como autoridades locales y dentro de sus respectivas jurisdicciones territoriales</w:t>
      </w:r>
      <w:r>
        <w:rPr>
          <w:rFonts w:ascii="Arial" w:hAnsi="Arial" w:cs="Arial"/>
        </w:rPr>
        <w:t xml:space="preserve"> les corresponde: </w:t>
      </w:r>
      <w:r w:rsidRPr="00233F96">
        <w:rPr>
          <w:rFonts w:ascii="Arial" w:hAnsi="Arial" w:cs="Arial"/>
          <w:i/>
          <w:iCs/>
          <w:sz w:val="22"/>
          <w:szCs w:val="22"/>
        </w:rPr>
        <w:t xml:space="preserve">Organizar, operar, supervisar y evaluar la prestación de los servicios de salubridad general a que se refieren las fracciones II, II Bis, IV, IV Bis, IV Bis 1, IV Bis 2, IV Bis 3, V, </w:t>
      </w:r>
      <w:r w:rsidRPr="00233F96">
        <w:rPr>
          <w:rFonts w:ascii="Arial" w:hAnsi="Arial" w:cs="Arial"/>
          <w:b/>
          <w:bCs/>
          <w:i/>
          <w:iCs/>
          <w:sz w:val="22"/>
          <w:szCs w:val="22"/>
        </w:rPr>
        <w:t>VI</w:t>
      </w:r>
      <w:r w:rsidRPr="00233F96">
        <w:rPr>
          <w:rFonts w:ascii="Arial" w:hAnsi="Arial" w:cs="Arial"/>
          <w:i/>
          <w:iCs/>
          <w:sz w:val="22"/>
          <w:szCs w:val="22"/>
        </w:rPr>
        <w:t>, VII, VIII, IX, X, XI, XII, XIII, XIV, XV, XVI, XVII, XVIII, XIX, XX, XXVI Bis y XXVII Bis, del artículo 3o. de esta Ley, de conformidad con las disposiciones aplicables</w:t>
      </w:r>
      <w:r>
        <w:rPr>
          <w:rStyle w:val="Refdenotaalpie"/>
          <w:rFonts w:ascii="Arial" w:hAnsi="Arial" w:cs="Arial"/>
          <w:i/>
          <w:iCs/>
        </w:rPr>
        <w:footnoteReference w:id="3"/>
      </w:r>
      <w:r>
        <w:rPr>
          <w:rFonts w:ascii="Arial" w:hAnsi="Arial" w:cs="Arial"/>
        </w:rPr>
        <w:t>.</w:t>
      </w:r>
    </w:p>
    <w:p w14:paraId="3CCE3C96" w14:textId="77777777" w:rsidR="00E17C01" w:rsidRDefault="00E17C01" w:rsidP="00B87DF5">
      <w:pPr>
        <w:pStyle w:val="Default"/>
        <w:spacing w:line="276" w:lineRule="auto"/>
        <w:ind w:firstLine="567"/>
        <w:jc w:val="both"/>
        <w:rPr>
          <w:rFonts w:ascii="Arial" w:hAnsi="Arial" w:cs="Arial"/>
        </w:rPr>
      </w:pPr>
    </w:p>
    <w:p w14:paraId="781C2002" w14:textId="4DA396CF" w:rsidR="00E17C01" w:rsidRDefault="00E17C01" w:rsidP="00B87DF5">
      <w:pPr>
        <w:pStyle w:val="Default"/>
        <w:spacing w:line="276" w:lineRule="auto"/>
        <w:ind w:firstLine="567"/>
        <w:jc w:val="both"/>
        <w:rPr>
          <w:rFonts w:ascii="Arial" w:hAnsi="Arial" w:cs="Arial"/>
        </w:rPr>
      </w:pPr>
      <w:r>
        <w:rPr>
          <w:rFonts w:ascii="Arial" w:hAnsi="Arial" w:cs="Arial"/>
        </w:rPr>
        <w:lastRenderedPageBreak/>
        <w:t>De lo anterior y con apoyo de lo argumentado por la Coordinación General Jurídica, la concurrencia entre la federación y las entidades federativas en materia de salubridad general, de la que forma parte la salud mental, atiende a que las entidades federativas sólo tienen competencia para organizar, operar, supervisar y evaluar la prestación del servicio de salubridad general, no así, para legislar al respecto.</w:t>
      </w:r>
    </w:p>
    <w:p w14:paraId="2CA48E80" w14:textId="77777777" w:rsidR="00B87DF5" w:rsidRDefault="00B87DF5" w:rsidP="00B87DF5">
      <w:pPr>
        <w:pStyle w:val="Default"/>
        <w:spacing w:line="276" w:lineRule="auto"/>
        <w:ind w:firstLine="567"/>
        <w:jc w:val="both"/>
        <w:rPr>
          <w:rFonts w:ascii="Arial" w:hAnsi="Arial" w:cs="Arial"/>
        </w:rPr>
      </w:pPr>
    </w:p>
    <w:p w14:paraId="2FCBA5C0" w14:textId="1442E243" w:rsidR="00B87DF5" w:rsidRDefault="00B87DF5" w:rsidP="00B87DF5">
      <w:pPr>
        <w:pStyle w:val="Default"/>
        <w:spacing w:line="276" w:lineRule="auto"/>
        <w:ind w:firstLine="567"/>
        <w:jc w:val="both"/>
        <w:rPr>
          <w:rFonts w:ascii="Arial" w:hAnsi="Arial" w:cs="Arial"/>
        </w:rPr>
      </w:pPr>
      <w:r>
        <w:rPr>
          <w:rFonts w:ascii="Arial" w:hAnsi="Arial" w:cs="Arial"/>
        </w:rPr>
        <w:t xml:space="preserve">En tales condiciones, las diputadas y el diputado integrantes de la Comisión de Educación, Ciencia y Tecnología y Cultura, consideramos la inviabilidad de la iniciativa que se analiza, toda vez que invade </w:t>
      </w:r>
      <w:r w:rsidR="00E17C01">
        <w:rPr>
          <w:rFonts w:ascii="Arial" w:hAnsi="Arial" w:cs="Arial"/>
        </w:rPr>
        <w:t>la competencia para legislar sobre el género de la salubridad general y su especie de salud mental, por tratarse de una competencia exclusiva de legislar del Congreso de la Unión</w:t>
      </w:r>
      <w:r>
        <w:rPr>
          <w:rFonts w:ascii="Arial" w:hAnsi="Arial" w:cs="Arial"/>
        </w:rPr>
        <w:t>.</w:t>
      </w:r>
    </w:p>
    <w:p w14:paraId="608A0284" w14:textId="77777777" w:rsidR="00B87DF5" w:rsidRDefault="00B87DF5" w:rsidP="00B87DF5">
      <w:pPr>
        <w:pStyle w:val="Default"/>
        <w:spacing w:line="276" w:lineRule="auto"/>
        <w:ind w:firstLine="567"/>
        <w:jc w:val="both"/>
        <w:rPr>
          <w:rFonts w:ascii="Arial" w:hAnsi="Arial" w:cs="Arial"/>
        </w:rPr>
      </w:pPr>
    </w:p>
    <w:p w14:paraId="0F7D33FA" w14:textId="74B775B5" w:rsidR="003F6BCB" w:rsidRDefault="00102FBD" w:rsidP="00233F96">
      <w:pPr>
        <w:pStyle w:val="Default"/>
        <w:spacing w:line="276" w:lineRule="auto"/>
        <w:ind w:firstLine="567"/>
        <w:jc w:val="both"/>
        <w:rPr>
          <w:rFonts w:ascii="Arial" w:hAnsi="Arial" w:cs="Arial"/>
        </w:rPr>
      </w:pPr>
      <w:r w:rsidRPr="0090001B">
        <w:rPr>
          <w:rFonts w:ascii="Arial" w:hAnsi="Arial" w:cs="Arial"/>
        </w:rPr>
        <w:tab/>
      </w:r>
      <w:bookmarkEnd w:id="4"/>
      <w:r w:rsidR="003F6BCB">
        <w:rPr>
          <w:rFonts w:ascii="Arial" w:hAnsi="Arial" w:cs="Arial"/>
        </w:rPr>
        <w:t xml:space="preserve">Por lo expuesto y fundado, las </w:t>
      </w:r>
      <w:r w:rsidR="003F6BCB" w:rsidRPr="00F42A37">
        <w:rPr>
          <w:rFonts w:ascii="Arial" w:hAnsi="Arial" w:cs="Arial"/>
        </w:rPr>
        <w:t>diputadas</w:t>
      </w:r>
      <w:r w:rsidR="00DF42BF" w:rsidRPr="00F42A37">
        <w:rPr>
          <w:rFonts w:ascii="Arial" w:hAnsi="Arial" w:cs="Arial"/>
        </w:rPr>
        <w:t xml:space="preserve"> y</w:t>
      </w:r>
      <w:r w:rsidR="003F6BCB" w:rsidRPr="00F42A37">
        <w:rPr>
          <w:rFonts w:ascii="Arial" w:hAnsi="Arial" w:cs="Arial"/>
        </w:rPr>
        <w:t xml:space="preserve"> el diputado</w:t>
      </w:r>
      <w:r w:rsidR="003F6BCB">
        <w:rPr>
          <w:rFonts w:ascii="Arial" w:hAnsi="Arial" w:cs="Arial"/>
        </w:rPr>
        <w:t xml:space="preserve"> que integramos esta Comisión de Educación, Ciencia y Tecnología y Cultura</w:t>
      </w:r>
      <w:r w:rsidR="007D25BD">
        <w:rPr>
          <w:rFonts w:ascii="Arial" w:hAnsi="Arial" w:cs="Arial"/>
        </w:rPr>
        <w:t xml:space="preserve">, </w:t>
      </w:r>
      <w:r w:rsidR="007D25BD" w:rsidRPr="0090001B">
        <w:rPr>
          <w:rFonts w:ascii="Arial" w:hAnsi="Arial" w:cs="Arial"/>
        </w:rPr>
        <w:t>con fundamento en el artículo 171 la Ley Orgánica del Poder Legislativo del Estado de Guanajuato</w:t>
      </w:r>
      <w:r w:rsidR="003F6BCB">
        <w:rPr>
          <w:rFonts w:ascii="Arial" w:hAnsi="Arial" w:cs="Arial"/>
        </w:rPr>
        <w:t xml:space="preserve">, </w:t>
      </w:r>
      <w:r w:rsidR="00233F96">
        <w:rPr>
          <w:rFonts w:ascii="Arial" w:hAnsi="Arial" w:cs="Arial"/>
        </w:rPr>
        <w:t xml:space="preserve">por no tener facultades para legislar en materia de Salud Mental, de acuerdo al artículo 73, fracción XVI de la Constitución Política de los Estados Unidos Mexicanos y los artículos 1º, 3º y 13 de la Ley General de Salud, </w:t>
      </w:r>
      <w:r w:rsidR="003F6BCB">
        <w:rPr>
          <w:rFonts w:ascii="Arial" w:hAnsi="Arial" w:cs="Arial"/>
        </w:rPr>
        <w:t xml:space="preserve">respetuosamente solicitamos a esta Asamblea se apruebe el siguiente: </w:t>
      </w:r>
    </w:p>
    <w:p w14:paraId="4BBB3732" w14:textId="77777777" w:rsidR="00F42A37" w:rsidRDefault="00F42A37" w:rsidP="00F42A37">
      <w:pPr>
        <w:spacing w:line="276" w:lineRule="auto"/>
        <w:rPr>
          <w:rFonts w:ascii="Arial" w:hAnsi="Arial" w:cs="Arial"/>
          <w:b/>
        </w:rPr>
      </w:pPr>
    </w:p>
    <w:p w14:paraId="36A07A2C" w14:textId="201FA5A7" w:rsidR="00FD1C6B" w:rsidRPr="0090001B" w:rsidRDefault="00102FBD" w:rsidP="0090001B">
      <w:pPr>
        <w:spacing w:line="276" w:lineRule="auto"/>
        <w:jc w:val="center"/>
        <w:rPr>
          <w:rFonts w:ascii="Arial" w:hAnsi="Arial" w:cs="Arial"/>
          <w:b/>
        </w:rPr>
      </w:pPr>
      <w:r w:rsidRPr="0090001B">
        <w:rPr>
          <w:rFonts w:ascii="Arial" w:hAnsi="Arial" w:cs="Arial"/>
          <w:b/>
        </w:rPr>
        <w:t>ACUERDO</w:t>
      </w:r>
    </w:p>
    <w:p w14:paraId="68B1669E" w14:textId="77777777" w:rsidR="00B84C8E" w:rsidRPr="0090001B" w:rsidRDefault="00B84C8E" w:rsidP="0090001B">
      <w:pPr>
        <w:spacing w:line="276" w:lineRule="auto"/>
        <w:jc w:val="center"/>
        <w:rPr>
          <w:rFonts w:ascii="Arial" w:hAnsi="Arial" w:cs="Arial"/>
          <w:b/>
        </w:rPr>
      </w:pPr>
    </w:p>
    <w:p w14:paraId="7B86B885" w14:textId="3D2B9DF6" w:rsidR="0079098D" w:rsidRPr="0090001B" w:rsidRDefault="00102FBD" w:rsidP="0090001B">
      <w:pPr>
        <w:spacing w:line="276" w:lineRule="auto"/>
        <w:ind w:firstLine="708"/>
        <w:jc w:val="both"/>
        <w:rPr>
          <w:rFonts w:ascii="Arial" w:hAnsi="Arial" w:cs="Arial"/>
        </w:rPr>
      </w:pPr>
      <w:r w:rsidRPr="0090001B">
        <w:rPr>
          <w:rFonts w:ascii="Arial" w:hAnsi="Arial" w:cs="Arial"/>
          <w:b/>
          <w:bCs/>
        </w:rPr>
        <w:t>Único.</w:t>
      </w:r>
      <w:r w:rsidRPr="0090001B">
        <w:rPr>
          <w:rFonts w:ascii="Arial" w:hAnsi="Arial" w:cs="Arial"/>
        </w:rPr>
        <w:t xml:space="preserve"> </w:t>
      </w:r>
      <w:r w:rsidR="003E0039" w:rsidRPr="0090001B">
        <w:rPr>
          <w:rFonts w:ascii="Arial" w:hAnsi="Arial" w:cs="Arial"/>
        </w:rPr>
        <w:t>La Sexagésima Quinta Legislatura,</w:t>
      </w:r>
      <w:r w:rsidRPr="0090001B">
        <w:rPr>
          <w:rFonts w:ascii="Arial" w:hAnsi="Arial" w:cs="Arial"/>
        </w:rPr>
        <w:t xml:space="preserve"> ordena el archivo definitivo </w:t>
      </w:r>
      <w:r w:rsidR="00211C44" w:rsidRPr="0090001B">
        <w:rPr>
          <w:rFonts w:ascii="Arial" w:hAnsi="Arial" w:cs="Arial"/>
        </w:rPr>
        <w:t xml:space="preserve">de </w:t>
      </w:r>
      <w:r w:rsidR="003F35FF" w:rsidRPr="0090001B">
        <w:rPr>
          <w:rFonts w:ascii="Arial" w:hAnsi="Arial" w:cs="Arial"/>
        </w:rPr>
        <w:t>la</w:t>
      </w:r>
      <w:r w:rsidR="00BF5BAE">
        <w:rPr>
          <w:rFonts w:ascii="Arial" w:hAnsi="Arial" w:cs="Arial"/>
        </w:rPr>
        <w:t xml:space="preserve"> </w:t>
      </w:r>
      <w:r w:rsidR="00BF5BAE" w:rsidRPr="00BF5BAE">
        <w:rPr>
          <w:rFonts w:ascii="Arial" w:hAnsi="Arial" w:cs="Arial"/>
        </w:rPr>
        <w:t>iniciativa</w:t>
      </w:r>
      <w:r w:rsidR="00AA5F39">
        <w:rPr>
          <w:rFonts w:ascii="Arial" w:hAnsi="Arial" w:cs="Arial"/>
        </w:rPr>
        <w:t xml:space="preserve"> </w:t>
      </w:r>
      <w:r w:rsidR="00AA5F39" w:rsidRPr="00AA5F39">
        <w:rPr>
          <w:rFonts w:ascii="Arial" w:hAnsi="Arial" w:cs="Arial"/>
        </w:rPr>
        <w:t>por la que se reforman los artículos 5 fracción IX; 7 segundo párrafo; 13, fracción I, inciso a); 14 fracción I; 15 fracción II; 29 párrafo segundo y fracción II; 42 fracción V; 43 fracción IX y recorrido subsecuente de las demás fracciones y adición de una fracción XV; 55; 88 segundo párrafo; 115 párrafo segundo; 119 y; 162 fracción II de la Ley de Educación para el Estado de Guanajuato, presentada por la diputada y los diputados integrantes del Grupo Parlamentario del Partido Revolucionario Institucional</w:t>
      </w:r>
      <w:r w:rsidR="003E0039" w:rsidRPr="0090001B">
        <w:rPr>
          <w:rFonts w:ascii="Arial" w:hAnsi="Arial" w:cs="Arial"/>
        </w:rPr>
        <w:t>.</w:t>
      </w:r>
    </w:p>
    <w:p w14:paraId="4BBEAD91" w14:textId="77777777" w:rsidR="004F64E7" w:rsidRDefault="004F64E7" w:rsidP="0090001B">
      <w:pPr>
        <w:spacing w:line="276" w:lineRule="auto"/>
        <w:jc w:val="both"/>
        <w:rPr>
          <w:rFonts w:ascii="Arial" w:hAnsi="Arial" w:cs="Arial"/>
        </w:rPr>
      </w:pPr>
    </w:p>
    <w:p w14:paraId="00A03D6A" w14:textId="77777777" w:rsidR="00F42A37" w:rsidRDefault="00F42A37" w:rsidP="0090001B">
      <w:pPr>
        <w:spacing w:line="276" w:lineRule="auto"/>
        <w:jc w:val="both"/>
        <w:rPr>
          <w:rFonts w:ascii="Arial" w:hAnsi="Arial" w:cs="Arial"/>
        </w:rPr>
      </w:pPr>
    </w:p>
    <w:p w14:paraId="54294A42" w14:textId="77777777" w:rsidR="00233F96" w:rsidRPr="0090001B" w:rsidRDefault="00233F96" w:rsidP="0090001B">
      <w:pPr>
        <w:spacing w:line="276" w:lineRule="auto"/>
        <w:jc w:val="both"/>
        <w:rPr>
          <w:rFonts w:ascii="Arial" w:hAnsi="Arial" w:cs="Arial"/>
        </w:rPr>
      </w:pPr>
    </w:p>
    <w:p w14:paraId="28C3D5BA" w14:textId="00BB6A48" w:rsidR="00471CE3" w:rsidRPr="00581795" w:rsidRDefault="00471CE3" w:rsidP="00471CE3">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Guanajuato, Gto., </w:t>
      </w:r>
      <w:r w:rsidR="00F745F6">
        <w:rPr>
          <w:rFonts w:ascii="Arial" w:eastAsia="Arial Unicode MS" w:hAnsi="Arial" w:cs="Arial"/>
          <w:b/>
          <w:sz w:val="24"/>
          <w:szCs w:val="24"/>
        </w:rPr>
        <w:t xml:space="preserve">05 de agosto </w:t>
      </w:r>
      <w:r w:rsidR="00BF5BAE">
        <w:rPr>
          <w:rFonts w:ascii="Arial" w:eastAsia="Arial Unicode MS" w:hAnsi="Arial" w:cs="Arial"/>
          <w:b/>
          <w:sz w:val="24"/>
          <w:szCs w:val="24"/>
        </w:rPr>
        <w:t>del 2024</w:t>
      </w:r>
    </w:p>
    <w:p w14:paraId="7BEB0640" w14:textId="77777777" w:rsidR="00471CE3" w:rsidRPr="00581795" w:rsidRDefault="00471CE3" w:rsidP="00471CE3">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La Comisión de </w:t>
      </w:r>
      <w:r w:rsidRPr="00A278DF">
        <w:rPr>
          <w:rFonts w:ascii="Arial" w:eastAsia="Arial Unicode MS" w:hAnsi="Arial" w:cs="Arial"/>
          <w:b/>
          <w:sz w:val="24"/>
          <w:szCs w:val="24"/>
        </w:rPr>
        <w:t>Educación, Ciencia y Tecnología y Cultura</w:t>
      </w:r>
    </w:p>
    <w:p w14:paraId="025BC29C" w14:textId="77777777" w:rsidR="00471CE3" w:rsidRPr="00581795" w:rsidRDefault="00471CE3" w:rsidP="00471CE3">
      <w:pPr>
        <w:pStyle w:val="Sinespaciado"/>
        <w:spacing w:line="276" w:lineRule="auto"/>
        <w:ind w:firstLine="708"/>
        <w:jc w:val="both"/>
        <w:rPr>
          <w:rFonts w:ascii="Arial" w:eastAsia="Arial Unicode MS" w:hAnsi="Arial" w:cs="Arial"/>
          <w:sz w:val="24"/>
          <w:szCs w:val="24"/>
        </w:rPr>
      </w:pPr>
    </w:p>
    <w:p w14:paraId="154589CE" w14:textId="77777777" w:rsidR="00471CE3" w:rsidRDefault="00471CE3" w:rsidP="00471CE3">
      <w:pPr>
        <w:pStyle w:val="Sinespaciado"/>
        <w:spacing w:line="276" w:lineRule="auto"/>
        <w:ind w:firstLine="708"/>
        <w:jc w:val="both"/>
        <w:rPr>
          <w:rFonts w:ascii="Arial" w:eastAsia="Arial Unicode MS" w:hAnsi="Arial" w:cs="Arial"/>
          <w:sz w:val="24"/>
          <w:szCs w:val="24"/>
        </w:rPr>
      </w:pPr>
    </w:p>
    <w:p w14:paraId="27C460FB" w14:textId="7C23F093" w:rsidR="00471CE3" w:rsidRPr="00290015" w:rsidRDefault="00471CE3" w:rsidP="00290015">
      <w:pPr>
        <w:pStyle w:val="Sinespaciado"/>
        <w:spacing w:line="276" w:lineRule="auto"/>
        <w:jc w:val="center"/>
        <w:rPr>
          <w:rFonts w:ascii="Arial" w:eastAsia="Arial Unicode MS" w:hAnsi="Arial" w:cs="Arial"/>
          <w:bCs/>
          <w:i/>
          <w:iCs/>
          <w:sz w:val="20"/>
          <w:szCs w:val="20"/>
        </w:rPr>
      </w:pPr>
    </w:p>
    <w:tbl>
      <w:tblPr>
        <w:tblW w:w="0" w:type="auto"/>
        <w:tblLook w:val="04A0" w:firstRow="1" w:lastRow="0" w:firstColumn="1" w:lastColumn="0" w:noHBand="0" w:noVBand="1"/>
      </w:tblPr>
      <w:tblGrid>
        <w:gridCol w:w="4411"/>
        <w:gridCol w:w="4427"/>
      </w:tblGrid>
      <w:tr w:rsidR="00471CE3" w:rsidRPr="00581795" w14:paraId="200ED6C1" w14:textId="77777777" w:rsidTr="007235BA">
        <w:tc>
          <w:tcPr>
            <w:tcW w:w="8838" w:type="dxa"/>
            <w:gridSpan w:val="2"/>
          </w:tcPr>
          <w:p w14:paraId="33C9500E"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María de la Luz Hernández Martínez</w:t>
            </w:r>
          </w:p>
          <w:p w14:paraId="4D10FEE1"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President</w:t>
            </w:r>
            <w:r>
              <w:rPr>
                <w:rFonts w:ascii="Arial" w:eastAsia="Arial Unicode MS" w:hAnsi="Arial" w:cs="Arial"/>
                <w:b/>
                <w:sz w:val="24"/>
                <w:szCs w:val="24"/>
              </w:rPr>
              <w:t>a</w:t>
            </w:r>
          </w:p>
        </w:tc>
      </w:tr>
      <w:tr w:rsidR="00471CE3" w:rsidRPr="00581795" w14:paraId="451A58E1" w14:textId="77777777" w:rsidTr="007235BA">
        <w:tc>
          <w:tcPr>
            <w:tcW w:w="4411" w:type="dxa"/>
          </w:tcPr>
          <w:p w14:paraId="74517BDB" w14:textId="77777777" w:rsidR="00471CE3" w:rsidRDefault="00471CE3" w:rsidP="007235BA">
            <w:pPr>
              <w:pStyle w:val="Sinespaciado"/>
              <w:spacing w:line="276" w:lineRule="auto"/>
              <w:jc w:val="center"/>
              <w:rPr>
                <w:rFonts w:ascii="Arial" w:eastAsia="Arial Unicode MS" w:hAnsi="Arial" w:cs="Arial"/>
                <w:b/>
                <w:sz w:val="24"/>
                <w:szCs w:val="24"/>
              </w:rPr>
            </w:pPr>
          </w:p>
          <w:p w14:paraId="75098747" w14:textId="4CE88BD8" w:rsidR="00471CE3" w:rsidRDefault="00471CE3" w:rsidP="007235BA">
            <w:pPr>
              <w:pStyle w:val="Sinespaciado"/>
              <w:spacing w:line="276" w:lineRule="auto"/>
              <w:jc w:val="center"/>
              <w:rPr>
                <w:rFonts w:ascii="Arial" w:eastAsia="Arial Unicode MS" w:hAnsi="Arial" w:cs="Arial"/>
                <w:b/>
                <w:sz w:val="24"/>
                <w:szCs w:val="24"/>
              </w:rPr>
            </w:pPr>
          </w:p>
          <w:p w14:paraId="3A0A0A29" w14:textId="77777777" w:rsidR="00BF5BAE" w:rsidRDefault="00BF5BAE" w:rsidP="007235BA">
            <w:pPr>
              <w:pStyle w:val="Sinespaciado"/>
              <w:spacing w:line="276" w:lineRule="auto"/>
              <w:jc w:val="center"/>
              <w:rPr>
                <w:rFonts w:ascii="Arial" w:eastAsia="Arial Unicode MS" w:hAnsi="Arial" w:cs="Arial"/>
                <w:b/>
                <w:sz w:val="24"/>
                <w:szCs w:val="24"/>
              </w:rPr>
            </w:pPr>
          </w:p>
          <w:p w14:paraId="09979F6A" w14:textId="77777777" w:rsidR="00471CE3" w:rsidRPr="00581795" w:rsidRDefault="00471CE3" w:rsidP="007235BA">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Armando Rangel Hernández</w:t>
            </w:r>
            <w:r w:rsidRPr="00581795">
              <w:rPr>
                <w:rFonts w:ascii="Arial" w:eastAsia="Arial Unicode MS" w:hAnsi="Arial" w:cs="Arial"/>
                <w:b/>
                <w:sz w:val="24"/>
                <w:szCs w:val="24"/>
              </w:rPr>
              <w:t xml:space="preserve"> </w:t>
            </w:r>
          </w:p>
          <w:p w14:paraId="18CB5949" w14:textId="77777777" w:rsidR="00471CE3" w:rsidRPr="00581795" w:rsidRDefault="00471CE3" w:rsidP="007235BA">
            <w:pPr>
              <w:pStyle w:val="Sinespaciado"/>
              <w:spacing w:line="276" w:lineRule="auto"/>
              <w:jc w:val="center"/>
              <w:rPr>
                <w:rFonts w:ascii="Arial" w:eastAsia="Arial Unicode MS" w:hAnsi="Arial" w:cs="Arial"/>
                <w:b/>
                <w:sz w:val="24"/>
                <w:szCs w:val="24"/>
              </w:rPr>
            </w:pPr>
            <w:r w:rsidRPr="00581795">
              <w:rPr>
                <w:rFonts w:ascii="Arial" w:eastAsia="Arial Unicode MS" w:hAnsi="Arial" w:cs="Arial"/>
                <w:b/>
                <w:sz w:val="24"/>
                <w:szCs w:val="24"/>
              </w:rPr>
              <w:t xml:space="preserve">Secretario </w:t>
            </w:r>
          </w:p>
          <w:p w14:paraId="4C2D0CB3" w14:textId="7DEB96AE" w:rsidR="00471CE3" w:rsidRDefault="00471CE3" w:rsidP="007235BA">
            <w:pPr>
              <w:pStyle w:val="Sinespaciado"/>
              <w:spacing w:line="276" w:lineRule="auto"/>
              <w:jc w:val="center"/>
              <w:rPr>
                <w:rFonts w:ascii="Arial" w:eastAsia="Arial Unicode MS" w:hAnsi="Arial" w:cs="Arial"/>
                <w:b/>
                <w:sz w:val="24"/>
                <w:szCs w:val="24"/>
              </w:rPr>
            </w:pPr>
          </w:p>
          <w:p w14:paraId="520083A0" w14:textId="77777777" w:rsidR="008479F4" w:rsidRDefault="008479F4" w:rsidP="007235BA">
            <w:pPr>
              <w:pStyle w:val="Sinespaciado"/>
              <w:spacing w:line="276" w:lineRule="auto"/>
              <w:jc w:val="center"/>
              <w:rPr>
                <w:rFonts w:ascii="Arial" w:eastAsia="Arial Unicode MS" w:hAnsi="Arial" w:cs="Arial"/>
                <w:b/>
                <w:sz w:val="24"/>
                <w:szCs w:val="24"/>
              </w:rPr>
            </w:pPr>
          </w:p>
          <w:p w14:paraId="17D411D6" w14:textId="77777777" w:rsidR="00F42A37" w:rsidRDefault="00F42A37" w:rsidP="007235BA">
            <w:pPr>
              <w:pStyle w:val="Sinespaciado"/>
              <w:spacing w:line="276" w:lineRule="auto"/>
              <w:jc w:val="center"/>
              <w:rPr>
                <w:rFonts w:ascii="Arial" w:eastAsia="Arial Unicode MS" w:hAnsi="Arial" w:cs="Arial"/>
                <w:b/>
                <w:sz w:val="24"/>
                <w:szCs w:val="24"/>
              </w:rPr>
            </w:pPr>
          </w:p>
          <w:p w14:paraId="10F88A83" w14:textId="77777777" w:rsidR="000A66AE" w:rsidRDefault="000A66AE" w:rsidP="007235BA">
            <w:pPr>
              <w:pStyle w:val="Sinespaciado"/>
              <w:spacing w:line="276" w:lineRule="auto"/>
              <w:jc w:val="center"/>
              <w:rPr>
                <w:rFonts w:ascii="Arial" w:eastAsia="Arial Unicode MS" w:hAnsi="Arial" w:cs="Arial"/>
                <w:b/>
                <w:sz w:val="24"/>
                <w:szCs w:val="24"/>
              </w:rPr>
            </w:pPr>
          </w:p>
          <w:p w14:paraId="64901955" w14:textId="77777777" w:rsidR="00471CE3" w:rsidRDefault="00471CE3" w:rsidP="007235BA">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Dip. Yulma Rocha Aguilar</w:t>
            </w:r>
          </w:p>
          <w:p w14:paraId="0728B5E9" w14:textId="77777777" w:rsidR="00471CE3" w:rsidRPr="00581795" w:rsidRDefault="00471CE3" w:rsidP="007235BA">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Vocal</w:t>
            </w:r>
          </w:p>
        </w:tc>
        <w:tc>
          <w:tcPr>
            <w:tcW w:w="4427" w:type="dxa"/>
          </w:tcPr>
          <w:p w14:paraId="3FD771ED"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p>
          <w:p w14:paraId="473A7979" w14:textId="7885924C" w:rsidR="00471CE3" w:rsidRDefault="00471CE3" w:rsidP="007235BA">
            <w:pPr>
              <w:pStyle w:val="Sinespaciado"/>
              <w:spacing w:line="276" w:lineRule="auto"/>
              <w:ind w:firstLine="708"/>
              <w:jc w:val="center"/>
              <w:rPr>
                <w:rFonts w:ascii="Arial" w:eastAsia="Arial Unicode MS" w:hAnsi="Arial" w:cs="Arial"/>
                <w:b/>
                <w:sz w:val="24"/>
                <w:szCs w:val="24"/>
              </w:rPr>
            </w:pPr>
          </w:p>
          <w:p w14:paraId="32944EA7" w14:textId="77777777" w:rsidR="00BF5BAE" w:rsidRDefault="00BF5BAE" w:rsidP="007235BA">
            <w:pPr>
              <w:pStyle w:val="Sinespaciado"/>
              <w:spacing w:line="276" w:lineRule="auto"/>
              <w:ind w:firstLine="708"/>
              <w:jc w:val="center"/>
              <w:rPr>
                <w:rFonts w:ascii="Arial" w:eastAsia="Arial Unicode MS" w:hAnsi="Arial" w:cs="Arial"/>
                <w:b/>
                <w:sz w:val="24"/>
                <w:szCs w:val="24"/>
              </w:rPr>
            </w:pPr>
          </w:p>
          <w:p w14:paraId="2952F1C6" w14:textId="77777777" w:rsidR="00471CE3" w:rsidRDefault="00471CE3" w:rsidP="007235BA">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Lilia Margarita Rionda Salas</w:t>
            </w:r>
          </w:p>
          <w:p w14:paraId="6E11F219" w14:textId="77777777" w:rsidR="00471CE3" w:rsidRDefault="00471CE3" w:rsidP="007235BA">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Vocal</w:t>
            </w:r>
          </w:p>
          <w:p w14:paraId="418199A0" w14:textId="3C49E2FC" w:rsidR="00471CE3" w:rsidRDefault="00471CE3" w:rsidP="007235BA">
            <w:pPr>
              <w:pStyle w:val="Sinespaciado"/>
              <w:spacing w:line="276" w:lineRule="auto"/>
              <w:ind w:hanging="9"/>
              <w:jc w:val="center"/>
              <w:rPr>
                <w:rFonts w:ascii="Arial" w:eastAsia="Arial Unicode MS" w:hAnsi="Arial" w:cs="Arial"/>
                <w:b/>
                <w:sz w:val="24"/>
                <w:szCs w:val="24"/>
              </w:rPr>
            </w:pPr>
          </w:p>
          <w:p w14:paraId="3985DDD1" w14:textId="77777777" w:rsidR="003F6BCB" w:rsidRDefault="003F6BCB" w:rsidP="007235BA">
            <w:pPr>
              <w:pStyle w:val="Sinespaciado"/>
              <w:spacing w:line="276" w:lineRule="auto"/>
              <w:ind w:hanging="9"/>
              <w:jc w:val="center"/>
              <w:rPr>
                <w:rFonts w:ascii="Arial" w:eastAsia="Arial Unicode MS" w:hAnsi="Arial" w:cs="Arial"/>
                <w:b/>
                <w:sz w:val="24"/>
                <w:szCs w:val="24"/>
              </w:rPr>
            </w:pPr>
          </w:p>
          <w:p w14:paraId="7C46D51D" w14:textId="77777777" w:rsidR="00BF5BAE" w:rsidRDefault="00BF5BAE" w:rsidP="007235BA">
            <w:pPr>
              <w:pStyle w:val="Sinespaciado"/>
              <w:spacing w:line="276" w:lineRule="auto"/>
              <w:ind w:hanging="9"/>
              <w:jc w:val="center"/>
              <w:rPr>
                <w:rFonts w:ascii="Arial" w:eastAsia="Arial Unicode MS" w:hAnsi="Arial" w:cs="Arial"/>
                <w:bCs/>
                <w:i/>
                <w:iCs/>
                <w:sz w:val="20"/>
                <w:szCs w:val="20"/>
              </w:rPr>
            </w:pPr>
          </w:p>
          <w:p w14:paraId="4A61FC11" w14:textId="77777777" w:rsidR="00BF5BAE" w:rsidRDefault="00BF5BAE" w:rsidP="007235BA">
            <w:pPr>
              <w:pStyle w:val="Sinespaciado"/>
              <w:spacing w:line="276" w:lineRule="auto"/>
              <w:ind w:hanging="9"/>
              <w:jc w:val="center"/>
              <w:rPr>
                <w:rFonts w:ascii="Arial" w:eastAsia="Arial Unicode MS" w:hAnsi="Arial" w:cs="Arial"/>
                <w:b/>
                <w:bCs/>
                <w:i/>
                <w:iCs/>
                <w:sz w:val="20"/>
                <w:szCs w:val="20"/>
              </w:rPr>
            </w:pPr>
          </w:p>
          <w:p w14:paraId="319DA8C9" w14:textId="446AA5A8" w:rsidR="00471CE3" w:rsidRDefault="005936BC" w:rsidP="007235BA">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 xml:space="preserve">Dip. </w:t>
            </w:r>
            <w:r w:rsidR="00471CE3">
              <w:rPr>
                <w:rFonts w:ascii="Arial" w:eastAsia="Arial Unicode MS" w:hAnsi="Arial" w:cs="Arial"/>
                <w:b/>
                <w:sz w:val="24"/>
                <w:szCs w:val="24"/>
              </w:rPr>
              <w:t>Irma Leticia González Sánchez</w:t>
            </w:r>
          </w:p>
          <w:p w14:paraId="0860EB6F" w14:textId="77777777" w:rsidR="00471CE3" w:rsidRDefault="00471CE3" w:rsidP="007235BA">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Vocal</w:t>
            </w:r>
          </w:p>
          <w:p w14:paraId="0934AE96" w14:textId="77777777" w:rsidR="00471CE3" w:rsidRPr="00581795" w:rsidRDefault="00471CE3" w:rsidP="007235BA">
            <w:pPr>
              <w:pStyle w:val="Sinespaciado"/>
              <w:spacing w:line="276" w:lineRule="auto"/>
              <w:ind w:hanging="9"/>
              <w:jc w:val="center"/>
              <w:rPr>
                <w:rFonts w:ascii="Arial" w:eastAsia="Arial Unicode MS" w:hAnsi="Arial" w:cs="Arial"/>
                <w:b/>
                <w:sz w:val="24"/>
                <w:szCs w:val="24"/>
              </w:rPr>
            </w:pPr>
          </w:p>
        </w:tc>
      </w:tr>
    </w:tbl>
    <w:p w14:paraId="28B79632" w14:textId="77777777" w:rsidR="000A66AE" w:rsidRDefault="000A66AE" w:rsidP="00471CE3">
      <w:pPr>
        <w:pStyle w:val="Sinespaciado"/>
        <w:spacing w:line="276" w:lineRule="auto"/>
        <w:jc w:val="center"/>
        <w:rPr>
          <w:rFonts w:ascii="Arial" w:hAnsi="Arial" w:cs="Arial"/>
          <w:b/>
          <w:bCs/>
          <w:sz w:val="24"/>
          <w:szCs w:val="24"/>
        </w:rPr>
      </w:pPr>
    </w:p>
    <w:p w14:paraId="38723625" w14:textId="77777777" w:rsidR="00F42A37" w:rsidRDefault="00F42A37" w:rsidP="00AA5F39">
      <w:pPr>
        <w:pStyle w:val="Sinespaciado"/>
        <w:spacing w:line="276" w:lineRule="auto"/>
        <w:rPr>
          <w:rFonts w:ascii="Arial" w:hAnsi="Arial" w:cs="Arial"/>
          <w:b/>
          <w:bCs/>
          <w:sz w:val="24"/>
          <w:szCs w:val="24"/>
        </w:rPr>
      </w:pPr>
    </w:p>
    <w:p w14:paraId="6D79E6A5" w14:textId="77777777" w:rsidR="00233F96" w:rsidRDefault="00233F96" w:rsidP="00AA5F39">
      <w:pPr>
        <w:pStyle w:val="Sinespaciado"/>
        <w:spacing w:line="276" w:lineRule="auto"/>
        <w:rPr>
          <w:rFonts w:ascii="Arial" w:hAnsi="Arial" w:cs="Arial"/>
          <w:b/>
          <w:bCs/>
          <w:sz w:val="24"/>
          <w:szCs w:val="24"/>
        </w:rPr>
      </w:pPr>
    </w:p>
    <w:p w14:paraId="015FD278" w14:textId="77777777" w:rsidR="00E17C01" w:rsidRDefault="00E17C01" w:rsidP="00AA5F39">
      <w:pPr>
        <w:pStyle w:val="Sinespaciado"/>
        <w:spacing w:line="276" w:lineRule="auto"/>
        <w:rPr>
          <w:rFonts w:ascii="Arial" w:hAnsi="Arial" w:cs="Arial"/>
          <w:b/>
          <w:bCs/>
          <w:sz w:val="24"/>
          <w:szCs w:val="24"/>
        </w:rPr>
      </w:pPr>
    </w:p>
    <w:p w14:paraId="4E9A1EAB" w14:textId="77777777" w:rsidR="00E17C01" w:rsidRDefault="00E17C01" w:rsidP="00AA5F39">
      <w:pPr>
        <w:pStyle w:val="Sinespaciado"/>
        <w:spacing w:line="276" w:lineRule="auto"/>
        <w:rPr>
          <w:rFonts w:ascii="Arial" w:hAnsi="Arial" w:cs="Arial"/>
          <w:b/>
          <w:bCs/>
          <w:sz w:val="24"/>
          <w:szCs w:val="24"/>
        </w:rPr>
      </w:pPr>
    </w:p>
    <w:p w14:paraId="61743EF4" w14:textId="77777777" w:rsidR="00233F96" w:rsidRDefault="00233F96" w:rsidP="00AA5F39">
      <w:pPr>
        <w:pStyle w:val="Sinespaciado"/>
        <w:spacing w:line="276" w:lineRule="auto"/>
        <w:rPr>
          <w:rFonts w:ascii="Arial" w:hAnsi="Arial" w:cs="Arial"/>
          <w:b/>
          <w:bCs/>
          <w:sz w:val="24"/>
          <w:szCs w:val="24"/>
        </w:rPr>
      </w:pPr>
    </w:p>
    <w:p w14:paraId="1862FD70" w14:textId="77777777" w:rsidR="00F42A37" w:rsidRDefault="00F42A37" w:rsidP="00471CE3">
      <w:pPr>
        <w:pStyle w:val="Sinespaciado"/>
        <w:spacing w:line="276" w:lineRule="auto"/>
        <w:jc w:val="center"/>
        <w:rPr>
          <w:rFonts w:ascii="Arial" w:hAnsi="Arial" w:cs="Arial"/>
          <w:b/>
          <w:bCs/>
          <w:sz w:val="24"/>
          <w:szCs w:val="24"/>
        </w:rPr>
      </w:pPr>
    </w:p>
    <w:p w14:paraId="5187DB61" w14:textId="307164C0" w:rsidR="00F42A37" w:rsidRPr="00F42A37" w:rsidRDefault="00F42A37" w:rsidP="00AA5F39">
      <w:pPr>
        <w:pStyle w:val="Sinespaciado"/>
        <w:jc w:val="both"/>
        <w:rPr>
          <w:rFonts w:ascii="Arial" w:hAnsi="Arial" w:cs="Arial"/>
          <w:sz w:val="16"/>
          <w:szCs w:val="16"/>
        </w:rPr>
      </w:pPr>
      <w:r w:rsidRPr="00F42A37">
        <w:rPr>
          <w:rFonts w:ascii="Arial" w:hAnsi="Arial" w:cs="Arial"/>
          <w:sz w:val="16"/>
          <w:szCs w:val="16"/>
        </w:rPr>
        <w:t>Esta hoja forma parte del dictamen emitido por la Comisión de Educación, Ciencia y Tecnología y Cultura, mediante el cual ordena el archivo definitivo de la iniciativa</w:t>
      </w:r>
      <w:r w:rsidR="00A4380A">
        <w:rPr>
          <w:rFonts w:ascii="Arial" w:hAnsi="Arial" w:cs="Arial"/>
          <w:sz w:val="16"/>
          <w:szCs w:val="16"/>
        </w:rPr>
        <w:t xml:space="preserve"> </w:t>
      </w:r>
      <w:r w:rsidR="00AA5F39" w:rsidRPr="00AA5F39">
        <w:rPr>
          <w:rFonts w:ascii="Arial" w:hAnsi="Arial" w:cs="Arial"/>
          <w:sz w:val="16"/>
          <w:szCs w:val="16"/>
        </w:rPr>
        <w:t>por la que se</w:t>
      </w:r>
      <w:r w:rsidR="00A76240">
        <w:rPr>
          <w:rFonts w:ascii="Arial" w:hAnsi="Arial" w:cs="Arial"/>
          <w:sz w:val="16"/>
          <w:szCs w:val="16"/>
        </w:rPr>
        <w:t xml:space="preserve"> </w:t>
      </w:r>
      <w:r w:rsidR="00A76240" w:rsidRPr="00A76240">
        <w:rPr>
          <w:rFonts w:ascii="Arial" w:hAnsi="Arial" w:cs="Arial"/>
          <w:sz w:val="16"/>
          <w:szCs w:val="16"/>
        </w:rPr>
        <w:t>reforma los artículos 5, fracción IX; 7, segundo párrafo; 13, fracción I, inciso a); 14, fracción I; 15, fracción II; 29 primer párrafo y fracción II; 42, fracción V; 43; 55; 88, segundo párrafo; 115, segundo párrafo; 119 y adiciona en el artículo 43 una fracción IX y recorre las subsecuentes y en el artículo 162 una fracción II, recorriendo las subsecuentes de la Ley de Educación para el Estado de Guanajuato</w:t>
      </w:r>
      <w:r w:rsidR="00A76240">
        <w:rPr>
          <w:rFonts w:ascii="Arial" w:hAnsi="Arial" w:cs="Arial"/>
          <w:sz w:val="16"/>
          <w:szCs w:val="16"/>
        </w:rPr>
        <w:t xml:space="preserve"> </w:t>
      </w:r>
      <w:r w:rsidR="00AA5F39" w:rsidRPr="00AA5F39">
        <w:rPr>
          <w:rFonts w:ascii="Arial" w:hAnsi="Arial" w:cs="Arial"/>
          <w:sz w:val="16"/>
          <w:szCs w:val="16"/>
        </w:rPr>
        <w:t>, presentada por la diputada y los diputados integrantes del Grupo Parlamentario del Partido Revolucionario Institucional</w:t>
      </w:r>
      <w:r>
        <w:rPr>
          <w:rFonts w:ascii="Arial" w:hAnsi="Arial" w:cs="Arial"/>
          <w:sz w:val="16"/>
          <w:szCs w:val="16"/>
        </w:rPr>
        <w:t xml:space="preserve">. - - - - - - - - - - - - - - - - - - - - - - - - - - - </w:t>
      </w:r>
    </w:p>
    <w:sectPr w:rsidR="00F42A37" w:rsidRPr="00F42A37" w:rsidSect="00F42A37">
      <w:headerReference w:type="default" r:id="rId8"/>
      <w:footerReference w:type="default" r:id="rId9"/>
      <w:pgSz w:w="12240" w:h="15840"/>
      <w:pgMar w:top="3261" w:right="1701" w:bottom="2410"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15806" w14:textId="77777777" w:rsidR="001D66E5" w:rsidRDefault="001D66E5" w:rsidP="008157F5">
      <w:r>
        <w:separator/>
      </w:r>
    </w:p>
  </w:endnote>
  <w:endnote w:type="continuationSeparator" w:id="0">
    <w:p w14:paraId="042A040B" w14:textId="77777777" w:rsidR="001D66E5" w:rsidRDefault="001D66E5"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749E0" w14:textId="77777777" w:rsidR="001D66E5" w:rsidRDefault="001D66E5" w:rsidP="008157F5">
      <w:r>
        <w:separator/>
      </w:r>
    </w:p>
  </w:footnote>
  <w:footnote w:type="continuationSeparator" w:id="0">
    <w:p w14:paraId="20AD81FB" w14:textId="77777777" w:rsidR="001D66E5" w:rsidRDefault="001D66E5" w:rsidP="008157F5">
      <w:r>
        <w:continuationSeparator/>
      </w:r>
    </w:p>
  </w:footnote>
  <w:footnote w:id="1">
    <w:p w14:paraId="71B23918" w14:textId="77BD45C5" w:rsidR="00A22704" w:rsidRDefault="00A22704">
      <w:pPr>
        <w:pStyle w:val="Textonotapie"/>
      </w:pPr>
      <w:r>
        <w:rPr>
          <w:rStyle w:val="Refdenotaalpie"/>
        </w:rPr>
        <w:footnoteRef/>
      </w:r>
      <w:r>
        <w:t xml:space="preserve"> </w:t>
      </w:r>
      <w:r w:rsidRPr="00A22704">
        <w:rPr>
          <w:rFonts w:ascii="Arial" w:hAnsi="Arial" w:cs="Arial"/>
          <w:sz w:val="16"/>
          <w:szCs w:val="16"/>
        </w:rPr>
        <w:t>Artículo 1º de la Ley General de Salud.</w:t>
      </w:r>
    </w:p>
  </w:footnote>
  <w:footnote w:id="2">
    <w:p w14:paraId="68C8B222" w14:textId="20E6696D" w:rsidR="00A22704" w:rsidRDefault="00A22704">
      <w:pPr>
        <w:pStyle w:val="Textonotapie"/>
      </w:pPr>
      <w:r>
        <w:rPr>
          <w:rStyle w:val="Refdenotaalpie"/>
        </w:rPr>
        <w:footnoteRef/>
      </w:r>
      <w:r>
        <w:t xml:space="preserve"> </w:t>
      </w:r>
      <w:r w:rsidRPr="00A22704">
        <w:rPr>
          <w:rFonts w:ascii="Arial" w:hAnsi="Arial" w:cs="Arial"/>
          <w:sz w:val="16"/>
          <w:szCs w:val="16"/>
        </w:rPr>
        <w:t>Arículo 3º, fracción VI de la Ley General de Salud.</w:t>
      </w:r>
    </w:p>
  </w:footnote>
  <w:footnote w:id="3">
    <w:p w14:paraId="4BEC8842" w14:textId="6CD1761D" w:rsidR="00B87DF5" w:rsidRDefault="00B87DF5">
      <w:pPr>
        <w:pStyle w:val="Textonotapie"/>
      </w:pPr>
      <w:r>
        <w:rPr>
          <w:rStyle w:val="Refdenotaalpie"/>
        </w:rPr>
        <w:footnoteRef/>
      </w:r>
      <w:r w:rsidRPr="00B87DF5">
        <w:rPr>
          <w:sz w:val="16"/>
          <w:szCs w:val="16"/>
        </w:rPr>
        <w:t xml:space="preserve"> Artículo 13, Apartado B, fracción I de la Ley General de Salud.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26D0F" w14:textId="74E14F8C" w:rsidR="008157F5" w:rsidRDefault="00AC2EE3" w:rsidP="00AC2EE3">
    <w:pPr>
      <w:pStyle w:val="Encabezado"/>
    </w:pPr>
    <w:r>
      <w:rPr>
        <w:rFonts w:ascii="Times New Roman" w:eastAsiaTheme="minorEastAsia" w:hAnsi="Times New Roman" w:cs="Times New Roman"/>
        <w:noProof/>
      </w:rPr>
      <mc:AlternateContent>
        <mc:Choice Requires="wps">
          <w:drawing>
            <wp:anchor distT="45720" distB="45720" distL="114300" distR="114300" simplePos="0" relativeHeight="251659264" behindDoc="0" locked="0" layoutInCell="1" allowOverlap="1" wp14:anchorId="02B5B363" wp14:editId="751A08AC">
              <wp:simplePos x="0" y="0"/>
              <wp:positionH relativeFrom="margin">
                <wp:posOffset>2350135</wp:posOffset>
              </wp:positionH>
              <wp:positionV relativeFrom="paragraph">
                <wp:posOffset>521970</wp:posOffset>
              </wp:positionV>
              <wp:extent cx="3223895" cy="643255"/>
              <wp:effectExtent l="0" t="0" r="0" b="444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895" cy="643255"/>
                      </a:xfrm>
                      <a:prstGeom prst="rect">
                        <a:avLst/>
                      </a:prstGeom>
                      <a:solidFill>
                        <a:srgbClr val="FFFFFF"/>
                      </a:solidFill>
                      <a:ln w="9525">
                        <a:noFill/>
                        <a:miter lim="800000"/>
                        <a:headEnd/>
                        <a:tailEnd/>
                      </a:ln>
                    </wps:spPr>
                    <wps:txbx>
                      <w:txbxContent>
                        <w:p w14:paraId="01D5FBAE" w14:textId="77777777" w:rsidR="007664F1" w:rsidRDefault="007664F1" w:rsidP="007664F1">
                          <w:pPr>
                            <w:rPr>
                              <w:sz w:val="20"/>
                              <w:szCs w:val="22"/>
                            </w:rPr>
                          </w:pPr>
                        </w:p>
                        <w:p w14:paraId="12662D37" w14:textId="77777777" w:rsidR="00AC2EE3" w:rsidRDefault="00AC2EE3" w:rsidP="00AC2EE3">
                          <w:pPr>
                            <w:rPr>
                              <w:sz w:val="20"/>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5B363" id="_x0000_t202" coordsize="21600,21600" o:spt="202" path="m,l,21600r21600,l21600,xe">
              <v:stroke joinstyle="miter"/>
              <v:path gradientshapeok="t" o:connecttype="rect"/>
            </v:shapetype>
            <v:shape id="Cuadro de texto 1" o:spid="_x0000_s1026" type="#_x0000_t202" style="position:absolute;margin-left:185.05pt;margin-top:41.1pt;width:253.85pt;height:5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" stroked="f">
              <v:textbox>
                <w:txbxContent>
                  <w:p w14:paraId="01D5FBAE" w14:textId="77777777" w:rsidR="007664F1" w:rsidRDefault="007664F1" w:rsidP="007664F1">
                    <w:pPr>
                      <w:rPr>
                        <w:sz w:val="20"/>
                        <w:szCs w:val="22"/>
                      </w:rPr>
                    </w:pPr>
                  </w:p>
                  <w:p w14:paraId="12662D37" w14:textId="77777777" w:rsidR="00AC2EE3" w:rsidRDefault="00AC2EE3" w:rsidP="00AC2EE3">
                    <w:pPr>
                      <w:rPr>
                        <w:sz w:val="20"/>
                        <w:szCs w:val="22"/>
                      </w:rPr>
                    </w:pPr>
                  </w:p>
                </w:txbxContent>
              </v:textbox>
              <w10:wrap type="square" anchorx="margin"/>
            </v:shape>
          </w:pict>
        </mc:Fallback>
      </mc:AlternateContent>
    </w:r>
    <w:r w:rsidR="008157F5">
      <w:rPr>
        <w:noProof/>
      </w:rPr>
      <w:drawing>
        <wp:inline distT="0" distB="0" distL="0" distR="0" wp14:anchorId="0CC2D033" wp14:editId="28B9F39E">
          <wp:extent cx="1307432" cy="1265705"/>
          <wp:effectExtent l="0" t="0" r="1270" b="4445"/>
          <wp:docPr id="468002884" name="Imagen 46800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5pt;height:1.5pt;visibility:visible;mso-wrap-style:square" o:bullet="t">
        <v:imagedata r:id="rId1" o:title=""/>
      </v:shape>
    </w:pict>
  </w:numPicBullet>
  <w:abstractNum w:abstractNumId="0" w15:restartNumberingAfterBreak="0">
    <w:nsid w:val="01303AD4"/>
    <w:multiLevelType w:val="hybridMultilevel"/>
    <w:tmpl w:val="9C00591C"/>
    <w:lvl w:ilvl="0" w:tplc="C4EC188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3A0779"/>
    <w:multiLevelType w:val="multilevel"/>
    <w:tmpl w:val="D512AA5C"/>
    <w:styleLink w:val="Estilo1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7F2EA2"/>
    <w:multiLevelType w:val="hybridMultilevel"/>
    <w:tmpl w:val="2E164A92"/>
    <w:lvl w:ilvl="0" w:tplc="43E4EDCE">
      <w:start w:val="3"/>
      <w:numFmt w:val="decimal"/>
      <w:lvlText w:val="%1."/>
      <w:lvlJc w:val="left"/>
      <w:pPr>
        <w:ind w:left="1732" w:firstLine="0"/>
      </w:pPr>
      <w:rPr>
        <w:rFonts w:ascii="Arial" w:eastAsia="Arial" w:hAnsi="Arial" w:cs="Arial" w:hint="default"/>
        <w:b/>
        <w:bCs/>
        <w:i w:val="0"/>
        <w:strike w:val="0"/>
        <w:dstrike w:val="0"/>
        <w:color w:val="000000"/>
        <w:sz w:val="24"/>
        <w:szCs w:val="24"/>
        <w:u w:val="none" w:color="000000"/>
        <w:effect w:val="none"/>
        <w:vertAlign w:val="baseli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48058CE"/>
    <w:multiLevelType w:val="hybridMultilevel"/>
    <w:tmpl w:val="92A2D4DC"/>
    <w:lvl w:ilvl="0" w:tplc="DBEC708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EEF6F7D"/>
    <w:multiLevelType w:val="hybridMultilevel"/>
    <w:tmpl w:val="C5247110"/>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6" w15:restartNumberingAfterBreak="0">
    <w:nsid w:val="1FC8609E"/>
    <w:multiLevelType w:val="multilevel"/>
    <w:tmpl w:val="83DE82A4"/>
    <w:styleLink w:val="Estilo19"/>
    <w:lvl w:ilvl="0">
      <w:start w:val="1"/>
      <w:numFmt w:val="upperRoman"/>
      <w:lvlText w:val="%1."/>
      <w:lvlJc w:val="left"/>
      <w:pPr>
        <w:ind w:left="720"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83775F5"/>
    <w:multiLevelType w:val="multilevel"/>
    <w:tmpl w:val="83DE82A4"/>
    <w:numStyleLink w:val="Estilo19"/>
  </w:abstractNum>
  <w:abstractNum w:abstractNumId="10"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1"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2"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563495"/>
    <w:multiLevelType w:val="hybridMultilevel"/>
    <w:tmpl w:val="4562256C"/>
    <w:lvl w:ilvl="0" w:tplc="19DC8C98">
      <w:start w:val="1"/>
      <w:numFmt w:val="lowerRoman"/>
      <w:lvlText w:val="%1."/>
      <w:lvlJc w:val="left"/>
      <w:pPr>
        <w:ind w:left="1080" w:hanging="720"/>
      </w:pPr>
      <w:rPr>
        <w:rFonts w:hint="default"/>
        <w:b/>
        <w:color w:val="4472C4"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DD661F0"/>
    <w:multiLevelType w:val="hybridMultilevel"/>
    <w:tmpl w:val="AD006A22"/>
    <w:lvl w:ilvl="0" w:tplc="2A94CF22">
      <w:start w:val="1"/>
      <w:numFmt w:val="decimal"/>
      <w:lvlText w:val="%1."/>
      <w:lvlJc w:val="left"/>
      <w:pPr>
        <w:ind w:left="422" w:firstLine="0"/>
      </w:pPr>
      <w:rPr>
        <w:rFonts w:ascii="Arial" w:eastAsiaTheme="minorHAnsi" w:hAnsi="Arial" w:cs="Arial"/>
        <w:b w:val="0"/>
        <w:i w:val="0"/>
        <w:strike w:val="0"/>
        <w:dstrike w:val="0"/>
        <w:color w:val="000000"/>
        <w:sz w:val="20"/>
        <w:szCs w:val="20"/>
        <w:u w:val="none" w:color="000000"/>
        <w:effect w:val="none"/>
        <w:bdr w:val="none" w:sz="0" w:space="0" w:color="auto" w:frame="1"/>
        <w:vertAlign w:val="baseline"/>
      </w:rPr>
    </w:lvl>
    <w:lvl w:ilvl="1" w:tplc="FFFFFFFF">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5BEC329C"/>
    <w:multiLevelType w:val="hybridMultilevel"/>
    <w:tmpl w:val="A9F6B83C"/>
    <w:lvl w:ilvl="0" w:tplc="B8004E92">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D3D3EDB"/>
    <w:multiLevelType w:val="multilevel"/>
    <w:tmpl w:val="D512AA5C"/>
    <w:numStyleLink w:val="Estilo18"/>
  </w:abstractNum>
  <w:abstractNum w:abstractNumId="23" w15:restartNumberingAfterBreak="0">
    <w:nsid w:val="642D5A3F"/>
    <w:multiLevelType w:val="hybridMultilevel"/>
    <w:tmpl w:val="20BE7698"/>
    <w:lvl w:ilvl="0" w:tplc="D9E2572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68392865"/>
    <w:multiLevelType w:val="hybridMultilevel"/>
    <w:tmpl w:val="AC42FC7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5" w15:restartNumberingAfterBreak="0">
    <w:nsid w:val="6B1F43E2"/>
    <w:multiLevelType w:val="hybridMultilevel"/>
    <w:tmpl w:val="710422DA"/>
    <w:lvl w:ilvl="0" w:tplc="5B6A50F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B82183"/>
    <w:multiLevelType w:val="hybridMultilevel"/>
    <w:tmpl w:val="BF466876"/>
    <w:lvl w:ilvl="0" w:tplc="1352874C">
      <w:start w:val="1"/>
      <w:numFmt w:val="decimal"/>
      <w:lvlText w:val="%1."/>
      <w:lvlJc w:val="left"/>
      <w:pPr>
        <w:ind w:left="422" w:firstLine="0"/>
      </w:pPr>
      <w:rPr>
        <w:rFonts w:ascii="Arial" w:eastAsiaTheme="minorHAnsi" w:hAnsi="Arial" w:cs="Arial"/>
        <w:b w:val="0"/>
        <w:i w:val="0"/>
        <w:strike w:val="0"/>
        <w:dstrike w:val="0"/>
        <w:color w:val="000000"/>
        <w:sz w:val="26"/>
        <w:szCs w:val="26"/>
        <w:u w:val="none" w:color="000000"/>
        <w:effect w:val="none"/>
        <w:bdr w:val="none" w:sz="0" w:space="0" w:color="auto" w:frame="1"/>
        <w:vertAlign w:val="baseline"/>
      </w:rPr>
    </w:lvl>
    <w:lvl w:ilvl="1" w:tplc="ADBA5F34">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C00ACDFE">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2B06F12">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7456A1C2">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0601CB0">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D203DC0">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10E524">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235A84EA">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74C56CD8"/>
    <w:multiLevelType w:val="hybridMultilevel"/>
    <w:tmpl w:val="162286AA"/>
    <w:lvl w:ilvl="0" w:tplc="756AE530">
      <w:start w:val="1"/>
      <w:numFmt w:val="lowerLetter"/>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0"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8867447">
    <w:abstractNumId w:val="26"/>
  </w:num>
  <w:num w:numId="2" w16cid:durableId="835801197">
    <w:abstractNumId w:val="27"/>
  </w:num>
  <w:num w:numId="3" w16cid:durableId="2125728478">
    <w:abstractNumId w:val="16"/>
  </w:num>
  <w:num w:numId="4" w16cid:durableId="1180317202">
    <w:abstractNumId w:val="30"/>
  </w:num>
  <w:num w:numId="5" w16cid:durableId="1359426482">
    <w:abstractNumId w:val="21"/>
  </w:num>
  <w:num w:numId="6" w16cid:durableId="172652948">
    <w:abstractNumId w:val="11"/>
  </w:num>
  <w:num w:numId="7" w16cid:durableId="700135222">
    <w:abstractNumId w:val="4"/>
  </w:num>
  <w:num w:numId="8" w16cid:durableId="194463729">
    <w:abstractNumId w:val="7"/>
  </w:num>
  <w:num w:numId="9" w16cid:durableId="1659646720">
    <w:abstractNumId w:val="8"/>
  </w:num>
  <w:num w:numId="10" w16cid:durableId="104818666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2"/>
  </w:num>
  <w:num w:numId="14" w16cid:durableId="1296834548">
    <w:abstractNumId w:val="18"/>
  </w:num>
  <w:num w:numId="15" w16cid:durableId="1190680270">
    <w:abstractNumId w:val="13"/>
  </w:num>
  <w:num w:numId="16" w16cid:durableId="2079206193">
    <w:abstractNumId w:val="10"/>
  </w:num>
  <w:num w:numId="17" w16cid:durableId="1673798562">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438777">
    <w:abstractNumId w:val="23"/>
  </w:num>
  <w:num w:numId="19" w16cid:durableId="205529598">
    <w:abstractNumId w:val="28"/>
  </w:num>
  <w:num w:numId="20" w16cid:durableId="1882404539">
    <w:abstractNumId w:val="15"/>
  </w:num>
  <w:num w:numId="21" w16cid:durableId="307561295">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6319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1446014">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98927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7349762">
    <w:abstractNumId w:val="1"/>
  </w:num>
  <w:num w:numId="26" w16cid:durableId="914557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746985">
    <w:abstractNumId w:val="6"/>
  </w:num>
  <w:num w:numId="28" w16cid:durableId="922297395">
    <w:abstractNumId w:val="14"/>
  </w:num>
  <w:num w:numId="29" w16cid:durableId="1396396590">
    <w:abstractNumId w:val="3"/>
  </w:num>
  <w:num w:numId="30" w16cid:durableId="14443790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792066">
    <w:abstractNumId w:val="2"/>
  </w:num>
  <w:num w:numId="32" w16cid:durableId="603460302">
    <w:abstractNumId w:val="5"/>
  </w:num>
  <w:num w:numId="33" w16cid:durableId="1409572585">
    <w:abstractNumId w:val="24"/>
  </w:num>
  <w:num w:numId="34" w16cid:durableId="1097482018">
    <w:abstractNumId w:val="29"/>
  </w:num>
  <w:num w:numId="35" w16cid:durableId="614024989">
    <w:abstractNumId w:val="20"/>
  </w:num>
  <w:num w:numId="36" w16cid:durableId="1065878339">
    <w:abstractNumId w:val="0"/>
  </w:num>
  <w:num w:numId="37" w16cid:durableId="1477486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124C"/>
    <w:rsid w:val="0000300C"/>
    <w:rsid w:val="00004EFC"/>
    <w:rsid w:val="00005FD0"/>
    <w:rsid w:val="00023520"/>
    <w:rsid w:val="00023E22"/>
    <w:rsid w:val="00024EA5"/>
    <w:rsid w:val="00032A9C"/>
    <w:rsid w:val="00033A9A"/>
    <w:rsid w:val="00034700"/>
    <w:rsid w:val="00035C44"/>
    <w:rsid w:val="00040665"/>
    <w:rsid w:val="00046A4B"/>
    <w:rsid w:val="00050E93"/>
    <w:rsid w:val="00050EB7"/>
    <w:rsid w:val="0005122E"/>
    <w:rsid w:val="000512AF"/>
    <w:rsid w:val="00053B67"/>
    <w:rsid w:val="00062CAB"/>
    <w:rsid w:val="00075973"/>
    <w:rsid w:val="0008001E"/>
    <w:rsid w:val="00080757"/>
    <w:rsid w:val="00081E85"/>
    <w:rsid w:val="00085C25"/>
    <w:rsid w:val="000862CD"/>
    <w:rsid w:val="0009164A"/>
    <w:rsid w:val="00095B1E"/>
    <w:rsid w:val="00096B47"/>
    <w:rsid w:val="000A23B0"/>
    <w:rsid w:val="000A2CB8"/>
    <w:rsid w:val="000A3274"/>
    <w:rsid w:val="000A5EA1"/>
    <w:rsid w:val="000A66AE"/>
    <w:rsid w:val="000B0469"/>
    <w:rsid w:val="000B4647"/>
    <w:rsid w:val="000B4CCB"/>
    <w:rsid w:val="000B7CBB"/>
    <w:rsid w:val="000C1E45"/>
    <w:rsid w:val="000C2306"/>
    <w:rsid w:val="000C3E28"/>
    <w:rsid w:val="000C6CFF"/>
    <w:rsid w:val="000D01CB"/>
    <w:rsid w:val="000D1D8B"/>
    <w:rsid w:val="000D6C18"/>
    <w:rsid w:val="000D76C8"/>
    <w:rsid w:val="000E602C"/>
    <w:rsid w:val="000F3FFB"/>
    <w:rsid w:val="00101475"/>
    <w:rsid w:val="00102FBD"/>
    <w:rsid w:val="0010332A"/>
    <w:rsid w:val="00107641"/>
    <w:rsid w:val="00114BB3"/>
    <w:rsid w:val="00115073"/>
    <w:rsid w:val="00120F19"/>
    <w:rsid w:val="001256C7"/>
    <w:rsid w:val="001257E6"/>
    <w:rsid w:val="00126223"/>
    <w:rsid w:val="00126D44"/>
    <w:rsid w:val="00131463"/>
    <w:rsid w:val="001314A7"/>
    <w:rsid w:val="00131A12"/>
    <w:rsid w:val="00143179"/>
    <w:rsid w:val="001515C1"/>
    <w:rsid w:val="00152A8C"/>
    <w:rsid w:val="00157CBE"/>
    <w:rsid w:val="00171074"/>
    <w:rsid w:val="00171081"/>
    <w:rsid w:val="00171965"/>
    <w:rsid w:val="001764D8"/>
    <w:rsid w:val="00177708"/>
    <w:rsid w:val="00181C20"/>
    <w:rsid w:val="00182BFF"/>
    <w:rsid w:val="00184257"/>
    <w:rsid w:val="00190F08"/>
    <w:rsid w:val="001939D2"/>
    <w:rsid w:val="001A4D65"/>
    <w:rsid w:val="001A7F4C"/>
    <w:rsid w:val="001B70EB"/>
    <w:rsid w:val="001C536F"/>
    <w:rsid w:val="001D66E5"/>
    <w:rsid w:val="001D791C"/>
    <w:rsid w:val="001E1039"/>
    <w:rsid w:val="001E23FE"/>
    <w:rsid w:val="001E379A"/>
    <w:rsid w:val="001E438E"/>
    <w:rsid w:val="001F100C"/>
    <w:rsid w:val="001F14C2"/>
    <w:rsid w:val="001F2245"/>
    <w:rsid w:val="001F42F4"/>
    <w:rsid w:val="001F4C3F"/>
    <w:rsid w:val="00201ECA"/>
    <w:rsid w:val="00203A2D"/>
    <w:rsid w:val="00211C44"/>
    <w:rsid w:val="002142F0"/>
    <w:rsid w:val="00222B41"/>
    <w:rsid w:val="002241BE"/>
    <w:rsid w:val="00233F96"/>
    <w:rsid w:val="00243516"/>
    <w:rsid w:val="00245ECD"/>
    <w:rsid w:val="002540AD"/>
    <w:rsid w:val="00265F19"/>
    <w:rsid w:val="002661D0"/>
    <w:rsid w:val="00266C19"/>
    <w:rsid w:val="002707EE"/>
    <w:rsid w:val="00275344"/>
    <w:rsid w:val="002766AE"/>
    <w:rsid w:val="00277A27"/>
    <w:rsid w:val="00286A06"/>
    <w:rsid w:val="00290015"/>
    <w:rsid w:val="002923A7"/>
    <w:rsid w:val="0029267A"/>
    <w:rsid w:val="00294AA1"/>
    <w:rsid w:val="00296F48"/>
    <w:rsid w:val="002A009F"/>
    <w:rsid w:val="002B5CB1"/>
    <w:rsid w:val="002B6F5A"/>
    <w:rsid w:val="002B712D"/>
    <w:rsid w:val="002B7F53"/>
    <w:rsid w:val="002C1749"/>
    <w:rsid w:val="002C473E"/>
    <w:rsid w:val="002D1374"/>
    <w:rsid w:val="002E0209"/>
    <w:rsid w:val="002E0A1A"/>
    <w:rsid w:val="002E0FBA"/>
    <w:rsid w:val="002E1BAF"/>
    <w:rsid w:val="002F373C"/>
    <w:rsid w:val="002F426B"/>
    <w:rsid w:val="0030135B"/>
    <w:rsid w:val="00302FEF"/>
    <w:rsid w:val="00303BFD"/>
    <w:rsid w:val="003116E3"/>
    <w:rsid w:val="00315EBB"/>
    <w:rsid w:val="00326808"/>
    <w:rsid w:val="00326A9F"/>
    <w:rsid w:val="00332079"/>
    <w:rsid w:val="0033322A"/>
    <w:rsid w:val="00343A03"/>
    <w:rsid w:val="00343ACD"/>
    <w:rsid w:val="00350431"/>
    <w:rsid w:val="003567FB"/>
    <w:rsid w:val="00363004"/>
    <w:rsid w:val="00364368"/>
    <w:rsid w:val="003650A1"/>
    <w:rsid w:val="003658B4"/>
    <w:rsid w:val="003662CE"/>
    <w:rsid w:val="0037048F"/>
    <w:rsid w:val="00371C73"/>
    <w:rsid w:val="003739AE"/>
    <w:rsid w:val="00375F38"/>
    <w:rsid w:val="00377DA8"/>
    <w:rsid w:val="00381BD3"/>
    <w:rsid w:val="00387BB3"/>
    <w:rsid w:val="00390C5D"/>
    <w:rsid w:val="00393257"/>
    <w:rsid w:val="003A0AD1"/>
    <w:rsid w:val="003A39CB"/>
    <w:rsid w:val="003A44DC"/>
    <w:rsid w:val="003B1742"/>
    <w:rsid w:val="003B3921"/>
    <w:rsid w:val="003B6D79"/>
    <w:rsid w:val="003B7B14"/>
    <w:rsid w:val="003C1AD5"/>
    <w:rsid w:val="003D3140"/>
    <w:rsid w:val="003D4184"/>
    <w:rsid w:val="003E0039"/>
    <w:rsid w:val="003E2E36"/>
    <w:rsid w:val="003F35FF"/>
    <w:rsid w:val="003F6BCB"/>
    <w:rsid w:val="0040452A"/>
    <w:rsid w:val="00405053"/>
    <w:rsid w:val="00405C6D"/>
    <w:rsid w:val="00411395"/>
    <w:rsid w:val="004130DC"/>
    <w:rsid w:val="004138A2"/>
    <w:rsid w:val="004147F8"/>
    <w:rsid w:val="00415155"/>
    <w:rsid w:val="00416085"/>
    <w:rsid w:val="004162EA"/>
    <w:rsid w:val="00420A94"/>
    <w:rsid w:val="00421A3B"/>
    <w:rsid w:val="004239CD"/>
    <w:rsid w:val="00424C08"/>
    <w:rsid w:val="0043061A"/>
    <w:rsid w:val="0044095C"/>
    <w:rsid w:val="00440F41"/>
    <w:rsid w:val="0044139D"/>
    <w:rsid w:val="00444245"/>
    <w:rsid w:val="00446ECD"/>
    <w:rsid w:val="0044738E"/>
    <w:rsid w:val="00454673"/>
    <w:rsid w:val="00457FF9"/>
    <w:rsid w:val="00462771"/>
    <w:rsid w:val="004645C2"/>
    <w:rsid w:val="0046552F"/>
    <w:rsid w:val="00471CE3"/>
    <w:rsid w:val="0047270E"/>
    <w:rsid w:val="00475D50"/>
    <w:rsid w:val="00480BD8"/>
    <w:rsid w:val="00487C18"/>
    <w:rsid w:val="004908E6"/>
    <w:rsid w:val="00490C26"/>
    <w:rsid w:val="00492E11"/>
    <w:rsid w:val="00494304"/>
    <w:rsid w:val="004966B1"/>
    <w:rsid w:val="004A27AE"/>
    <w:rsid w:val="004A2CEB"/>
    <w:rsid w:val="004A3F6A"/>
    <w:rsid w:val="004B1C76"/>
    <w:rsid w:val="004B5B04"/>
    <w:rsid w:val="004B6E83"/>
    <w:rsid w:val="004B7241"/>
    <w:rsid w:val="004C1951"/>
    <w:rsid w:val="004C44CF"/>
    <w:rsid w:val="004D17D0"/>
    <w:rsid w:val="004D2E5F"/>
    <w:rsid w:val="004D7105"/>
    <w:rsid w:val="004E216B"/>
    <w:rsid w:val="004E24CE"/>
    <w:rsid w:val="004E2E13"/>
    <w:rsid w:val="004E3186"/>
    <w:rsid w:val="004E4974"/>
    <w:rsid w:val="004E52CF"/>
    <w:rsid w:val="004E7BEA"/>
    <w:rsid w:val="004F64E7"/>
    <w:rsid w:val="004F65DE"/>
    <w:rsid w:val="00501A80"/>
    <w:rsid w:val="005054F1"/>
    <w:rsid w:val="0050560A"/>
    <w:rsid w:val="00506B65"/>
    <w:rsid w:val="00512CD4"/>
    <w:rsid w:val="005148E9"/>
    <w:rsid w:val="00516652"/>
    <w:rsid w:val="00525959"/>
    <w:rsid w:val="00525D9E"/>
    <w:rsid w:val="005311FC"/>
    <w:rsid w:val="005333FB"/>
    <w:rsid w:val="00533505"/>
    <w:rsid w:val="00533CAB"/>
    <w:rsid w:val="005346CF"/>
    <w:rsid w:val="00542C8F"/>
    <w:rsid w:val="00545EB0"/>
    <w:rsid w:val="00550565"/>
    <w:rsid w:val="00554027"/>
    <w:rsid w:val="00564192"/>
    <w:rsid w:val="00572648"/>
    <w:rsid w:val="0058013D"/>
    <w:rsid w:val="0058123F"/>
    <w:rsid w:val="00581795"/>
    <w:rsid w:val="0058572B"/>
    <w:rsid w:val="00585A6B"/>
    <w:rsid w:val="00586F6C"/>
    <w:rsid w:val="005917FE"/>
    <w:rsid w:val="00592EFC"/>
    <w:rsid w:val="00593000"/>
    <w:rsid w:val="005931A6"/>
    <w:rsid w:val="005936BC"/>
    <w:rsid w:val="00593988"/>
    <w:rsid w:val="005A5CE1"/>
    <w:rsid w:val="005A5F8C"/>
    <w:rsid w:val="005A6BDA"/>
    <w:rsid w:val="005B3FAD"/>
    <w:rsid w:val="005B5263"/>
    <w:rsid w:val="005B70CF"/>
    <w:rsid w:val="005B72A8"/>
    <w:rsid w:val="005C4F96"/>
    <w:rsid w:val="005C5E9E"/>
    <w:rsid w:val="005C67BE"/>
    <w:rsid w:val="005D03F0"/>
    <w:rsid w:val="005D3069"/>
    <w:rsid w:val="005D3303"/>
    <w:rsid w:val="005D5ADE"/>
    <w:rsid w:val="005E01FF"/>
    <w:rsid w:val="005E630B"/>
    <w:rsid w:val="005F026D"/>
    <w:rsid w:val="005F17CA"/>
    <w:rsid w:val="005F53DB"/>
    <w:rsid w:val="005F68C2"/>
    <w:rsid w:val="005F780A"/>
    <w:rsid w:val="005F7FEB"/>
    <w:rsid w:val="00604DDF"/>
    <w:rsid w:val="00614101"/>
    <w:rsid w:val="0061548C"/>
    <w:rsid w:val="00617449"/>
    <w:rsid w:val="006265E8"/>
    <w:rsid w:val="0063097B"/>
    <w:rsid w:val="00632DCA"/>
    <w:rsid w:val="006367A8"/>
    <w:rsid w:val="006368F4"/>
    <w:rsid w:val="0064482D"/>
    <w:rsid w:val="006521C0"/>
    <w:rsid w:val="00652335"/>
    <w:rsid w:val="00653ECE"/>
    <w:rsid w:val="00672B79"/>
    <w:rsid w:val="00680D2D"/>
    <w:rsid w:val="0068334A"/>
    <w:rsid w:val="0069324F"/>
    <w:rsid w:val="0069538E"/>
    <w:rsid w:val="006A2FD7"/>
    <w:rsid w:val="006A5F30"/>
    <w:rsid w:val="006A66B4"/>
    <w:rsid w:val="006A6AD2"/>
    <w:rsid w:val="006B169E"/>
    <w:rsid w:val="006B398A"/>
    <w:rsid w:val="006B5882"/>
    <w:rsid w:val="006C5A01"/>
    <w:rsid w:val="006C5D9C"/>
    <w:rsid w:val="006C67F0"/>
    <w:rsid w:val="006C7A2D"/>
    <w:rsid w:val="006D0001"/>
    <w:rsid w:val="006D222D"/>
    <w:rsid w:val="006D67BC"/>
    <w:rsid w:val="006E547B"/>
    <w:rsid w:val="00702953"/>
    <w:rsid w:val="00717320"/>
    <w:rsid w:val="00725DB5"/>
    <w:rsid w:val="0073205C"/>
    <w:rsid w:val="0073520A"/>
    <w:rsid w:val="00735861"/>
    <w:rsid w:val="00740383"/>
    <w:rsid w:val="00741BB3"/>
    <w:rsid w:val="00742A47"/>
    <w:rsid w:val="00752B93"/>
    <w:rsid w:val="007537D2"/>
    <w:rsid w:val="00754E62"/>
    <w:rsid w:val="00760556"/>
    <w:rsid w:val="007664F1"/>
    <w:rsid w:val="0076650A"/>
    <w:rsid w:val="00770CAF"/>
    <w:rsid w:val="007742AD"/>
    <w:rsid w:val="007822D0"/>
    <w:rsid w:val="00782ACA"/>
    <w:rsid w:val="0079098D"/>
    <w:rsid w:val="0079114F"/>
    <w:rsid w:val="00791F74"/>
    <w:rsid w:val="007978C4"/>
    <w:rsid w:val="007A2999"/>
    <w:rsid w:val="007A549A"/>
    <w:rsid w:val="007A7EF2"/>
    <w:rsid w:val="007B1887"/>
    <w:rsid w:val="007C1A38"/>
    <w:rsid w:val="007C4F18"/>
    <w:rsid w:val="007D245A"/>
    <w:rsid w:val="007D25BD"/>
    <w:rsid w:val="007D285C"/>
    <w:rsid w:val="007D495C"/>
    <w:rsid w:val="007E15E5"/>
    <w:rsid w:val="007E592A"/>
    <w:rsid w:val="007F0F7A"/>
    <w:rsid w:val="007F1251"/>
    <w:rsid w:val="00801BBE"/>
    <w:rsid w:val="0080245F"/>
    <w:rsid w:val="00807F87"/>
    <w:rsid w:val="00810CBA"/>
    <w:rsid w:val="00811782"/>
    <w:rsid w:val="00814A3C"/>
    <w:rsid w:val="00814E7E"/>
    <w:rsid w:val="008157F5"/>
    <w:rsid w:val="008236B6"/>
    <w:rsid w:val="008261DF"/>
    <w:rsid w:val="00834013"/>
    <w:rsid w:val="008365CD"/>
    <w:rsid w:val="008411B1"/>
    <w:rsid w:val="008479F4"/>
    <w:rsid w:val="00847DDE"/>
    <w:rsid w:val="0087347B"/>
    <w:rsid w:val="00877E24"/>
    <w:rsid w:val="00882FEC"/>
    <w:rsid w:val="00884FE7"/>
    <w:rsid w:val="0088640D"/>
    <w:rsid w:val="00886450"/>
    <w:rsid w:val="008B59C5"/>
    <w:rsid w:val="008B6620"/>
    <w:rsid w:val="008B7357"/>
    <w:rsid w:val="008C54C0"/>
    <w:rsid w:val="008C5FF1"/>
    <w:rsid w:val="008C7FD6"/>
    <w:rsid w:val="008D2C06"/>
    <w:rsid w:val="008E4905"/>
    <w:rsid w:val="008F37D6"/>
    <w:rsid w:val="008F3CC7"/>
    <w:rsid w:val="008F4E16"/>
    <w:rsid w:val="008F7285"/>
    <w:rsid w:val="008F7600"/>
    <w:rsid w:val="0090001B"/>
    <w:rsid w:val="0090131E"/>
    <w:rsid w:val="00901B47"/>
    <w:rsid w:val="00910EE1"/>
    <w:rsid w:val="0091484A"/>
    <w:rsid w:val="00915B07"/>
    <w:rsid w:val="00922DE1"/>
    <w:rsid w:val="0092427D"/>
    <w:rsid w:val="0093096B"/>
    <w:rsid w:val="009339DD"/>
    <w:rsid w:val="00936FCF"/>
    <w:rsid w:val="00937211"/>
    <w:rsid w:val="00940900"/>
    <w:rsid w:val="009422CC"/>
    <w:rsid w:val="0095409B"/>
    <w:rsid w:val="00957F79"/>
    <w:rsid w:val="00960B3E"/>
    <w:rsid w:val="00962BF3"/>
    <w:rsid w:val="009639E1"/>
    <w:rsid w:val="009646EB"/>
    <w:rsid w:val="00967FF2"/>
    <w:rsid w:val="00970254"/>
    <w:rsid w:val="009702FA"/>
    <w:rsid w:val="009703CA"/>
    <w:rsid w:val="00972F46"/>
    <w:rsid w:val="0097476C"/>
    <w:rsid w:val="00974ADF"/>
    <w:rsid w:val="00982188"/>
    <w:rsid w:val="00984C13"/>
    <w:rsid w:val="00986CAC"/>
    <w:rsid w:val="00992DEC"/>
    <w:rsid w:val="00995CFC"/>
    <w:rsid w:val="00997C9A"/>
    <w:rsid w:val="00997D14"/>
    <w:rsid w:val="009A2993"/>
    <w:rsid w:val="009A56DE"/>
    <w:rsid w:val="009A76ED"/>
    <w:rsid w:val="009B04A7"/>
    <w:rsid w:val="009B0695"/>
    <w:rsid w:val="009B6516"/>
    <w:rsid w:val="009B66B3"/>
    <w:rsid w:val="009C07D8"/>
    <w:rsid w:val="009C194C"/>
    <w:rsid w:val="009E08DD"/>
    <w:rsid w:val="009E282D"/>
    <w:rsid w:val="009E4EB1"/>
    <w:rsid w:val="009F060B"/>
    <w:rsid w:val="009F103B"/>
    <w:rsid w:val="009F3905"/>
    <w:rsid w:val="009F6379"/>
    <w:rsid w:val="00A004C6"/>
    <w:rsid w:val="00A03A6B"/>
    <w:rsid w:val="00A0770A"/>
    <w:rsid w:val="00A10D95"/>
    <w:rsid w:val="00A1343D"/>
    <w:rsid w:val="00A22704"/>
    <w:rsid w:val="00A227E1"/>
    <w:rsid w:val="00A27D27"/>
    <w:rsid w:val="00A342AB"/>
    <w:rsid w:val="00A36648"/>
    <w:rsid w:val="00A4294C"/>
    <w:rsid w:val="00A43002"/>
    <w:rsid w:val="00A4380A"/>
    <w:rsid w:val="00A4632B"/>
    <w:rsid w:val="00A50A29"/>
    <w:rsid w:val="00A51573"/>
    <w:rsid w:val="00A5473E"/>
    <w:rsid w:val="00A56E07"/>
    <w:rsid w:val="00A61FF4"/>
    <w:rsid w:val="00A62242"/>
    <w:rsid w:val="00A729F2"/>
    <w:rsid w:val="00A731FB"/>
    <w:rsid w:val="00A7526A"/>
    <w:rsid w:val="00A7578A"/>
    <w:rsid w:val="00A76240"/>
    <w:rsid w:val="00A77B25"/>
    <w:rsid w:val="00A8378B"/>
    <w:rsid w:val="00A838A3"/>
    <w:rsid w:val="00A843FC"/>
    <w:rsid w:val="00A9042D"/>
    <w:rsid w:val="00A96752"/>
    <w:rsid w:val="00A96771"/>
    <w:rsid w:val="00A9719E"/>
    <w:rsid w:val="00A971EA"/>
    <w:rsid w:val="00A97ECA"/>
    <w:rsid w:val="00AA06B6"/>
    <w:rsid w:val="00AA0AFF"/>
    <w:rsid w:val="00AA5F39"/>
    <w:rsid w:val="00AA6092"/>
    <w:rsid w:val="00AC2EE3"/>
    <w:rsid w:val="00AD0037"/>
    <w:rsid w:val="00AD129B"/>
    <w:rsid w:val="00AD3084"/>
    <w:rsid w:val="00AF2B94"/>
    <w:rsid w:val="00AF45E4"/>
    <w:rsid w:val="00B0237A"/>
    <w:rsid w:val="00B06835"/>
    <w:rsid w:val="00B14E58"/>
    <w:rsid w:val="00B20C4C"/>
    <w:rsid w:val="00B2124B"/>
    <w:rsid w:val="00B2298E"/>
    <w:rsid w:val="00B34CF7"/>
    <w:rsid w:val="00B35F76"/>
    <w:rsid w:val="00B4198F"/>
    <w:rsid w:val="00B45845"/>
    <w:rsid w:val="00B460AC"/>
    <w:rsid w:val="00B52817"/>
    <w:rsid w:val="00B6291A"/>
    <w:rsid w:val="00B630B8"/>
    <w:rsid w:val="00B65785"/>
    <w:rsid w:val="00B66D8E"/>
    <w:rsid w:val="00B71C53"/>
    <w:rsid w:val="00B731CC"/>
    <w:rsid w:val="00B739AE"/>
    <w:rsid w:val="00B74365"/>
    <w:rsid w:val="00B81511"/>
    <w:rsid w:val="00B84C8E"/>
    <w:rsid w:val="00B84D37"/>
    <w:rsid w:val="00B87DF5"/>
    <w:rsid w:val="00B91653"/>
    <w:rsid w:val="00B9225F"/>
    <w:rsid w:val="00BA0D13"/>
    <w:rsid w:val="00BA182D"/>
    <w:rsid w:val="00BA2143"/>
    <w:rsid w:val="00BC1B10"/>
    <w:rsid w:val="00BC3DEE"/>
    <w:rsid w:val="00BD27AA"/>
    <w:rsid w:val="00BD2E20"/>
    <w:rsid w:val="00BE05F0"/>
    <w:rsid w:val="00BE3AD2"/>
    <w:rsid w:val="00BE450A"/>
    <w:rsid w:val="00BE5E20"/>
    <w:rsid w:val="00BE658F"/>
    <w:rsid w:val="00BE7599"/>
    <w:rsid w:val="00BF1371"/>
    <w:rsid w:val="00BF5436"/>
    <w:rsid w:val="00BF5BAE"/>
    <w:rsid w:val="00BF6A5F"/>
    <w:rsid w:val="00BF7DD7"/>
    <w:rsid w:val="00C008CB"/>
    <w:rsid w:val="00C025AD"/>
    <w:rsid w:val="00C02EE2"/>
    <w:rsid w:val="00C12240"/>
    <w:rsid w:val="00C31452"/>
    <w:rsid w:val="00C4673F"/>
    <w:rsid w:val="00C503C4"/>
    <w:rsid w:val="00C50DAB"/>
    <w:rsid w:val="00C51C09"/>
    <w:rsid w:val="00C53C60"/>
    <w:rsid w:val="00C567AB"/>
    <w:rsid w:val="00C601D1"/>
    <w:rsid w:val="00C6274D"/>
    <w:rsid w:val="00C635ED"/>
    <w:rsid w:val="00C652DF"/>
    <w:rsid w:val="00C71765"/>
    <w:rsid w:val="00C75348"/>
    <w:rsid w:val="00C7779C"/>
    <w:rsid w:val="00C87627"/>
    <w:rsid w:val="00C95AFC"/>
    <w:rsid w:val="00C97355"/>
    <w:rsid w:val="00CA2E16"/>
    <w:rsid w:val="00CA402E"/>
    <w:rsid w:val="00CA4EC9"/>
    <w:rsid w:val="00CB10CC"/>
    <w:rsid w:val="00CB4CBA"/>
    <w:rsid w:val="00CB4E84"/>
    <w:rsid w:val="00CB51D5"/>
    <w:rsid w:val="00CC4070"/>
    <w:rsid w:val="00CC7EF9"/>
    <w:rsid w:val="00CD119C"/>
    <w:rsid w:val="00CD2602"/>
    <w:rsid w:val="00CD6528"/>
    <w:rsid w:val="00CE7355"/>
    <w:rsid w:val="00CF3A23"/>
    <w:rsid w:val="00CF4021"/>
    <w:rsid w:val="00CF6A9A"/>
    <w:rsid w:val="00D00CC0"/>
    <w:rsid w:val="00D01826"/>
    <w:rsid w:val="00D10E31"/>
    <w:rsid w:val="00D2105B"/>
    <w:rsid w:val="00D2566F"/>
    <w:rsid w:val="00D262C6"/>
    <w:rsid w:val="00D26B8E"/>
    <w:rsid w:val="00D30014"/>
    <w:rsid w:val="00D330D7"/>
    <w:rsid w:val="00D33BA2"/>
    <w:rsid w:val="00D34720"/>
    <w:rsid w:val="00D35F92"/>
    <w:rsid w:val="00D40304"/>
    <w:rsid w:val="00D44E46"/>
    <w:rsid w:val="00D551F7"/>
    <w:rsid w:val="00D61C81"/>
    <w:rsid w:val="00D7057E"/>
    <w:rsid w:val="00D71D22"/>
    <w:rsid w:val="00D84CB5"/>
    <w:rsid w:val="00D854EE"/>
    <w:rsid w:val="00D91591"/>
    <w:rsid w:val="00DA117E"/>
    <w:rsid w:val="00DA20E9"/>
    <w:rsid w:val="00DA3661"/>
    <w:rsid w:val="00DA620B"/>
    <w:rsid w:val="00DA6D1D"/>
    <w:rsid w:val="00DB0641"/>
    <w:rsid w:val="00DB0ABF"/>
    <w:rsid w:val="00DB21AB"/>
    <w:rsid w:val="00DB257D"/>
    <w:rsid w:val="00DB5ACE"/>
    <w:rsid w:val="00DC152C"/>
    <w:rsid w:val="00DC22C9"/>
    <w:rsid w:val="00DD2A2D"/>
    <w:rsid w:val="00DD3883"/>
    <w:rsid w:val="00DD5161"/>
    <w:rsid w:val="00DD6B17"/>
    <w:rsid w:val="00DD7544"/>
    <w:rsid w:val="00DE33AF"/>
    <w:rsid w:val="00DE7750"/>
    <w:rsid w:val="00DF42BF"/>
    <w:rsid w:val="00DF6748"/>
    <w:rsid w:val="00E02CE8"/>
    <w:rsid w:val="00E04C6E"/>
    <w:rsid w:val="00E075D3"/>
    <w:rsid w:val="00E0774A"/>
    <w:rsid w:val="00E13354"/>
    <w:rsid w:val="00E17C01"/>
    <w:rsid w:val="00E2519B"/>
    <w:rsid w:val="00E3254D"/>
    <w:rsid w:val="00E326E8"/>
    <w:rsid w:val="00E32F58"/>
    <w:rsid w:val="00E352A6"/>
    <w:rsid w:val="00E372D4"/>
    <w:rsid w:val="00E440EE"/>
    <w:rsid w:val="00E527F9"/>
    <w:rsid w:val="00E54C4C"/>
    <w:rsid w:val="00E5633A"/>
    <w:rsid w:val="00E61F88"/>
    <w:rsid w:val="00E67544"/>
    <w:rsid w:val="00E71577"/>
    <w:rsid w:val="00E733B8"/>
    <w:rsid w:val="00E82F54"/>
    <w:rsid w:val="00E8494B"/>
    <w:rsid w:val="00E857CD"/>
    <w:rsid w:val="00E85AB8"/>
    <w:rsid w:val="00E935F2"/>
    <w:rsid w:val="00E940A7"/>
    <w:rsid w:val="00E95643"/>
    <w:rsid w:val="00EA05C0"/>
    <w:rsid w:val="00EA4F31"/>
    <w:rsid w:val="00EA5498"/>
    <w:rsid w:val="00EA55A3"/>
    <w:rsid w:val="00EB07A7"/>
    <w:rsid w:val="00EB0B3A"/>
    <w:rsid w:val="00EB5FF1"/>
    <w:rsid w:val="00EB78EF"/>
    <w:rsid w:val="00ED3687"/>
    <w:rsid w:val="00ED470B"/>
    <w:rsid w:val="00ED74A1"/>
    <w:rsid w:val="00ED7E36"/>
    <w:rsid w:val="00EE13D8"/>
    <w:rsid w:val="00EE4911"/>
    <w:rsid w:val="00EE4A92"/>
    <w:rsid w:val="00EE5989"/>
    <w:rsid w:val="00EE75F5"/>
    <w:rsid w:val="00EE78ED"/>
    <w:rsid w:val="00EF3662"/>
    <w:rsid w:val="00EF52A7"/>
    <w:rsid w:val="00EF6B78"/>
    <w:rsid w:val="00F03FCB"/>
    <w:rsid w:val="00F05A80"/>
    <w:rsid w:val="00F05ACA"/>
    <w:rsid w:val="00F117B0"/>
    <w:rsid w:val="00F1686A"/>
    <w:rsid w:val="00F240EE"/>
    <w:rsid w:val="00F241B2"/>
    <w:rsid w:val="00F307BF"/>
    <w:rsid w:val="00F32702"/>
    <w:rsid w:val="00F332FE"/>
    <w:rsid w:val="00F3392E"/>
    <w:rsid w:val="00F41F4F"/>
    <w:rsid w:val="00F42A37"/>
    <w:rsid w:val="00F4539E"/>
    <w:rsid w:val="00F466CF"/>
    <w:rsid w:val="00F47BD1"/>
    <w:rsid w:val="00F545D3"/>
    <w:rsid w:val="00F5476F"/>
    <w:rsid w:val="00F55732"/>
    <w:rsid w:val="00F622F9"/>
    <w:rsid w:val="00F66309"/>
    <w:rsid w:val="00F667E5"/>
    <w:rsid w:val="00F66D40"/>
    <w:rsid w:val="00F71374"/>
    <w:rsid w:val="00F745F6"/>
    <w:rsid w:val="00F74F2A"/>
    <w:rsid w:val="00F819D3"/>
    <w:rsid w:val="00F9228F"/>
    <w:rsid w:val="00FA0065"/>
    <w:rsid w:val="00FB022F"/>
    <w:rsid w:val="00FC17FC"/>
    <w:rsid w:val="00FC3BB0"/>
    <w:rsid w:val="00FC5F93"/>
    <w:rsid w:val="00FD1C6B"/>
    <w:rsid w:val="00FE1529"/>
    <w:rsid w:val="00FE2B5F"/>
    <w:rsid w:val="00FE7633"/>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EstiloCar">
    <w:name w:val="Estilo Car"/>
    <w:link w:val="Estilo"/>
    <w:locked/>
    <w:rsid w:val="007E15E5"/>
    <w:rPr>
      <w:rFonts w:ascii="Arial" w:eastAsia="Calibri" w:hAnsi="Arial" w:cs="Arial"/>
      <w:szCs w:val="22"/>
    </w:rPr>
  </w:style>
  <w:style w:type="paragraph" w:customStyle="1" w:styleId="Estilo">
    <w:name w:val="Estilo"/>
    <w:basedOn w:val="Sinespaciado"/>
    <w:link w:val="EstiloCar"/>
    <w:qFormat/>
    <w:rsid w:val="007E15E5"/>
    <w:pPr>
      <w:jc w:val="both"/>
    </w:pPr>
    <w:rPr>
      <w:rFonts w:ascii="Arial" w:eastAsia="Calibri" w:hAnsi="Arial" w:cs="Arial"/>
      <w:sz w:val="24"/>
      <w:lang w:eastAsia="en-US"/>
    </w:rPr>
  </w:style>
  <w:style w:type="numbering" w:customStyle="1" w:styleId="Estilo18">
    <w:name w:val="Estilo18"/>
    <w:uiPriority w:val="99"/>
    <w:rsid w:val="00ED74A1"/>
    <w:pPr>
      <w:numPr>
        <w:numId w:val="25"/>
      </w:numPr>
    </w:pPr>
  </w:style>
  <w:style w:type="numbering" w:customStyle="1" w:styleId="Estilo19">
    <w:name w:val="Estilo19"/>
    <w:uiPriority w:val="99"/>
    <w:rsid w:val="00BA0D13"/>
    <w:pPr>
      <w:numPr>
        <w:numId w:val="27"/>
      </w:numPr>
    </w:pPr>
  </w:style>
  <w:style w:type="character" w:customStyle="1" w:styleId="SinespaciadoCar">
    <w:name w:val="Sin espaciado Car"/>
    <w:link w:val="Sinespaciado"/>
    <w:uiPriority w:val="1"/>
    <w:locked/>
    <w:rsid w:val="00471CE3"/>
    <w:rPr>
      <w:rFonts w:ascii="Calibri" w:eastAsia="Times New Roman" w:hAnsi="Calibri" w:cs="Times New Roman"/>
      <w:sz w:val="22"/>
      <w:szCs w:val="22"/>
      <w:lang w:eastAsia="es-MX"/>
    </w:rPr>
  </w:style>
  <w:style w:type="character" w:styleId="Hipervnculovisitado">
    <w:name w:val="FollowedHyperlink"/>
    <w:basedOn w:val="Fuentedeprrafopredeter"/>
    <w:uiPriority w:val="99"/>
    <w:semiHidden/>
    <w:unhideWhenUsed/>
    <w:rsid w:val="00C71765"/>
    <w:rPr>
      <w:color w:val="954F72" w:themeColor="followedHyperlink"/>
      <w:u w:val="single"/>
    </w:rPr>
  </w:style>
  <w:style w:type="character" w:styleId="Refdecomentario">
    <w:name w:val="annotation reference"/>
    <w:basedOn w:val="Fuentedeprrafopredeter"/>
    <w:uiPriority w:val="99"/>
    <w:semiHidden/>
    <w:unhideWhenUsed/>
    <w:rsid w:val="009B66B3"/>
    <w:rPr>
      <w:sz w:val="16"/>
      <w:szCs w:val="16"/>
    </w:rPr>
  </w:style>
  <w:style w:type="paragraph" w:styleId="Textocomentario">
    <w:name w:val="annotation text"/>
    <w:basedOn w:val="Normal"/>
    <w:link w:val="TextocomentarioCar"/>
    <w:uiPriority w:val="99"/>
    <w:unhideWhenUsed/>
    <w:rsid w:val="009B66B3"/>
    <w:rPr>
      <w:sz w:val="20"/>
      <w:szCs w:val="20"/>
    </w:rPr>
  </w:style>
  <w:style w:type="character" w:customStyle="1" w:styleId="TextocomentarioCar">
    <w:name w:val="Texto comentario Car"/>
    <w:basedOn w:val="Fuentedeprrafopredeter"/>
    <w:link w:val="Textocomentario"/>
    <w:uiPriority w:val="99"/>
    <w:rsid w:val="009B66B3"/>
    <w:rPr>
      <w:sz w:val="20"/>
      <w:szCs w:val="20"/>
    </w:rPr>
  </w:style>
  <w:style w:type="paragraph" w:styleId="Asuntodelcomentario">
    <w:name w:val="annotation subject"/>
    <w:basedOn w:val="Textocomentario"/>
    <w:next w:val="Textocomentario"/>
    <w:link w:val="AsuntodelcomentarioCar"/>
    <w:uiPriority w:val="99"/>
    <w:semiHidden/>
    <w:unhideWhenUsed/>
    <w:rsid w:val="009B66B3"/>
    <w:rPr>
      <w:b/>
      <w:bCs/>
    </w:rPr>
  </w:style>
  <w:style w:type="character" w:customStyle="1" w:styleId="AsuntodelcomentarioCar">
    <w:name w:val="Asunto del comentario Car"/>
    <w:basedOn w:val="TextocomentarioCar"/>
    <w:link w:val="Asuntodelcomentario"/>
    <w:uiPriority w:val="99"/>
    <w:semiHidden/>
    <w:rsid w:val="009B66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9618">
      <w:bodyDiv w:val="1"/>
      <w:marLeft w:val="0"/>
      <w:marRight w:val="0"/>
      <w:marTop w:val="0"/>
      <w:marBottom w:val="0"/>
      <w:divBdr>
        <w:top w:val="none" w:sz="0" w:space="0" w:color="auto"/>
        <w:left w:val="none" w:sz="0" w:space="0" w:color="auto"/>
        <w:bottom w:val="none" w:sz="0" w:space="0" w:color="auto"/>
        <w:right w:val="none" w:sz="0" w:space="0" w:color="auto"/>
      </w:divBdr>
    </w:div>
    <w:div w:id="63380999">
      <w:bodyDiv w:val="1"/>
      <w:marLeft w:val="0"/>
      <w:marRight w:val="0"/>
      <w:marTop w:val="0"/>
      <w:marBottom w:val="0"/>
      <w:divBdr>
        <w:top w:val="none" w:sz="0" w:space="0" w:color="auto"/>
        <w:left w:val="none" w:sz="0" w:space="0" w:color="auto"/>
        <w:bottom w:val="none" w:sz="0" w:space="0" w:color="auto"/>
        <w:right w:val="none" w:sz="0" w:space="0" w:color="auto"/>
      </w:divBdr>
    </w:div>
    <w:div w:id="72044052">
      <w:bodyDiv w:val="1"/>
      <w:marLeft w:val="0"/>
      <w:marRight w:val="0"/>
      <w:marTop w:val="0"/>
      <w:marBottom w:val="0"/>
      <w:divBdr>
        <w:top w:val="none" w:sz="0" w:space="0" w:color="auto"/>
        <w:left w:val="none" w:sz="0" w:space="0" w:color="auto"/>
        <w:bottom w:val="none" w:sz="0" w:space="0" w:color="auto"/>
        <w:right w:val="none" w:sz="0" w:space="0" w:color="auto"/>
      </w:divBdr>
    </w:div>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156002427">
      <w:bodyDiv w:val="1"/>
      <w:marLeft w:val="0"/>
      <w:marRight w:val="0"/>
      <w:marTop w:val="0"/>
      <w:marBottom w:val="0"/>
      <w:divBdr>
        <w:top w:val="none" w:sz="0" w:space="0" w:color="auto"/>
        <w:left w:val="none" w:sz="0" w:space="0" w:color="auto"/>
        <w:bottom w:val="none" w:sz="0" w:space="0" w:color="auto"/>
        <w:right w:val="none" w:sz="0" w:space="0" w:color="auto"/>
      </w:divBdr>
    </w:div>
    <w:div w:id="156458819">
      <w:bodyDiv w:val="1"/>
      <w:marLeft w:val="0"/>
      <w:marRight w:val="0"/>
      <w:marTop w:val="0"/>
      <w:marBottom w:val="0"/>
      <w:divBdr>
        <w:top w:val="none" w:sz="0" w:space="0" w:color="auto"/>
        <w:left w:val="none" w:sz="0" w:space="0" w:color="auto"/>
        <w:bottom w:val="none" w:sz="0" w:space="0" w:color="auto"/>
        <w:right w:val="none" w:sz="0" w:space="0" w:color="auto"/>
      </w:divBdr>
    </w:div>
    <w:div w:id="245191640">
      <w:bodyDiv w:val="1"/>
      <w:marLeft w:val="0"/>
      <w:marRight w:val="0"/>
      <w:marTop w:val="0"/>
      <w:marBottom w:val="0"/>
      <w:divBdr>
        <w:top w:val="none" w:sz="0" w:space="0" w:color="auto"/>
        <w:left w:val="none" w:sz="0" w:space="0" w:color="auto"/>
        <w:bottom w:val="none" w:sz="0" w:space="0" w:color="auto"/>
        <w:right w:val="none" w:sz="0" w:space="0" w:color="auto"/>
      </w:divBdr>
    </w:div>
    <w:div w:id="272980102">
      <w:bodyDiv w:val="1"/>
      <w:marLeft w:val="0"/>
      <w:marRight w:val="0"/>
      <w:marTop w:val="0"/>
      <w:marBottom w:val="0"/>
      <w:divBdr>
        <w:top w:val="none" w:sz="0" w:space="0" w:color="auto"/>
        <w:left w:val="none" w:sz="0" w:space="0" w:color="auto"/>
        <w:bottom w:val="none" w:sz="0" w:space="0" w:color="auto"/>
        <w:right w:val="none" w:sz="0" w:space="0" w:color="auto"/>
      </w:divBdr>
    </w:div>
    <w:div w:id="337929437">
      <w:bodyDiv w:val="1"/>
      <w:marLeft w:val="0"/>
      <w:marRight w:val="0"/>
      <w:marTop w:val="0"/>
      <w:marBottom w:val="0"/>
      <w:divBdr>
        <w:top w:val="none" w:sz="0" w:space="0" w:color="auto"/>
        <w:left w:val="none" w:sz="0" w:space="0" w:color="auto"/>
        <w:bottom w:val="none" w:sz="0" w:space="0" w:color="auto"/>
        <w:right w:val="none" w:sz="0" w:space="0" w:color="auto"/>
      </w:divBdr>
    </w:div>
    <w:div w:id="342172842">
      <w:bodyDiv w:val="1"/>
      <w:marLeft w:val="0"/>
      <w:marRight w:val="0"/>
      <w:marTop w:val="0"/>
      <w:marBottom w:val="0"/>
      <w:divBdr>
        <w:top w:val="none" w:sz="0" w:space="0" w:color="auto"/>
        <w:left w:val="none" w:sz="0" w:space="0" w:color="auto"/>
        <w:bottom w:val="none" w:sz="0" w:space="0" w:color="auto"/>
        <w:right w:val="none" w:sz="0" w:space="0" w:color="auto"/>
      </w:divBdr>
    </w:div>
    <w:div w:id="344022771">
      <w:bodyDiv w:val="1"/>
      <w:marLeft w:val="0"/>
      <w:marRight w:val="0"/>
      <w:marTop w:val="0"/>
      <w:marBottom w:val="0"/>
      <w:divBdr>
        <w:top w:val="none" w:sz="0" w:space="0" w:color="auto"/>
        <w:left w:val="none" w:sz="0" w:space="0" w:color="auto"/>
        <w:bottom w:val="none" w:sz="0" w:space="0" w:color="auto"/>
        <w:right w:val="none" w:sz="0" w:space="0" w:color="auto"/>
      </w:divBdr>
    </w:div>
    <w:div w:id="437914742">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54565018">
      <w:bodyDiv w:val="1"/>
      <w:marLeft w:val="0"/>
      <w:marRight w:val="0"/>
      <w:marTop w:val="0"/>
      <w:marBottom w:val="0"/>
      <w:divBdr>
        <w:top w:val="none" w:sz="0" w:space="0" w:color="auto"/>
        <w:left w:val="none" w:sz="0" w:space="0" w:color="auto"/>
        <w:bottom w:val="none" w:sz="0" w:space="0" w:color="auto"/>
        <w:right w:val="none" w:sz="0" w:space="0" w:color="auto"/>
      </w:divBdr>
    </w:div>
    <w:div w:id="464664711">
      <w:bodyDiv w:val="1"/>
      <w:marLeft w:val="0"/>
      <w:marRight w:val="0"/>
      <w:marTop w:val="0"/>
      <w:marBottom w:val="0"/>
      <w:divBdr>
        <w:top w:val="none" w:sz="0" w:space="0" w:color="auto"/>
        <w:left w:val="none" w:sz="0" w:space="0" w:color="auto"/>
        <w:bottom w:val="none" w:sz="0" w:space="0" w:color="auto"/>
        <w:right w:val="none" w:sz="0" w:space="0" w:color="auto"/>
      </w:divBdr>
    </w:div>
    <w:div w:id="477110174">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618685750">
      <w:bodyDiv w:val="1"/>
      <w:marLeft w:val="0"/>
      <w:marRight w:val="0"/>
      <w:marTop w:val="0"/>
      <w:marBottom w:val="0"/>
      <w:divBdr>
        <w:top w:val="none" w:sz="0" w:space="0" w:color="auto"/>
        <w:left w:val="none" w:sz="0" w:space="0" w:color="auto"/>
        <w:bottom w:val="none" w:sz="0" w:space="0" w:color="auto"/>
        <w:right w:val="none" w:sz="0" w:space="0" w:color="auto"/>
      </w:divBdr>
    </w:div>
    <w:div w:id="644316738">
      <w:bodyDiv w:val="1"/>
      <w:marLeft w:val="0"/>
      <w:marRight w:val="0"/>
      <w:marTop w:val="0"/>
      <w:marBottom w:val="0"/>
      <w:divBdr>
        <w:top w:val="none" w:sz="0" w:space="0" w:color="auto"/>
        <w:left w:val="none" w:sz="0" w:space="0" w:color="auto"/>
        <w:bottom w:val="none" w:sz="0" w:space="0" w:color="auto"/>
        <w:right w:val="none" w:sz="0" w:space="0" w:color="auto"/>
      </w:divBdr>
    </w:div>
    <w:div w:id="767654081">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55462741">
      <w:bodyDiv w:val="1"/>
      <w:marLeft w:val="0"/>
      <w:marRight w:val="0"/>
      <w:marTop w:val="0"/>
      <w:marBottom w:val="0"/>
      <w:divBdr>
        <w:top w:val="none" w:sz="0" w:space="0" w:color="auto"/>
        <w:left w:val="none" w:sz="0" w:space="0" w:color="auto"/>
        <w:bottom w:val="none" w:sz="0" w:space="0" w:color="auto"/>
        <w:right w:val="none" w:sz="0" w:space="0" w:color="auto"/>
      </w:divBdr>
    </w:div>
    <w:div w:id="857430262">
      <w:bodyDiv w:val="1"/>
      <w:marLeft w:val="0"/>
      <w:marRight w:val="0"/>
      <w:marTop w:val="0"/>
      <w:marBottom w:val="0"/>
      <w:divBdr>
        <w:top w:val="none" w:sz="0" w:space="0" w:color="auto"/>
        <w:left w:val="none" w:sz="0" w:space="0" w:color="auto"/>
        <w:bottom w:val="none" w:sz="0" w:space="0" w:color="auto"/>
        <w:right w:val="none" w:sz="0" w:space="0" w:color="auto"/>
      </w:divBdr>
    </w:div>
    <w:div w:id="868448208">
      <w:bodyDiv w:val="1"/>
      <w:marLeft w:val="0"/>
      <w:marRight w:val="0"/>
      <w:marTop w:val="0"/>
      <w:marBottom w:val="0"/>
      <w:divBdr>
        <w:top w:val="none" w:sz="0" w:space="0" w:color="auto"/>
        <w:left w:val="none" w:sz="0" w:space="0" w:color="auto"/>
        <w:bottom w:val="none" w:sz="0" w:space="0" w:color="auto"/>
        <w:right w:val="none" w:sz="0" w:space="0" w:color="auto"/>
      </w:divBdr>
    </w:div>
    <w:div w:id="870922159">
      <w:bodyDiv w:val="1"/>
      <w:marLeft w:val="0"/>
      <w:marRight w:val="0"/>
      <w:marTop w:val="0"/>
      <w:marBottom w:val="0"/>
      <w:divBdr>
        <w:top w:val="none" w:sz="0" w:space="0" w:color="auto"/>
        <w:left w:val="none" w:sz="0" w:space="0" w:color="auto"/>
        <w:bottom w:val="none" w:sz="0" w:space="0" w:color="auto"/>
        <w:right w:val="none" w:sz="0" w:space="0" w:color="auto"/>
      </w:divBdr>
    </w:div>
    <w:div w:id="900290765">
      <w:bodyDiv w:val="1"/>
      <w:marLeft w:val="0"/>
      <w:marRight w:val="0"/>
      <w:marTop w:val="0"/>
      <w:marBottom w:val="0"/>
      <w:divBdr>
        <w:top w:val="none" w:sz="0" w:space="0" w:color="auto"/>
        <w:left w:val="none" w:sz="0" w:space="0" w:color="auto"/>
        <w:bottom w:val="none" w:sz="0" w:space="0" w:color="auto"/>
        <w:right w:val="none" w:sz="0" w:space="0" w:color="auto"/>
      </w:divBdr>
    </w:div>
    <w:div w:id="906263097">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957831207">
      <w:bodyDiv w:val="1"/>
      <w:marLeft w:val="0"/>
      <w:marRight w:val="0"/>
      <w:marTop w:val="0"/>
      <w:marBottom w:val="0"/>
      <w:divBdr>
        <w:top w:val="none" w:sz="0" w:space="0" w:color="auto"/>
        <w:left w:val="none" w:sz="0" w:space="0" w:color="auto"/>
        <w:bottom w:val="none" w:sz="0" w:space="0" w:color="auto"/>
        <w:right w:val="none" w:sz="0" w:space="0" w:color="auto"/>
      </w:divBdr>
    </w:div>
    <w:div w:id="992416848">
      <w:bodyDiv w:val="1"/>
      <w:marLeft w:val="0"/>
      <w:marRight w:val="0"/>
      <w:marTop w:val="0"/>
      <w:marBottom w:val="0"/>
      <w:divBdr>
        <w:top w:val="none" w:sz="0" w:space="0" w:color="auto"/>
        <w:left w:val="none" w:sz="0" w:space="0" w:color="auto"/>
        <w:bottom w:val="none" w:sz="0" w:space="0" w:color="auto"/>
        <w:right w:val="none" w:sz="0" w:space="0" w:color="auto"/>
      </w:divBdr>
    </w:div>
    <w:div w:id="992953104">
      <w:bodyDiv w:val="1"/>
      <w:marLeft w:val="0"/>
      <w:marRight w:val="0"/>
      <w:marTop w:val="0"/>
      <w:marBottom w:val="0"/>
      <w:divBdr>
        <w:top w:val="none" w:sz="0" w:space="0" w:color="auto"/>
        <w:left w:val="none" w:sz="0" w:space="0" w:color="auto"/>
        <w:bottom w:val="none" w:sz="0" w:space="0" w:color="auto"/>
        <w:right w:val="none" w:sz="0" w:space="0" w:color="auto"/>
      </w:divBdr>
    </w:div>
    <w:div w:id="1002125248">
      <w:bodyDiv w:val="1"/>
      <w:marLeft w:val="0"/>
      <w:marRight w:val="0"/>
      <w:marTop w:val="0"/>
      <w:marBottom w:val="0"/>
      <w:divBdr>
        <w:top w:val="none" w:sz="0" w:space="0" w:color="auto"/>
        <w:left w:val="none" w:sz="0" w:space="0" w:color="auto"/>
        <w:bottom w:val="none" w:sz="0" w:space="0" w:color="auto"/>
        <w:right w:val="none" w:sz="0" w:space="0" w:color="auto"/>
      </w:divBdr>
    </w:div>
    <w:div w:id="1051418254">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88043759">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170372696">
      <w:bodyDiv w:val="1"/>
      <w:marLeft w:val="0"/>
      <w:marRight w:val="0"/>
      <w:marTop w:val="0"/>
      <w:marBottom w:val="0"/>
      <w:divBdr>
        <w:top w:val="none" w:sz="0" w:space="0" w:color="auto"/>
        <w:left w:val="none" w:sz="0" w:space="0" w:color="auto"/>
        <w:bottom w:val="none" w:sz="0" w:space="0" w:color="auto"/>
        <w:right w:val="none" w:sz="0" w:space="0" w:color="auto"/>
      </w:divBdr>
    </w:div>
    <w:div w:id="1206525148">
      <w:bodyDiv w:val="1"/>
      <w:marLeft w:val="0"/>
      <w:marRight w:val="0"/>
      <w:marTop w:val="0"/>
      <w:marBottom w:val="0"/>
      <w:divBdr>
        <w:top w:val="none" w:sz="0" w:space="0" w:color="auto"/>
        <w:left w:val="none" w:sz="0" w:space="0" w:color="auto"/>
        <w:bottom w:val="none" w:sz="0" w:space="0" w:color="auto"/>
        <w:right w:val="none" w:sz="0" w:space="0" w:color="auto"/>
      </w:divBdr>
    </w:div>
    <w:div w:id="1292327745">
      <w:bodyDiv w:val="1"/>
      <w:marLeft w:val="0"/>
      <w:marRight w:val="0"/>
      <w:marTop w:val="0"/>
      <w:marBottom w:val="0"/>
      <w:divBdr>
        <w:top w:val="none" w:sz="0" w:space="0" w:color="auto"/>
        <w:left w:val="none" w:sz="0" w:space="0" w:color="auto"/>
        <w:bottom w:val="none" w:sz="0" w:space="0" w:color="auto"/>
        <w:right w:val="none" w:sz="0" w:space="0" w:color="auto"/>
      </w:divBdr>
    </w:div>
    <w:div w:id="1300526673">
      <w:bodyDiv w:val="1"/>
      <w:marLeft w:val="0"/>
      <w:marRight w:val="0"/>
      <w:marTop w:val="0"/>
      <w:marBottom w:val="0"/>
      <w:divBdr>
        <w:top w:val="none" w:sz="0" w:space="0" w:color="auto"/>
        <w:left w:val="none" w:sz="0" w:space="0" w:color="auto"/>
        <w:bottom w:val="none" w:sz="0" w:space="0" w:color="auto"/>
        <w:right w:val="none" w:sz="0" w:space="0" w:color="auto"/>
      </w:divBdr>
    </w:div>
    <w:div w:id="1368067592">
      <w:bodyDiv w:val="1"/>
      <w:marLeft w:val="0"/>
      <w:marRight w:val="0"/>
      <w:marTop w:val="0"/>
      <w:marBottom w:val="0"/>
      <w:divBdr>
        <w:top w:val="none" w:sz="0" w:space="0" w:color="auto"/>
        <w:left w:val="none" w:sz="0" w:space="0" w:color="auto"/>
        <w:bottom w:val="none" w:sz="0" w:space="0" w:color="auto"/>
        <w:right w:val="none" w:sz="0" w:space="0" w:color="auto"/>
      </w:divBdr>
    </w:div>
    <w:div w:id="1461728460">
      <w:bodyDiv w:val="1"/>
      <w:marLeft w:val="0"/>
      <w:marRight w:val="0"/>
      <w:marTop w:val="0"/>
      <w:marBottom w:val="0"/>
      <w:divBdr>
        <w:top w:val="none" w:sz="0" w:space="0" w:color="auto"/>
        <w:left w:val="none" w:sz="0" w:space="0" w:color="auto"/>
        <w:bottom w:val="none" w:sz="0" w:space="0" w:color="auto"/>
        <w:right w:val="none" w:sz="0" w:space="0" w:color="auto"/>
      </w:divBdr>
    </w:div>
    <w:div w:id="1494031996">
      <w:bodyDiv w:val="1"/>
      <w:marLeft w:val="0"/>
      <w:marRight w:val="0"/>
      <w:marTop w:val="0"/>
      <w:marBottom w:val="0"/>
      <w:divBdr>
        <w:top w:val="none" w:sz="0" w:space="0" w:color="auto"/>
        <w:left w:val="none" w:sz="0" w:space="0" w:color="auto"/>
        <w:bottom w:val="none" w:sz="0" w:space="0" w:color="auto"/>
        <w:right w:val="none" w:sz="0" w:space="0" w:color="auto"/>
      </w:divBdr>
    </w:div>
    <w:div w:id="1498765588">
      <w:bodyDiv w:val="1"/>
      <w:marLeft w:val="0"/>
      <w:marRight w:val="0"/>
      <w:marTop w:val="0"/>
      <w:marBottom w:val="0"/>
      <w:divBdr>
        <w:top w:val="none" w:sz="0" w:space="0" w:color="auto"/>
        <w:left w:val="none" w:sz="0" w:space="0" w:color="auto"/>
        <w:bottom w:val="none" w:sz="0" w:space="0" w:color="auto"/>
        <w:right w:val="none" w:sz="0" w:space="0" w:color="auto"/>
      </w:divBdr>
    </w:div>
    <w:div w:id="1780755015">
      <w:bodyDiv w:val="1"/>
      <w:marLeft w:val="0"/>
      <w:marRight w:val="0"/>
      <w:marTop w:val="0"/>
      <w:marBottom w:val="0"/>
      <w:divBdr>
        <w:top w:val="none" w:sz="0" w:space="0" w:color="auto"/>
        <w:left w:val="none" w:sz="0" w:space="0" w:color="auto"/>
        <w:bottom w:val="none" w:sz="0" w:space="0" w:color="auto"/>
        <w:right w:val="none" w:sz="0" w:space="0" w:color="auto"/>
      </w:divBdr>
    </w:div>
    <w:div w:id="1847019778">
      <w:bodyDiv w:val="1"/>
      <w:marLeft w:val="0"/>
      <w:marRight w:val="0"/>
      <w:marTop w:val="0"/>
      <w:marBottom w:val="0"/>
      <w:divBdr>
        <w:top w:val="none" w:sz="0" w:space="0" w:color="auto"/>
        <w:left w:val="none" w:sz="0" w:space="0" w:color="auto"/>
        <w:bottom w:val="none" w:sz="0" w:space="0" w:color="auto"/>
        <w:right w:val="none" w:sz="0" w:space="0" w:color="auto"/>
      </w:divBdr>
    </w:div>
    <w:div w:id="1901361245">
      <w:bodyDiv w:val="1"/>
      <w:marLeft w:val="0"/>
      <w:marRight w:val="0"/>
      <w:marTop w:val="0"/>
      <w:marBottom w:val="0"/>
      <w:divBdr>
        <w:top w:val="none" w:sz="0" w:space="0" w:color="auto"/>
        <w:left w:val="none" w:sz="0" w:space="0" w:color="auto"/>
        <w:bottom w:val="none" w:sz="0" w:space="0" w:color="auto"/>
        <w:right w:val="none" w:sz="0" w:space="0" w:color="auto"/>
      </w:divBdr>
    </w:div>
    <w:div w:id="1904174146">
      <w:bodyDiv w:val="1"/>
      <w:marLeft w:val="0"/>
      <w:marRight w:val="0"/>
      <w:marTop w:val="0"/>
      <w:marBottom w:val="0"/>
      <w:divBdr>
        <w:top w:val="none" w:sz="0" w:space="0" w:color="auto"/>
        <w:left w:val="none" w:sz="0" w:space="0" w:color="auto"/>
        <w:bottom w:val="none" w:sz="0" w:space="0" w:color="auto"/>
        <w:right w:val="none" w:sz="0" w:space="0" w:color="auto"/>
      </w:divBdr>
    </w:div>
    <w:div w:id="1960867183">
      <w:bodyDiv w:val="1"/>
      <w:marLeft w:val="0"/>
      <w:marRight w:val="0"/>
      <w:marTop w:val="0"/>
      <w:marBottom w:val="0"/>
      <w:divBdr>
        <w:top w:val="none" w:sz="0" w:space="0" w:color="auto"/>
        <w:left w:val="none" w:sz="0" w:space="0" w:color="auto"/>
        <w:bottom w:val="none" w:sz="0" w:space="0" w:color="auto"/>
        <w:right w:val="none" w:sz="0" w:space="0" w:color="auto"/>
      </w:divBdr>
    </w:div>
    <w:div w:id="2031487559">
      <w:bodyDiv w:val="1"/>
      <w:marLeft w:val="0"/>
      <w:marRight w:val="0"/>
      <w:marTop w:val="0"/>
      <w:marBottom w:val="0"/>
      <w:divBdr>
        <w:top w:val="none" w:sz="0" w:space="0" w:color="auto"/>
        <w:left w:val="none" w:sz="0" w:space="0" w:color="auto"/>
        <w:bottom w:val="none" w:sz="0" w:space="0" w:color="auto"/>
        <w:right w:val="none" w:sz="0" w:space="0" w:color="auto"/>
      </w:divBdr>
    </w:div>
    <w:div w:id="2048405509">
      <w:bodyDiv w:val="1"/>
      <w:marLeft w:val="0"/>
      <w:marRight w:val="0"/>
      <w:marTop w:val="0"/>
      <w:marBottom w:val="0"/>
      <w:divBdr>
        <w:top w:val="none" w:sz="0" w:space="0" w:color="auto"/>
        <w:left w:val="none" w:sz="0" w:space="0" w:color="auto"/>
        <w:bottom w:val="none" w:sz="0" w:space="0" w:color="auto"/>
        <w:right w:val="none" w:sz="0" w:space="0" w:color="auto"/>
      </w:divBdr>
    </w:div>
    <w:div w:id="2077505605">
      <w:bodyDiv w:val="1"/>
      <w:marLeft w:val="0"/>
      <w:marRight w:val="0"/>
      <w:marTop w:val="0"/>
      <w:marBottom w:val="0"/>
      <w:divBdr>
        <w:top w:val="none" w:sz="0" w:space="0" w:color="auto"/>
        <w:left w:val="none" w:sz="0" w:space="0" w:color="auto"/>
        <w:bottom w:val="none" w:sz="0" w:space="0" w:color="auto"/>
        <w:right w:val="none" w:sz="0" w:space="0" w:color="auto"/>
      </w:divBdr>
    </w:div>
    <w:div w:id="2078438049">
      <w:bodyDiv w:val="1"/>
      <w:marLeft w:val="0"/>
      <w:marRight w:val="0"/>
      <w:marTop w:val="0"/>
      <w:marBottom w:val="0"/>
      <w:divBdr>
        <w:top w:val="none" w:sz="0" w:space="0" w:color="auto"/>
        <w:left w:val="none" w:sz="0" w:space="0" w:color="auto"/>
        <w:bottom w:val="none" w:sz="0" w:space="0" w:color="auto"/>
        <w:right w:val="none" w:sz="0" w:space="0" w:color="auto"/>
      </w:divBdr>
    </w:div>
    <w:div w:id="212148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7855</Words>
  <Characters>43208</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4</cp:revision>
  <cp:lastPrinted>2024-08-02T20:15:00Z</cp:lastPrinted>
  <dcterms:created xsi:type="dcterms:W3CDTF">2024-08-03T01:45:00Z</dcterms:created>
  <dcterms:modified xsi:type="dcterms:W3CDTF">2024-08-03T01:47:00Z</dcterms:modified>
</cp:coreProperties>
</file>