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82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8"/>
        <w:gridCol w:w="7938"/>
        <w:gridCol w:w="4252"/>
      </w:tblGrid>
      <w:tr w:rsidR="00D03186" w:rsidRPr="0069542C" w14:paraId="5BA695EE" w14:textId="77777777" w:rsidTr="00583CBD">
        <w:trPr>
          <w:trHeight w:val="893"/>
        </w:trPr>
        <w:tc>
          <w:tcPr>
            <w:tcW w:w="6068" w:type="dxa"/>
          </w:tcPr>
          <w:p w14:paraId="104E92CF" w14:textId="77777777" w:rsidR="00D03186" w:rsidRPr="0069542C" w:rsidRDefault="00D03186" w:rsidP="00680CDC">
            <w:pPr>
              <w:spacing w:line="276" w:lineRule="auto"/>
              <w:jc w:val="both"/>
              <w:rPr>
                <w:bCs/>
              </w:rPr>
            </w:pPr>
            <w:r w:rsidRPr="0069542C">
              <w:rPr>
                <w:bCs/>
              </w:rPr>
              <w:t xml:space="preserve">1)  Acuerdo: </w:t>
            </w:r>
          </w:p>
          <w:p w14:paraId="3162D34F" w14:textId="77777777" w:rsidR="00D03186" w:rsidRPr="0069542C" w:rsidRDefault="00D03186" w:rsidP="00680CDC">
            <w:pPr>
              <w:spacing w:line="276" w:lineRule="auto"/>
              <w:jc w:val="both"/>
              <w:rPr>
                <w:bCs/>
              </w:rPr>
            </w:pPr>
          </w:p>
          <w:p w14:paraId="21830F31" w14:textId="5F76248F" w:rsidR="00D03186" w:rsidRDefault="00583117" w:rsidP="00652173">
            <w:pPr>
              <w:spacing w:line="276" w:lineRule="auto"/>
              <w:jc w:val="both"/>
              <w:rPr>
                <w:bCs/>
                <w:lang w:val="es-MX"/>
              </w:rPr>
            </w:pPr>
            <w:r>
              <w:rPr>
                <w:bCs/>
                <w:lang w:val="es-MX"/>
              </w:rPr>
              <w:t>PRIMERO</w:t>
            </w:r>
            <w:r w:rsidR="00D03186" w:rsidRPr="008F70FE">
              <w:rPr>
                <w:bCs/>
                <w:lang w:val="es-MX"/>
              </w:rPr>
              <w:t>:</w:t>
            </w:r>
            <w:r w:rsidR="00D03186">
              <w:rPr>
                <w:bCs/>
                <w:lang w:val="es-MX"/>
              </w:rPr>
              <w:t xml:space="preserve"> </w:t>
            </w:r>
            <w:r w:rsidRPr="00583117">
              <w:rPr>
                <w:bCs/>
                <w:lang w:val="es-MX"/>
              </w:rPr>
              <w:t>La Sexagésima Sexta Legislatura del Honorable Congreso del Estado Libre y Soberano de Guanajuato formula un atento y respetuoso exhorto a la Secretaría de Agricultura y Desarrollo Rural y a la Comisión Federal de Electricidad para que, en el ámbito de sus respectivas atribuciones, y considerando que el plazo actualmente establecido para la regularización dentro del Programa Especial de Energía para el Campo vence el 28 de abril del presente año, valoren la ampliación de dicho término, a efecto de brindar a las y los productores agrícolas condiciones razonables para cumplir con los requisitos técnicos previstos en el referido programa.</w:t>
            </w:r>
          </w:p>
          <w:p w14:paraId="159904E5" w14:textId="77777777" w:rsidR="00583117" w:rsidRDefault="00583117" w:rsidP="00652173">
            <w:pPr>
              <w:spacing w:line="276" w:lineRule="auto"/>
              <w:jc w:val="both"/>
              <w:rPr>
                <w:bCs/>
                <w:lang w:val="es-MX"/>
              </w:rPr>
            </w:pPr>
          </w:p>
          <w:p w14:paraId="5F0AA85E" w14:textId="0B7F4D54" w:rsidR="00583117" w:rsidRPr="004C1B22" w:rsidRDefault="00583117" w:rsidP="00652173">
            <w:pPr>
              <w:spacing w:line="276" w:lineRule="auto"/>
              <w:jc w:val="both"/>
              <w:rPr>
                <w:bCs/>
                <w:lang w:val="es-MX"/>
              </w:rPr>
            </w:pPr>
            <w:r>
              <w:rPr>
                <w:bCs/>
                <w:lang w:val="es-MX"/>
              </w:rPr>
              <w:t xml:space="preserve">SEGUNDO. </w:t>
            </w:r>
            <w:r w:rsidRPr="00583117">
              <w:rPr>
                <w:bCs/>
                <w:lang w:val="es-MX"/>
              </w:rPr>
              <w:t xml:space="preserve">Asimismo, se solicita que el proceso de regularización de las instalaciones eléctricas, así como la presentación de los dictámenes emitidos por las Unidades de Verificación de Instalaciones Eléctricas, se instrumente de manera gradual y progresiva, tomando en consideración la capacidad económica y operativa de los productores, con el propósito de evitar afectaciones a la producción agrícola y </w:t>
            </w:r>
            <w:r w:rsidRPr="00583117">
              <w:rPr>
                <w:bCs/>
                <w:lang w:val="es-MX"/>
              </w:rPr>
              <w:lastRenderedPageBreak/>
              <w:t>garantizar la continuidad de las actividades del sector en el estado de Guanajuato y en el resto del país.</w:t>
            </w:r>
          </w:p>
          <w:p w14:paraId="2F76AA65" w14:textId="77777777" w:rsidR="00D03186" w:rsidRDefault="00D03186" w:rsidP="00652173">
            <w:pPr>
              <w:spacing w:line="276" w:lineRule="auto"/>
              <w:jc w:val="both"/>
              <w:rPr>
                <w:bCs/>
              </w:rPr>
            </w:pPr>
          </w:p>
          <w:p w14:paraId="78843D6D" w14:textId="35ADE891" w:rsidR="00D03186" w:rsidRPr="00652173" w:rsidRDefault="00D03186" w:rsidP="00652173">
            <w:pPr>
              <w:spacing w:line="276" w:lineRule="auto"/>
              <w:jc w:val="both"/>
              <w:rPr>
                <w:bCs/>
                <w:lang w:val="es-MX"/>
              </w:rPr>
            </w:pPr>
          </w:p>
          <w:p w14:paraId="1E06B6DE" w14:textId="3367E98A" w:rsidR="00D03186" w:rsidRPr="00454B92" w:rsidRDefault="00D03186" w:rsidP="00454B92">
            <w:pPr>
              <w:spacing w:line="276" w:lineRule="auto"/>
              <w:jc w:val="both"/>
              <w:rPr>
                <w:lang w:val="es-MX"/>
              </w:rPr>
            </w:pPr>
          </w:p>
          <w:p w14:paraId="04357D88" w14:textId="2DB72831" w:rsidR="00D03186" w:rsidRPr="0069542C" w:rsidRDefault="00D03186" w:rsidP="00680CDC">
            <w:pPr>
              <w:spacing w:line="276" w:lineRule="auto"/>
              <w:jc w:val="both"/>
              <w:rPr>
                <w:bCs/>
              </w:rPr>
            </w:pPr>
          </w:p>
          <w:p w14:paraId="131D727F" w14:textId="77777777" w:rsidR="00D03186" w:rsidRPr="0069542C" w:rsidRDefault="00D03186" w:rsidP="00680CDC">
            <w:pPr>
              <w:spacing w:line="276" w:lineRule="auto"/>
              <w:jc w:val="both"/>
              <w:rPr>
                <w:bCs/>
              </w:rPr>
            </w:pPr>
          </w:p>
          <w:p w14:paraId="6BBE2C6E" w14:textId="77777777" w:rsidR="00D03186" w:rsidRPr="0069542C" w:rsidRDefault="00D03186" w:rsidP="0049218B">
            <w:pPr>
              <w:spacing w:line="276" w:lineRule="auto"/>
              <w:jc w:val="both"/>
              <w:rPr>
                <w:bCs/>
              </w:rPr>
            </w:pPr>
          </w:p>
        </w:tc>
        <w:tc>
          <w:tcPr>
            <w:tcW w:w="7938" w:type="dxa"/>
          </w:tcPr>
          <w:p w14:paraId="240FA245" w14:textId="49763085" w:rsidR="00D03186" w:rsidRPr="00654A54" w:rsidRDefault="00D03186" w:rsidP="00B43A5C">
            <w:pPr>
              <w:spacing w:line="276" w:lineRule="auto"/>
              <w:jc w:val="both"/>
              <w:rPr>
                <w:bCs/>
                <w:lang w:val="es-MX"/>
              </w:rPr>
            </w:pPr>
            <w:r w:rsidRPr="00654A54">
              <w:rPr>
                <w:bCs/>
                <w:lang w:val="es-MX"/>
              </w:rPr>
              <w:lastRenderedPageBreak/>
              <w:t xml:space="preserve"> </w:t>
            </w:r>
          </w:p>
          <w:p w14:paraId="54CB1701" w14:textId="77777777" w:rsidR="00D03186" w:rsidRDefault="00D03186" w:rsidP="00454B92">
            <w:pPr>
              <w:spacing w:line="276" w:lineRule="auto"/>
              <w:jc w:val="both"/>
              <w:rPr>
                <w:b/>
                <w:lang w:val="es-MX"/>
              </w:rPr>
            </w:pPr>
            <w:bookmarkStart w:id="0" w:name="_Hlk194919360"/>
          </w:p>
          <w:p w14:paraId="61C111B1" w14:textId="3CEAD34A" w:rsidR="00D03186" w:rsidRDefault="00583117" w:rsidP="00454B92">
            <w:pPr>
              <w:spacing w:line="276" w:lineRule="auto"/>
              <w:jc w:val="both"/>
              <w:rPr>
                <w:b/>
                <w:lang w:val="es-MX"/>
              </w:rPr>
            </w:pPr>
            <w:r>
              <w:rPr>
                <w:b/>
                <w:lang w:val="es-MX"/>
              </w:rPr>
              <w:t>Unidad de Estudio de las Finanzas Públicas del Congreso del Estado de Guanajuato</w:t>
            </w:r>
            <w:r w:rsidR="00D03186" w:rsidRPr="00EF0E82">
              <w:rPr>
                <w:b/>
                <w:lang w:val="es-MX"/>
              </w:rPr>
              <w:t>:</w:t>
            </w:r>
            <w:bookmarkEnd w:id="0"/>
          </w:p>
          <w:p w14:paraId="2C4981D3" w14:textId="77777777" w:rsidR="00583117" w:rsidRDefault="00583117" w:rsidP="00454B92">
            <w:pPr>
              <w:spacing w:line="276" w:lineRule="auto"/>
              <w:jc w:val="both"/>
              <w:rPr>
                <w:b/>
                <w:lang w:val="es-MX"/>
              </w:rPr>
            </w:pPr>
          </w:p>
          <w:p w14:paraId="58F44385" w14:textId="1F2C6A76" w:rsidR="00583117" w:rsidRDefault="00583117" w:rsidP="00454B92">
            <w:pPr>
              <w:spacing w:line="276" w:lineRule="auto"/>
              <w:jc w:val="both"/>
              <w:rPr>
                <w:b/>
                <w:lang w:val="es-MX"/>
              </w:rPr>
            </w:pPr>
            <w:r w:rsidRPr="00583117">
              <w:rPr>
                <w:b/>
                <w:lang w:val="es-MX"/>
              </w:rPr>
              <w:t>Introducción</w:t>
            </w:r>
          </w:p>
          <w:p w14:paraId="5596AA30" w14:textId="77777777" w:rsidR="00583117" w:rsidRDefault="00583117" w:rsidP="00454B92">
            <w:pPr>
              <w:spacing w:line="276" w:lineRule="auto"/>
              <w:jc w:val="both"/>
              <w:rPr>
                <w:b/>
                <w:lang w:val="es-MX"/>
              </w:rPr>
            </w:pPr>
          </w:p>
          <w:p w14:paraId="2F33B573" w14:textId="44692DD2" w:rsidR="00583117" w:rsidRPr="00583117" w:rsidRDefault="00583117" w:rsidP="00454B92">
            <w:pPr>
              <w:spacing w:line="276" w:lineRule="auto"/>
              <w:jc w:val="both"/>
              <w:rPr>
                <w:bCs/>
                <w:lang w:val="es-MX"/>
              </w:rPr>
            </w:pPr>
            <w:r w:rsidRPr="00583117">
              <w:rPr>
                <w:bCs/>
                <w:lang w:val="es-MX"/>
              </w:rPr>
              <w:t>El sector agrícola en México, y particularmente en Guanajuato, enfrenta retos críticos como el cambio climático, la volatilidad de precios en insumos y la disminución de apoyos a través de programas gubernamentales. En este contexto, el acceso a energía eléctrica a costos competitivos es vital para el bombeo de agua de riego, actividad que sostiene la productividad de miles de hectáreas del campo mexicano. El Programa Especial de Energía para el Campo (PEUA) surge como una respuesta estratégica del gobierno federal para mitigar estos costos mediante tarifas preferenciales (específicamente las tarifas 9CU y 9N)</w:t>
            </w:r>
          </w:p>
          <w:p w14:paraId="7F94D21A" w14:textId="77777777" w:rsidR="00583117" w:rsidRDefault="00583117" w:rsidP="00454B92">
            <w:pPr>
              <w:spacing w:line="276" w:lineRule="auto"/>
              <w:jc w:val="both"/>
              <w:rPr>
                <w:b/>
                <w:lang w:val="es-MX"/>
              </w:rPr>
            </w:pPr>
          </w:p>
          <w:p w14:paraId="1A05B69C" w14:textId="683B40C2" w:rsidR="00583117" w:rsidRDefault="00583117" w:rsidP="00454B92">
            <w:pPr>
              <w:spacing w:line="276" w:lineRule="auto"/>
              <w:jc w:val="both"/>
              <w:rPr>
                <w:bCs/>
                <w:lang w:val="es-MX"/>
              </w:rPr>
            </w:pPr>
            <w:r w:rsidRPr="00583117">
              <w:rPr>
                <w:bCs/>
                <w:lang w:val="es-MX"/>
              </w:rPr>
              <w:t>De acuerdo con el Gobierno de México, el PEUA tiene como finalidad que las personas físicas y morales que realicen actividades agrícolas, y que utilicen energía eléctrica en el bombeo y rebombeo de agua para uso de riego agrícola, sean beneficiarios de la cuota energética de energía eléctrica a tarifas de estímulo, para incentivar los procesos primarios de las actividades agrícolas.</w:t>
            </w:r>
          </w:p>
          <w:p w14:paraId="30BC14C4" w14:textId="77777777" w:rsidR="00583117" w:rsidRPr="00583117" w:rsidRDefault="00583117" w:rsidP="00454B92">
            <w:pPr>
              <w:spacing w:line="276" w:lineRule="auto"/>
              <w:jc w:val="both"/>
              <w:rPr>
                <w:bCs/>
                <w:lang w:val="es-MX"/>
              </w:rPr>
            </w:pPr>
          </w:p>
          <w:p w14:paraId="13FE29F3" w14:textId="77777777" w:rsidR="00583117" w:rsidRDefault="00583117" w:rsidP="00454B92">
            <w:pPr>
              <w:spacing w:line="276" w:lineRule="auto"/>
              <w:jc w:val="both"/>
              <w:rPr>
                <w:b/>
                <w:lang w:val="es-MX"/>
              </w:rPr>
            </w:pPr>
          </w:p>
          <w:p w14:paraId="0851A365" w14:textId="46A77224" w:rsidR="00583117" w:rsidRDefault="00583117" w:rsidP="00454B92">
            <w:pPr>
              <w:spacing w:line="276" w:lineRule="auto"/>
              <w:jc w:val="both"/>
              <w:rPr>
                <w:b/>
                <w:lang w:val="es-MX"/>
              </w:rPr>
            </w:pPr>
            <w:r w:rsidRPr="00583117">
              <w:rPr>
                <w:b/>
                <w:lang w:val="es-MX"/>
              </w:rPr>
              <w:lastRenderedPageBreak/>
              <w:t>El Sector Agrícola de México</w:t>
            </w:r>
          </w:p>
          <w:p w14:paraId="75FA48D1" w14:textId="77777777" w:rsidR="00583117" w:rsidRDefault="00583117" w:rsidP="00454B92">
            <w:pPr>
              <w:spacing w:line="276" w:lineRule="auto"/>
              <w:jc w:val="both"/>
              <w:rPr>
                <w:b/>
                <w:lang w:val="es-MX"/>
              </w:rPr>
            </w:pPr>
          </w:p>
          <w:p w14:paraId="2C617400" w14:textId="6E1D1F29" w:rsidR="00583117" w:rsidRPr="00583117" w:rsidRDefault="00583117" w:rsidP="00454B92">
            <w:pPr>
              <w:spacing w:line="276" w:lineRule="auto"/>
              <w:jc w:val="both"/>
              <w:rPr>
                <w:bCs/>
                <w:lang w:val="es-MX"/>
              </w:rPr>
            </w:pPr>
            <w:r w:rsidRPr="00583117">
              <w:rPr>
                <w:bCs/>
                <w:lang w:val="es-MX"/>
              </w:rPr>
              <w:t>El Censo Agropecuario 20222, elaborado por el Instituto Nacional de Estadística y Geografía (INEGI), constituye una fuente de información sobre el campo mexicano, siendo fundamental para la toma de decisiones, la investigación y el diseño de políticas públicas. Su importancia radica en que permite conocer qué, cuánto y cómo se produce en México.</w:t>
            </w:r>
          </w:p>
          <w:p w14:paraId="5A49C69C" w14:textId="77777777" w:rsidR="00583117" w:rsidRDefault="00583117" w:rsidP="00454B92">
            <w:pPr>
              <w:spacing w:line="276" w:lineRule="auto"/>
              <w:jc w:val="both"/>
              <w:rPr>
                <w:b/>
                <w:lang w:val="es-MX"/>
              </w:rPr>
            </w:pPr>
          </w:p>
          <w:p w14:paraId="6E252E11" w14:textId="2F553981" w:rsidR="00583117" w:rsidRPr="00583117" w:rsidRDefault="00583117" w:rsidP="00454B92">
            <w:pPr>
              <w:spacing w:line="276" w:lineRule="auto"/>
              <w:jc w:val="both"/>
              <w:rPr>
                <w:bCs/>
                <w:lang w:val="es-MX"/>
              </w:rPr>
            </w:pPr>
            <w:r w:rsidRPr="00583117">
              <w:rPr>
                <w:bCs/>
                <w:lang w:val="es-MX"/>
              </w:rPr>
              <w:t>De acuerdo con los resultados del Censo, en el país existe una superficie con uso agrícola de 29.8 millones de hectáreas, en donde existen 5.1 millones de unidades de producción, de las cuales 4.6 millones se encuentran activas.</w:t>
            </w:r>
          </w:p>
          <w:p w14:paraId="551EEAEE" w14:textId="77777777" w:rsidR="00583117" w:rsidRDefault="00583117" w:rsidP="00454B92">
            <w:pPr>
              <w:spacing w:line="276" w:lineRule="auto"/>
              <w:jc w:val="both"/>
              <w:rPr>
                <w:b/>
                <w:lang w:val="es-MX"/>
              </w:rPr>
            </w:pPr>
          </w:p>
          <w:p w14:paraId="6CFC0DC8" w14:textId="6D0C2644" w:rsidR="00583117" w:rsidRPr="00583117" w:rsidRDefault="00583117" w:rsidP="00454B92">
            <w:pPr>
              <w:spacing w:line="276" w:lineRule="auto"/>
              <w:jc w:val="both"/>
              <w:rPr>
                <w:bCs/>
                <w:lang w:val="es-MX"/>
              </w:rPr>
            </w:pPr>
            <w:r w:rsidRPr="00583117">
              <w:rPr>
                <w:bCs/>
                <w:lang w:val="es-MX"/>
              </w:rPr>
              <w:t>En lo que se refiere a la modalidad hídrica, el 74% de la superficie agrícola es de temporal, mientras que el 26% cuenta con sistemas de riego.</w:t>
            </w:r>
          </w:p>
          <w:p w14:paraId="4FDEAF72" w14:textId="77777777" w:rsidR="00583117" w:rsidRDefault="00583117" w:rsidP="00454B92">
            <w:pPr>
              <w:spacing w:line="276" w:lineRule="auto"/>
              <w:jc w:val="both"/>
              <w:rPr>
                <w:b/>
                <w:lang w:val="es-MX"/>
              </w:rPr>
            </w:pPr>
          </w:p>
          <w:p w14:paraId="1477E96B" w14:textId="2E9CA182" w:rsidR="00583117" w:rsidRDefault="00583117" w:rsidP="00454B92">
            <w:pPr>
              <w:spacing w:line="276" w:lineRule="auto"/>
              <w:jc w:val="both"/>
              <w:rPr>
                <w:b/>
                <w:lang w:val="es-MX"/>
              </w:rPr>
            </w:pPr>
            <w:r w:rsidRPr="00583117">
              <w:rPr>
                <w:b/>
                <w:noProof/>
                <w:lang w:val="es-MX"/>
              </w:rPr>
              <w:drawing>
                <wp:inline distT="0" distB="0" distL="0" distR="0" wp14:anchorId="49ECB9F0" wp14:editId="19A6117E">
                  <wp:extent cx="3543795" cy="2324424"/>
                  <wp:effectExtent l="0" t="0" r="0" b="0"/>
                  <wp:docPr id="17142723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72318" name=""/>
                          <pic:cNvPicPr/>
                        </pic:nvPicPr>
                        <pic:blipFill>
                          <a:blip r:embed="rId8"/>
                          <a:stretch>
                            <a:fillRect/>
                          </a:stretch>
                        </pic:blipFill>
                        <pic:spPr>
                          <a:xfrm>
                            <a:off x="0" y="0"/>
                            <a:ext cx="3543795" cy="2324424"/>
                          </a:xfrm>
                          <a:prstGeom prst="rect">
                            <a:avLst/>
                          </a:prstGeom>
                        </pic:spPr>
                      </pic:pic>
                    </a:graphicData>
                  </a:graphic>
                </wp:inline>
              </w:drawing>
            </w:r>
          </w:p>
          <w:p w14:paraId="15F0BCA5" w14:textId="0CADA2D6" w:rsidR="00583117" w:rsidRPr="00583117" w:rsidRDefault="00583117" w:rsidP="00454B92">
            <w:pPr>
              <w:spacing w:line="276" w:lineRule="auto"/>
              <w:jc w:val="both"/>
              <w:rPr>
                <w:bCs/>
                <w:lang w:val="es-MX"/>
              </w:rPr>
            </w:pPr>
            <w:r w:rsidRPr="00583117">
              <w:rPr>
                <w:bCs/>
                <w:lang w:val="es-MX"/>
              </w:rPr>
              <w:lastRenderedPageBreak/>
              <w:t xml:space="preserve">Con relación a los sistemas de riego en las unidades de producción, el 79.2% corresponde a sistemas de gravedad, el 12.8% a sistemas goteo y el restante se divide en sistemas de aspersión, microaspersión y otros sistemas.  </w:t>
            </w:r>
          </w:p>
          <w:p w14:paraId="21D5A0E8" w14:textId="77777777" w:rsidR="00583117" w:rsidRDefault="00583117" w:rsidP="00454B92">
            <w:pPr>
              <w:spacing w:line="276" w:lineRule="auto"/>
              <w:jc w:val="both"/>
              <w:rPr>
                <w:b/>
                <w:lang w:val="es-MX"/>
              </w:rPr>
            </w:pPr>
          </w:p>
          <w:p w14:paraId="320BDB32" w14:textId="646BAA91" w:rsidR="00583117" w:rsidRDefault="00583117" w:rsidP="00454B92">
            <w:pPr>
              <w:spacing w:line="276" w:lineRule="auto"/>
              <w:jc w:val="both"/>
              <w:rPr>
                <w:b/>
                <w:lang w:val="es-MX"/>
              </w:rPr>
            </w:pPr>
            <w:r w:rsidRPr="00583117">
              <w:rPr>
                <w:b/>
                <w:noProof/>
                <w:lang w:val="es-MX"/>
              </w:rPr>
              <w:drawing>
                <wp:inline distT="0" distB="0" distL="0" distR="0" wp14:anchorId="117B571E" wp14:editId="43C9D697">
                  <wp:extent cx="3572374" cy="2514951"/>
                  <wp:effectExtent l="0" t="0" r="9525" b="0"/>
                  <wp:docPr id="15952472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247217" name=""/>
                          <pic:cNvPicPr/>
                        </pic:nvPicPr>
                        <pic:blipFill>
                          <a:blip r:embed="rId9"/>
                          <a:stretch>
                            <a:fillRect/>
                          </a:stretch>
                        </pic:blipFill>
                        <pic:spPr>
                          <a:xfrm>
                            <a:off x="0" y="0"/>
                            <a:ext cx="3572374" cy="2514951"/>
                          </a:xfrm>
                          <a:prstGeom prst="rect">
                            <a:avLst/>
                          </a:prstGeom>
                        </pic:spPr>
                      </pic:pic>
                    </a:graphicData>
                  </a:graphic>
                </wp:inline>
              </w:drawing>
            </w:r>
          </w:p>
          <w:p w14:paraId="225B8DCD" w14:textId="77777777" w:rsidR="00583117" w:rsidRDefault="00583117" w:rsidP="00454B92">
            <w:pPr>
              <w:spacing w:line="276" w:lineRule="auto"/>
              <w:jc w:val="both"/>
              <w:rPr>
                <w:b/>
                <w:lang w:val="es-MX"/>
              </w:rPr>
            </w:pPr>
          </w:p>
          <w:p w14:paraId="34FE1476" w14:textId="14729205" w:rsidR="00583117" w:rsidRPr="00583117" w:rsidRDefault="00583117" w:rsidP="00454B92">
            <w:pPr>
              <w:spacing w:line="276" w:lineRule="auto"/>
              <w:jc w:val="both"/>
              <w:rPr>
                <w:bCs/>
                <w:lang w:val="es-MX"/>
              </w:rPr>
            </w:pPr>
            <w:r w:rsidRPr="00583117">
              <w:rPr>
                <w:bCs/>
                <w:lang w:val="es-MX"/>
              </w:rPr>
              <w:t>En cuanto a la productividad, la producción de granos como son el arroz, frijol, maíz, trigo, entre otros, alcanzó 34.6 millones de toneladas, en donde seis entidades federativas concentran el 63.8% de la producción nacional. Estas entidades son Sinaloa, Jalisco, Tamaulipas, Guanajuato, Michoacán de Ocampo y Sonora.</w:t>
            </w:r>
          </w:p>
          <w:p w14:paraId="01BFA16B" w14:textId="77777777" w:rsidR="00583117" w:rsidRDefault="00583117" w:rsidP="00454B92">
            <w:pPr>
              <w:spacing w:line="276" w:lineRule="auto"/>
              <w:jc w:val="both"/>
              <w:rPr>
                <w:b/>
                <w:lang w:val="es-MX"/>
              </w:rPr>
            </w:pPr>
          </w:p>
          <w:p w14:paraId="3279C95A" w14:textId="5A2DCE15" w:rsidR="00583117" w:rsidRPr="00583117" w:rsidRDefault="00583117" w:rsidP="00454B92">
            <w:pPr>
              <w:spacing w:line="276" w:lineRule="auto"/>
              <w:jc w:val="both"/>
              <w:rPr>
                <w:bCs/>
                <w:lang w:val="es-MX"/>
              </w:rPr>
            </w:pPr>
            <w:r w:rsidRPr="00583117">
              <w:rPr>
                <w:bCs/>
                <w:lang w:val="es-MX"/>
              </w:rPr>
              <w:t>El maíz blanco es el cultivo predominante con 21.9 millones de toneladas producidas.</w:t>
            </w:r>
          </w:p>
          <w:p w14:paraId="2586B836" w14:textId="77777777" w:rsidR="00583117" w:rsidRDefault="00583117" w:rsidP="00454B92">
            <w:pPr>
              <w:spacing w:line="276" w:lineRule="auto"/>
              <w:jc w:val="both"/>
              <w:rPr>
                <w:b/>
                <w:lang w:val="es-MX"/>
              </w:rPr>
            </w:pPr>
          </w:p>
          <w:p w14:paraId="3CDD1BB3" w14:textId="54BC437B" w:rsidR="00583117" w:rsidRPr="00583117" w:rsidRDefault="00583117" w:rsidP="00454B92">
            <w:pPr>
              <w:spacing w:line="276" w:lineRule="auto"/>
              <w:jc w:val="both"/>
              <w:rPr>
                <w:bCs/>
                <w:lang w:val="es-MX"/>
              </w:rPr>
            </w:pPr>
            <w:r w:rsidRPr="00583117">
              <w:rPr>
                <w:bCs/>
                <w:lang w:val="es-MX"/>
              </w:rPr>
              <w:lastRenderedPageBreak/>
              <w:t xml:space="preserve">Sobre el impacto que genera la energía en este importante sector económico, Cruz (2013) menciona que el uso de energía en los sistemas agrícolas incluye tanto fuentes comerciales de energía (electricidad, combustibles fósiles) como no comerciales (humana, animal, solar), por lo que el estudio de consumo se enfoca a las fuentes comerciales debido a que éstas están sujetas a la escasez, </w:t>
            </w:r>
            <w:proofErr w:type="gramStart"/>
            <w:r w:rsidRPr="00583117">
              <w:rPr>
                <w:bCs/>
                <w:lang w:val="es-MX"/>
              </w:rPr>
              <w:t>a la alza</w:t>
            </w:r>
            <w:proofErr w:type="gramEnd"/>
            <w:r w:rsidRPr="00583117">
              <w:rPr>
                <w:bCs/>
                <w:lang w:val="es-MX"/>
              </w:rPr>
              <w:t xml:space="preserve"> de precios y a la interrupción del suministro.</w:t>
            </w:r>
          </w:p>
          <w:p w14:paraId="1ECB8E74" w14:textId="77777777" w:rsidR="00583117" w:rsidRDefault="00583117" w:rsidP="00454B92">
            <w:pPr>
              <w:spacing w:line="276" w:lineRule="auto"/>
              <w:jc w:val="both"/>
              <w:rPr>
                <w:b/>
                <w:lang w:val="es-MX"/>
              </w:rPr>
            </w:pPr>
          </w:p>
          <w:p w14:paraId="578D3364" w14:textId="176DF521" w:rsidR="00583117" w:rsidRPr="00583117" w:rsidRDefault="00583117" w:rsidP="00454B92">
            <w:pPr>
              <w:spacing w:line="276" w:lineRule="auto"/>
              <w:jc w:val="both"/>
              <w:rPr>
                <w:bCs/>
                <w:lang w:val="es-MX"/>
              </w:rPr>
            </w:pPr>
            <w:r w:rsidRPr="00583117">
              <w:rPr>
                <w:bCs/>
                <w:lang w:val="es-MX"/>
              </w:rPr>
              <w:t>El consumo de energía en el sector agropecuario se puede dividir en dos categorías: usos directos e indirectos. Los directos ocurren dentro de las unidades de producción, como el uso de electricidad para el bombeo de agua o diésel para labores agrícolas. Los indirectos se realizan fuera de estas unidades y corresponden a la energía empleada en la fabricación de insumos necesarios, como fertilizantes y plaguicidas.</w:t>
            </w:r>
          </w:p>
          <w:p w14:paraId="71AB61D1" w14:textId="77777777" w:rsidR="00583117" w:rsidRDefault="00583117" w:rsidP="00454B92">
            <w:pPr>
              <w:spacing w:line="276" w:lineRule="auto"/>
              <w:jc w:val="both"/>
              <w:rPr>
                <w:b/>
                <w:lang w:val="es-MX"/>
              </w:rPr>
            </w:pPr>
          </w:p>
          <w:p w14:paraId="30FA13F7" w14:textId="58CD8B88" w:rsidR="00583117" w:rsidRPr="00583117" w:rsidRDefault="00583117" w:rsidP="00454B92">
            <w:pPr>
              <w:spacing w:line="276" w:lineRule="auto"/>
              <w:jc w:val="both"/>
              <w:rPr>
                <w:bCs/>
                <w:lang w:val="es-MX"/>
              </w:rPr>
            </w:pPr>
            <w:r w:rsidRPr="00583117">
              <w:rPr>
                <w:bCs/>
                <w:lang w:val="es-MX"/>
              </w:rPr>
              <w:t>Además, Cruz (2013) destaca que la electricidad es el segundo energético más utilizado en el campo. El total de ventas de electricidad registradas por la Comisión Federal de Electricidad (CFE) para este sector, se debe al bombeo de aguas superficiales o subterráneas hacia los cultivos. Dicho consumo se realiza bajo cualquier modalidad de la tarifa 9 y de acuerdo con datos publicados por CFE, en el año 2010 existían 119,214 usuarios de dicha tarifa.</w:t>
            </w:r>
          </w:p>
          <w:p w14:paraId="16F985E0" w14:textId="77777777" w:rsidR="00583117" w:rsidRDefault="00583117" w:rsidP="00454B92">
            <w:pPr>
              <w:spacing w:line="276" w:lineRule="auto"/>
              <w:jc w:val="both"/>
              <w:rPr>
                <w:b/>
                <w:lang w:val="es-MX"/>
              </w:rPr>
            </w:pPr>
          </w:p>
          <w:p w14:paraId="56623007" w14:textId="6867B4D0" w:rsidR="00583117" w:rsidRPr="00583117" w:rsidRDefault="00583117" w:rsidP="00454B92">
            <w:pPr>
              <w:spacing w:line="276" w:lineRule="auto"/>
              <w:jc w:val="both"/>
              <w:rPr>
                <w:bCs/>
                <w:lang w:val="es-MX"/>
              </w:rPr>
            </w:pPr>
            <w:r w:rsidRPr="00583117">
              <w:rPr>
                <w:bCs/>
                <w:lang w:val="es-MX"/>
              </w:rPr>
              <w:t xml:space="preserve">De acuerdo con datos del “Balance Nacional de Energía 2024” publicado por la Secretaría de Energía (SENER), el consumo energético del sector agropecuario fue de 188.02 </w:t>
            </w:r>
            <w:proofErr w:type="spellStart"/>
            <w:r w:rsidRPr="00583117">
              <w:rPr>
                <w:bCs/>
                <w:lang w:val="es-MX"/>
              </w:rPr>
              <w:t>Petajulios</w:t>
            </w:r>
            <w:proofErr w:type="spellEnd"/>
            <w:r w:rsidRPr="00583117">
              <w:rPr>
                <w:bCs/>
                <w:lang w:val="es-MX"/>
              </w:rPr>
              <w:t xml:space="preserve"> (PJ), en donde la energía eléctrica representó el 28.7% del consumo energético que equivale a 53.88 PJ anuales.</w:t>
            </w:r>
          </w:p>
          <w:p w14:paraId="5DA606D9" w14:textId="77777777" w:rsidR="00583117" w:rsidRPr="00583117" w:rsidRDefault="00583117" w:rsidP="00454B92">
            <w:pPr>
              <w:spacing w:line="276" w:lineRule="auto"/>
              <w:jc w:val="both"/>
              <w:rPr>
                <w:bCs/>
                <w:lang w:val="es-MX"/>
              </w:rPr>
            </w:pPr>
          </w:p>
          <w:p w14:paraId="4D04D5A3" w14:textId="13D18517" w:rsidR="00583117" w:rsidRDefault="00583117" w:rsidP="00454B92">
            <w:pPr>
              <w:spacing w:line="276" w:lineRule="auto"/>
              <w:jc w:val="both"/>
              <w:rPr>
                <w:b/>
                <w:lang w:val="es-MX"/>
              </w:rPr>
            </w:pPr>
            <w:r w:rsidRPr="00583117">
              <w:rPr>
                <w:bCs/>
                <w:lang w:val="es-MX"/>
              </w:rPr>
              <w:lastRenderedPageBreak/>
              <w:t>En el periodo de 2010-2024, el consumo de energía eléctrica se ha mantenido constante con un promedio anual de consumo de 43.59 PJ.</w:t>
            </w:r>
          </w:p>
          <w:p w14:paraId="500991BD" w14:textId="77777777" w:rsidR="00583117" w:rsidRDefault="00583117" w:rsidP="00454B92">
            <w:pPr>
              <w:spacing w:line="276" w:lineRule="auto"/>
              <w:jc w:val="both"/>
              <w:rPr>
                <w:b/>
                <w:lang w:val="es-MX"/>
              </w:rPr>
            </w:pPr>
          </w:p>
          <w:p w14:paraId="2DA2845C" w14:textId="63525E0D" w:rsidR="00583117" w:rsidRDefault="00583117" w:rsidP="00454B92">
            <w:pPr>
              <w:spacing w:line="276" w:lineRule="auto"/>
              <w:jc w:val="both"/>
              <w:rPr>
                <w:b/>
                <w:lang w:val="es-MX"/>
              </w:rPr>
            </w:pPr>
            <w:r w:rsidRPr="00583117">
              <w:rPr>
                <w:b/>
                <w:noProof/>
                <w:lang w:val="es-MX"/>
              </w:rPr>
              <w:drawing>
                <wp:inline distT="0" distB="0" distL="0" distR="0" wp14:anchorId="69EF1301" wp14:editId="13B8F7FD">
                  <wp:extent cx="4001058" cy="2543530"/>
                  <wp:effectExtent l="0" t="0" r="0" b="9525"/>
                  <wp:docPr id="12733982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98295" name=""/>
                          <pic:cNvPicPr/>
                        </pic:nvPicPr>
                        <pic:blipFill>
                          <a:blip r:embed="rId10"/>
                          <a:stretch>
                            <a:fillRect/>
                          </a:stretch>
                        </pic:blipFill>
                        <pic:spPr>
                          <a:xfrm>
                            <a:off x="0" y="0"/>
                            <a:ext cx="4001058" cy="2543530"/>
                          </a:xfrm>
                          <a:prstGeom prst="rect">
                            <a:avLst/>
                          </a:prstGeom>
                        </pic:spPr>
                      </pic:pic>
                    </a:graphicData>
                  </a:graphic>
                </wp:inline>
              </w:drawing>
            </w:r>
          </w:p>
          <w:p w14:paraId="561C2036" w14:textId="77777777" w:rsidR="00583117" w:rsidRDefault="00583117" w:rsidP="00454B92">
            <w:pPr>
              <w:spacing w:line="276" w:lineRule="auto"/>
              <w:jc w:val="both"/>
              <w:rPr>
                <w:b/>
                <w:lang w:val="es-MX"/>
              </w:rPr>
            </w:pPr>
          </w:p>
          <w:p w14:paraId="4C8B6ECE" w14:textId="3FF100EF" w:rsidR="00583117" w:rsidRPr="00583117" w:rsidRDefault="00583117" w:rsidP="00454B92">
            <w:pPr>
              <w:spacing w:line="276" w:lineRule="auto"/>
              <w:jc w:val="both"/>
              <w:rPr>
                <w:bCs/>
                <w:lang w:val="es-MX"/>
              </w:rPr>
            </w:pPr>
            <w:r w:rsidRPr="00583117">
              <w:rPr>
                <w:bCs/>
                <w:lang w:val="es-MX"/>
              </w:rPr>
              <w:t>Resulta importante mencionar que la energía eléctrica es utilizada para sistemas de riego, drenaje, bombeo de agua, iluminación, calefacción en invernaderos, entre otros.</w:t>
            </w:r>
          </w:p>
          <w:p w14:paraId="577F7F76" w14:textId="77777777" w:rsidR="00583117" w:rsidRDefault="00583117" w:rsidP="00454B92">
            <w:pPr>
              <w:spacing w:line="276" w:lineRule="auto"/>
              <w:jc w:val="both"/>
              <w:rPr>
                <w:b/>
                <w:lang w:val="es-MX"/>
              </w:rPr>
            </w:pPr>
          </w:p>
          <w:p w14:paraId="148636D2" w14:textId="3848E3F7" w:rsidR="00583117" w:rsidRPr="00583117" w:rsidRDefault="00583117" w:rsidP="00454B92">
            <w:pPr>
              <w:spacing w:line="276" w:lineRule="auto"/>
              <w:jc w:val="both"/>
              <w:rPr>
                <w:bCs/>
                <w:lang w:val="es-MX"/>
              </w:rPr>
            </w:pPr>
            <w:r w:rsidRPr="00583117">
              <w:rPr>
                <w:bCs/>
                <w:lang w:val="es-MX"/>
              </w:rPr>
              <w:t>El Programa Especial de Energía para el Campo en materia de Energía Eléctrica para Uso Agrícola (PEUA)</w:t>
            </w:r>
          </w:p>
          <w:p w14:paraId="402FDE9A" w14:textId="77777777" w:rsidR="00583117" w:rsidRDefault="00583117" w:rsidP="00454B92">
            <w:pPr>
              <w:spacing w:line="276" w:lineRule="auto"/>
              <w:jc w:val="both"/>
              <w:rPr>
                <w:b/>
                <w:lang w:val="es-MX"/>
              </w:rPr>
            </w:pPr>
          </w:p>
          <w:p w14:paraId="283DD616" w14:textId="189C0B26" w:rsidR="00583117" w:rsidRPr="00583117" w:rsidRDefault="00583117" w:rsidP="00454B92">
            <w:pPr>
              <w:spacing w:line="276" w:lineRule="auto"/>
              <w:jc w:val="both"/>
              <w:rPr>
                <w:bCs/>
                <w:lang w:val="es-MX"/>
              </w:rPr>
            </w:pPr>
            <w:r w:rsidRPr="00583117">
              <w:rPr>
                <w:bCs/>
                <w:lang w:val="es-MX"/>
              </w:rPr>
              <w:t xml:space="preserve">De acuerdo con el artículo 4° del Reglamento de la Ley de Energía para el Campo, «el Programa Especial de Energía para el Campo tendrá por objetivo impulsar la productividad y el desarrollo de las actividades agropecuarias, con el fin de que </w:t>
            </w:r>
            <w:r w:rsidRPr="00583117">
              <w:rPr>
                <w:bCs/>
                <w:lang w:val="es-MX"/>
              </w:rPr>
              <w:lastRenderedPageBreak/>
              <w:t>los sujetos que resulten beneficiarios tengan acceso a la cuota energética a precios y tarifa del estímulo.»</w:t>
            </w:r>
          </w:p>
          <w:p w14:paraId="1F7024D9" w14:textId="77777777" w:rsidR="00583117" w:rsidRDefault="00583117" w:rsidP="00454B92">
            <w:pPr>
              <w:spacing w:line="276" w:lineRule="auto"/>
              <w:jc w:val="both"/>
              <w:rPr>
                <w:b/>
                <w:lang w:val="es-MX"/>
              </w:rPr>
            </w:pPr>
          </w:p>
          <w:p w14:paraId="05EF2A74" w14:textId="5388399C" w:rsidR="00583117" w:rsidRPr="00583117" w:rsidRDefault="00583117" w:rsidP="00454B92">
            <w:pPr>
              <w:spacing w:line="276" w:lineRule="auto"/>
              <w:jc w:val="both"/>
              <w:rPr>
                <w:bCs/>
                <w:lang w:val="es-MX"/>
              </w:rPr>
            </w:pPr>
            <w:r w:rsidRPr="00583117">
              <w:rPr>
                <w:bCs/>
                <w:lang w:val="es-MX"/>
              </w:rPr>
              <w:t xml:space="preserve">De lo anterior, el PEUA representa un esquema de apoyo coordinado por la Secretaría de Agricultura y Desarrollo Rural (SADER), la Comisión Federal de Electricidad (CFE) y la Comisión Nacional del Agua (Conagua).  </w:t>
            </w:r>
          </w:p>
          <w:p w14:paraId="07BE3CF4" w14:textId="77777777" w:rsidR="00583117" w:rsidRDefault="00583117" w:rsidP="00454B92">
            <w:pPr>
              <w:spacing w:line="276" w:lineRule="auto"/>
              <w:jc w:val="both"/>
              <w:rPr>
                <w:b/>
                <w:lang w:val="es-MX"/>
              </w:rPr>
            </w:pPr>
          </w:p>
          <w:p w14:paraId="182DCFC3" w14:textId="03A49072" w:rsidR="00583117" w:rsidRPr="00583117" w:rsidRDefault="00583117" w:rsidP="00454B92">
            <w:pPr>
              <w:spacing w:line="276" w:lineRule="auto"/>
              <w:jc w:val="both"/>
              <w:rPr>
                <w:bCs/>
                <w:lang w:val="es-MX"/>
              </w:rPr>
            </w:pPr>
            <w:r w:rsidRPr="00583117">
              <w:rPr>
                <w:bCs/>
                <w:lang w:val="es-MX"/>
              </w:rPr>
              <w:t>El programa otorga un estímulo (subsidio) que puede cubrir hasta el 95% del costo de la energía eléctrica utilizada en el riego agrícola. De esta manera, los beneficiarios llegan a pagar solo una fracción del costo real, lo que representa un ahorro respecto a las tarifas comerciales vigentes de la CFE.</w:t>
            </w:r>
          </w:p>
          <w:p w14:paraId="2C5DC72E" w14:textId="77777777" w:rsidR="00583117" w:rsidRDefault="00583117" w:rsidP="00454B92">
            <w:pPr>
              <w:spacing w:line="276" w:lineRule="auto"/>
              <w:jc w:val="both"/>
              <w:rPr>
                <w:b/>
                <w:lang w:val="es-MX"/>
              </w:rPr>
            </w:pPr>
          </w:p>
          <w:p w14:paraId="699E1CF0" w14:textId="65AD9380" w:rsidR="00583117" w:rsidRPr="00583117" w:rsidRDefault="00583117" w:rsidP="00454B92">
            <w:pPr>
              <w:spacing w:line="276" w:lineRule="auto"/>
              <w:jc w:val="both"/>
              <w:rPr>
                <w:bCs/>
                <w:lang w:val="es-MX"/>
              </w:rPr>
            </w:pPr>
            <w:r w:rsidRPr="00583117">
              <w:rPr>
                <w:bCs/>
                <w:lang w:val="es-MX"/>
              </w:rPr>
              <w:t>Cabe mencionar que el programa establece como requisito que los productores que operan pozos de riego cuenten con títulos de concesión de agua vigentes y que además cumplan con normas técnicas en sus instalaciones productivas.</w:t>
            </w:r>
          </w:p>
          <w:p w14:paraId="6406115D" w14:textId="77777777" w:rsidR="00583117" w:rsidRDefault="00583117" w:rsidP="00454B92">
            <w:pPr>
              <w:spacing w:line="276" w:lineRule="auto"/>
              <w:jc w:val="both"/>
              <w:rPr>
                <w:b/>
                <w:lang w:val="es-MX"/>
              </w:rPr>
            </w:pPr>
          </w:p>
          <w:p w14:paraId="2247EFCE" w14:textId="5BFD4C5B" w:rsidR="00583117" w:rsidRPr="00583117" w:rsidRDefault="00583117" w:rsidP="00454B92">
            <w:pPr>
              <w:spacing w:line="276" w:lineRule="auto"/>
              <w:jc w:val="both"/>
              <w:rPr>
                <w:bCs/>
                <w:lang w:val="es-MX"/>
              </w:rPr>
            </w:pPr>
            <w:r w:rsidRPr="00583117">
              <w:rPr>
                <w:bCs/>
                <w:lang w:val="es-MX"/>
              </w:rPr>
              <w:t>El 15 de octubre de 2025 a través del comunicado 286/20256 de la Secretaría de Agricultura y Desarrollo Social (SADER), se informa que del 15 de octubre al 31 de diciembre de 2025 estará abierta la ventanilla para la inscripción y reinscripción al Programa Especial de Energía para el Campo en materia de Energía Eléctrica para Uso Agrícola (PEUA).</w:t>
            </w:r>
          </w:p>
          <w:p w14:paraId="555D713F" w14:textId="77777777" w:rsidR="00583117" w:rsidRDefault="00583117" w:rsidP="00454B92">
            <w:pPr>
              <w:spacing w:line="276" w:lineRule="auto"/>
              <w:jc w:val="both"/>
              <w:rPr>
                <w:b/>
                <w:lang w:val="es-MX"/>
              </w:rPr>
            </w:pPr>
          </w:p>
          <w:p w14:paraId="13CEA352" w14:textId="3FA26A56" w:rsidR="00583117" w:rsidRPr="00583117" w:rsidRDefault="00583117" w:rsidP="00454B92">
            <w:pPr>
              <w:spacing w:line="276" w:lineRule="auto"/>
              <w:jc w:val="both"/>
              <w:rPr>
                <w:bCs/>
                <w:lang w:val="es-MX"/>
              </w:rPr>
            </w:pPr>
            <w:r w:rsidRPr="00583117">
              <w:rPr>
                <w:bCs/>
                <w:lang w:val="es-MX"/>
              </w:rPr>
              <w:t xml:space="preserve">A su vez, el 28 de octubre de 2025 se publicó en el Diario Oficial de la Federación (DOF) el «Decreto por el que se establecen facilidades administrativas para regularizar los títulos concesión o asignación de aguas nacionales otorgados para: Uso doméstico, agrícola, pecuario y acuacultura, cuyos volúmenes sean de hasta 500,000.00 metros cúbicos anuales y; Uso público urbano a favor de entidades </w:t>
            </w:r>
            <w:r w:rsidRPr="00583117">
              <w:rPr>
                <w:bCs/>
                <w:lang w:val="es-MX"/>
              </w:rPr>
              <w:lastRenderedPageBreak/>
              <w:t>federativas y municipios que lo ejerzan directamente, sin importar el volumen.7», en donde se señala que sólo serán considerados para la regularización los títulos cuya vigencia hayan expirado entre el 1 de octubre de 2017 y el 1 de marzo de 2025. Las personas concesionarias o asignatarias interesadas tendrán un plazo de seis meses contados a partir de la publicación del decreto, es decir, hasta el 28 de abril de 2026.</w:t>
            </w:r>
          </w:p>
          <w:p w14:paraId="3C3BA369" w14:textId="77777777" w:rsidR="00583117" w:rsidRDefault="00583117" w:rsidP="00454B92">
            <w:pPr>
              <w:spacing w:line="276" w:lineRule="auto"/>
              <w:jc w:val="both"/>
              <w:rPr>
                <w:b/>
                <w:lang w:val="es-MX"/>
              </w:rPr>
            </w:pPr>
          </w:p>
          <w:p w14:paraId="21B752E7" w14:textId="56CD9FF8" w:rsidR="00583117" w:rsidRPr="00583117" w:rsidRDefault="00583117" w:rsidP="00454B92">
            <w:pPr>
              <w:spacing w:line="276" w:lineRule="auto"/>
              <w:jc w:val="both"/>
              <w:rPr>
                <w:bCs/>
                <w:lang w:val="es-MX"/>
              </w:rPr>
            </w:pPr>
            <w:r w:rsidRPr="00583117">
              <w:rPr>
                <w:bCs/>
                <w:lang w:val="es-MX"/>
              </w:rPr>
              <w:t>Dicho decreto de facilidades administrativas cuyo objetivo es incentivar la regularización de títulos vencidos de concesión y asignación de aguas nacional también facilita la incorporación de las personas concesionarias al PEUA.</w:t>
            </w:r>
          </w:p>
          <w:p w14:paraId="02295367" w14:textId="77777777" w:rsidR="00583117" w:rsidRDefault="00583117" w:rsidP="00454B92">
            <w:pPr>
              <w:spacing w:line="276" w:lineRule="auto"/>
              <w:jc w:val="both"/>
              <w:rPr>
                <w:b/>
                <w:lang w:val="es-MX"/>
              </w:rPr>
            </w:pPr>
          </w:p>
          <w:p w14:paraId="422153E5" w14:textId="48F0925E" w:rsidR="00583117" w:rsidRPr="00583117" w:rsidRDefault="00583117" w:rsidP="00454B92">
            <w:pPr>
              <w:spacing w:line="276" w:lineRule="auto"/>
              <w:jc w:val="both"/>
              <w:rPr>
                <w:bCs/>
                <w:lang w:val="es-MX"/>
              </w:rPr>
            </w:pPr>
            <w:r w:rsidRPr="00583117">
              <w:rPr>
                <w:bCs/>
                <w:lang w:val="es-MX"/>
              </w:rPr>
              <w:t>En enero de 2026, la Secretaría de Agricultura y Desarrollo Rural (SADER), la Comisión Federal de Electricidad (CFE) y la Comisión Nacional del Agua (CONAGUA) anunciaron la ampliación del periodo de inscripción y reinscripción al PEUA, hasta el 28 de abril de 2026. Dicha medida pretendía empatar los procesos de inscripción o reinscripción al PEUA 2026 así como la regularización de los títulos concesión de agua.</w:t>
            </w:r>
          </w:p>
          <w:p w14:paraId="4283EC2F" w14:textId="77777777" w:rsidR="00583117" w:rsidRDefault="00583117" w:rsidP="00454B92">
            <w:pPr>
              <w:spacing w:line="276" w:lineRule="auto"/>
              <w:jc w:val="both"/>
              <w:rPr>
                <w:b/>
                <w:lang w:val="es-MX"/>
              </w:rPr>
            </w:pPr>
          </w:p>
          <w:p w14:paraId="1A006C70" w14:textId="7B04ACAF" w:rsidR="00583117" w:rsidRDefault="00583117" w:rsidP="00454B92">
            <w:pPr>
              <w:spacing w:line="276" w:lineRule="auto"/>
              <w:jc w:val="both"/>
              <w:rPr>
                <w:b/>
                <w:lang w:val="es-MX"/>
              </w:rPr>
            </w:pPr>
            <w:r w:rsidRPr="00583117">
              <w:rPr>
                <w:b/>
                <w:lang w:val="es-MX"/>
              </w:rPr>
              <w:t>Sobre la propuesta de exhorto</w:t>
            </w:r>
          </w:p>
          <w:p w14:paraId="25A78626" w14:textId="77777777" w:rsidR="00583117" w:rsidRDefault="00583117" w:rsidP="00454B92">
            <w:pPr>
              <w:spacing w:line="276" w:lineRule="auto"/>
              <w:jc w:val="both"/>
              <w:rPr>
                <w:b/>
                <w:lang w:val="es-MX"/>
              </w:rPr>
            </w:pPr>
          </w:p>
          <w:p w14:paraId="75D47AB4" w14:textId="68288729" w:rsidR="00583117" w:rsidRPr="00583117" w:rsidRDefault="00583117" w:rsidP="00454B92">
            <w:pPr>
              <w:spacing w:line="276" w:lineRule="auto"/>
              <w:jc w:val="both"/>
              <w:rPr>
                <w:bCs/>
                <w:lang w:val="es-MX"/>
              </w:rPr>
            </w:pPr>
            <w:r w:rsidRPr="00583117">
              <w:rPr>
                <w:bCs/>
                <w:lang w:val="es-MX"/>
              </w:rPr>
              <w:t>Los iniciantes mencionan que el sector agrícola representa uno de los pilares fundamentales para el desarrollo económico y social de México. Además de representar una actividad económica estratégica que garantiza la seguridad alimentaria del país, el campo constituye una fuente de empleo y sustento para millones de familias, particularmente en estados con una fuerte vocación como lo es el estado de Guanajuato.</w:t>
            </w:r>
          </w:p>
          <w:p w14:paraId="7F06BCCF" w14:textId="77777777" w:rsidR="00583117" w:rsidRDefault="00583117" w:rsidP="00454B92">
            <w:pPr>
              <w:spacing w:line="276" w:lineRule="auto"/>
              <w:jc w:val="both"/>
              <w:rPr>
                <w:b/>
                <w:lang w:val="es-MX"/>
              </w:rPr>
            </w:pPr>
          </w:p>
          <w:p w14:paraId="7C078CEC" w14:textId="09127833" w:rsidR="00583117" w:rsidRPr="00583117" w:rsidRDefault="00583117" w:rsidP="00454B92">
            <w:pPr>
              <w:spacing w:line="276" w:lineRule="auto"/>
              <w:jc w:val="both"/>
              <w:rPr>
                <w:bCs/>
                <w:lang w:val="es-MX"/>
              </w:rPr>
            </w:pPr>
            <w:r w:rsidRPr="00583117">
              <w:rPr>
                <w:bCs/>
                <w:lang w:val="es-MX"/>
              </w:rPr>
              <w:lastRenderedPageBreak/>
              <w:t>Uno de los elementos indispensables para el desarrollo de la actividad agrícola se encuentra en el acceso a energía eléctrica a costos accesibles, especialmente para la operación de sistemas de bombeo de agua destinados al riego de cultivos.</w:t>
            </w:r>
          </w:p>
          <w:p w14:paraId="401AADBA" w14:textId="77777777" w:rsidR="00583117" w:rsidRDefault="00583117" w:rsidP="00454B92">
            <w:pPr>
              <w:spacing w:line="276" w:lineRule="auto"/>
              <w:jc w:val="both"/>
              <w:rPr>
                <w:b/>
                <w:lang w:val="es-MX"/>
              </w:rPr>
            </w:pPr>
          </w:p>
          <w:p w14:paraId="1C64EAB3" w14:textId="50474001" w:rsidR="00583117" w:rsidRPr="00583117" w:rsidRDefault="00583117" w:rsidP="00454B92">
            <w:pPr>
              <w:spacing w:line="276" w:lineRule="auto"/>
              <w:jc w:val="both"/>
              <w:rPr>
                <w:bCs/>
                <w:lang w:val="es-MX"/>
              </w:rPr>
            </w:pPr>
            <w:r w:rsidRPr="00583117">
              <w:rPr>
                <w:bCs/>
                <w:lang w:val="es-MX"/>
              </w:rPr>
              <w:t>Bajo este contexto hacen referencia al Programa Especial para el Campo, el cual ha sido históricamente un instrumento relevante de política pública que permite a los productores acceder a tarifas preferenciales de electricidad lo que contribuye a mantener una viabilidad económica de sus actividades económicas. Sin embargo, diversos productores han manifestado preocupación ante las disposiciones administrativas que establecen un plazo determinado para la regularización de sus instalaciones eléctricas con el fin de continuar accediendo a los beneficios del PEUA.</w:t>
            </w:r>
          </w:p>
          <w:p w14:paraId="427154DC" w14:textId="77777777" w:rsidR="00583117" w:rsidRDefault="00583117" w:rsidP="00454B92">
            <w:pPr>
              <w:spacing w:line="276" w:lineRule="auto"/>
              <w:jc w:val="both"/>
              <w:rPr>
                <w:b/>
                <w:lang w:val="es-MX"/>
              </w:rPr>
            </w:pPr>
          </w:p>
          <w:p w14:paraId="49E24ADD" w14:textId="4F2CFB44" w:rsidR="00583117" w:rsidRPr="00583117" w:rsidRDefault="00583117" w:rsidP="00454B92">
            <w:pPr>
              <w:spacing w:line="276" w:lineRule="auto"/>
              <w:jc w:val="both"/>
              <w:rPr>
                <w:bCs/>
                <w:lang w:val="es-MX"/>
              </w:rPr>
            </w:pPr>
            <w:r w:rsidRPr="00583117">
              <w:rPr>
                <w:bCs/>
                <w:lang w:val="es-MX"/>
              </w:rPr>
              <w:t>Mencionan que dicho proceso exige la obtención de un dictamen emitido por las Unidades de Verificación de Instalaciones Eléctricas, cuyo costo puede oscilar entre los 30 mil y los 70 mil pesos, monto que representa una carga económica para la mayoría de los productores de pequeña y mediana escala. Además, los ciclos productivos, la disponibilidad de recursos y la ubicación geográfica son factores que dificultan la realización oportuna de los trámites requeridos.</w:t>
            </w:r>
          </w:p>
          <w:p w14:paraId="05A75820" w14:textId="77777777" w:rsidR="00583117" w:rsidRDefault="00583117" w:rsidP="00454B92">
            <w:pPr>
              <w:spacing w:line="276" w:lineRule="auto"/>
              <w:jc w:val="both"/>
              <w:rPr>
                <w:b/>
                <w:lang w:val="es-MX"/>
              </w:rPr>
            </w:pPr>
          </w:p>
          <w:p w14:paraId="2CECDA44" w14:textId="09D7D0EA" w:rsidR="00583117" w:rsidRPr="00583117" w:rsidRDefault="00583117" w:rsidP="00454B92">
            <w:pPr>
              <w:spacing w:line="276" w:lineRule="auto"/>
              <w:jc w:val="both"/>
              <w:rPr>
                <w:bCs/>
                <w:lang w:val="es-MX"/>
              </w:rPr>
            </w:pPr>
            <w:r w:rsidRPr="00583117">
              <w:rPr>
                <w:bCs/>
                <w:lang w:val="es-MX"/>
              </w:rPr>
              <w:t xml:space="preserve">En el ámbito económico, la eventual pérdida de acceso a una tarifa preferencia eléctrica representa un impacto para la economía de los productores, al incrementar los costos de producción asociados al riego agrícola y disminuir la rentabilidad y capacidad económica de los productores para mantener sus actividades. Lo anterior pudiera dar lugar a un escenario de abandono temporal de tierras productivas lo que afectaría a familias que dependen de la actividad </w:t>
            </w:r>
            <w:r w:rsidRPr="00583117">
              <w:rPr>
                <w:bCs/>
                <w:lang w:val="es-MX"/>
              </w:rPr>
              <w:lastRenderedPageBreak/>
              <w:t>agrícola, así como también a las cadenas de valor vinculadas al sector agroalimentario.</w:t>
            </w:r>
          </w:p>
          <w:p w14:paraId="538AF416" w14:textId="77777777" w:rsidR="00583117" w:rsidRDefault="00583117" w:rsidP="00454B92">
            <w:pPr>
              <w:spacing w:line="276" w:lineRule="auto"/>
              <w:jc w:val="both"/>
              <w:rPr>
                <w:b/>
                <w:lang w:val="es-MX"/>
              </w:rPr>
            </w:pPr>
          </w:p>
          <w:p w14:paraId="10DC9582" w14:textId="452B44F3" w:rsidR="00583117" w:rsidRPr="00583117" w:rsidRDefault="00583117" w:rsidP="00454B92">
            <w:pPr>
              <w:spacing w:line="276" w:lineRule="auto"/>
              <w:jc w:val="both"/>
              <w:rPr>
                <w:bCs/>
                <w:lang w:val="es-MX"/>
              </w:rPr>
            </w:pPr>
            <w:r w:rsidRPr="00583117">
              <w:rPr>
                <w:bCs/>
                <w:lang w:val="es-MX"/>
              </w:rPr>
              <w:t>Ante esta situación, los iniciantes consideran pertinente que el Gobierno Federal, a través de instancias como la Secretaría de Agricultura y Desarrollo Rural y la Comisión Federal de Electricidad, valore la ampliación del plazo establecido para la regularización dentro del Programa Especial de Energía para el Campo, a fin de permitir que los productores puedan cumplir con los requisitos técnicos sin comprometer su estabilidad económica.</w:t>
            </w:r>
          </w:p>
          <w:p w14:paraId="49BF771C" w14:textId="77777777" w:rsidR="00583117" w:rsidRDefault="00583117" w:rsidP="00454B92">
            <w:pPr>
              <w:spacing w:line="276" w:lineRule="auto"/>
              <w:jc w:val="both"/>
              <w:rPr>
                <w:b/>
                <w:lang w:val="es-MX"/>
              </w:rPr>
            </w:pPr>
          </w:p>
          <w:p w14:paraId="0601CF90" w14:textId="3B52B73C" w:rsidR="00583117" w:rsidRPr="00583117" w:rsidRDefault="00583117" w:rsidP="00454B92">
            <w:pPr>
              <w:spacing w:line="276" w:lineRule="auto"/>
              <w:jc w:val="both"/>
              <w:rPr>
                <w:bCs/>
                <w:lang w:val="es-MX"/>
              </w:rPr>
            </w:pPr>
            <w:r w:rsidRPr="00583117">
              <w:rPr>
                <w:bCs/>
                <w:lang w:val="es-MX"/>
              </w:rPr>
              <w:t>Dicha medida contribuiría a brindar mayor certidumbre al sector agrícola, evitar afectaciones innecesarias a la producción y fortalecer la relación de colaboración entre el sector público y productivo que sostienen la actividad económica del campo mexicano.</w:t>
            </w:r>
          </w:p>
          <w:p w14:paraId="5CDEA670" w14:textId="77777777" w:rsidR="00583117" w:rsidRDefault="00583117" w:rsidP="00454B92">
            <w:pPr>
              <w:spacing w:line="276" w:lineRule="auto"/>
              <w:jc w:val="both"/>
              <w:rPr>
                <w:b/>
                <w:lang w:val="es-MX"/>
              </w:rPr>
            </w:pPr>
          </w:p>
          <w:p w14:paraId="020FA88B" w14:textId="561CE08D" w:rsidR="00583117" w:rsidRDefault="00583117" w:rsidP="00454B92">
            <w:pPr>
              <w:spacing w:line="276" w:lineRule="auto"/>
              <w:jc w:val="both"/>
              <w:rPr>
                <w:b/>
                <w:lang w:val="es-MX"/>
              </w:rPr>
            </w:pPr>
            <w:r w:rsidRPr="00583117">
              <w:rPr>
                <w:b/>
                <w:lang w:val="es-MX"/>
              </w:rPr>
              <w:t>Consideraciones finales</w:t>
            </w:r>
          </w:p>
          <w:p w14:paraId="0E98B34A" w14:textId="2041485E" w:rsidR="00583117" w:rsidRPr="00583117" w:rsidRDefault="00583117" w:rsidP="00454B92">
            <w:pPr>
              <w:spacing w:line="276" w:lineRule="auto"/>
              <w:jc w:val="both"/>
              <w:rPr>
                <w:bCs/>
                <w:lang w:val="es-MX"/>
              </w:rPr>
            </w:pPr>
            <w:r w:rsidRPr="00583117">
              <w:rPr>
                <w:bCs/>
                <w:lang w:val="es-MX"/>
              </w:rPr>
              <w:t>Con base en la información analizada conviene señalar que el PEUA representa un instrumento de política pública que ha tenido un impacto positivo en el sector agrícola del país, ya que reconoce que la energía eléctrica es fundamental al incrementar la productividad del campo a través de mejores sistemas de riego y reducción de costos de producción.</w:t>
            </w:r>
          </w:p>
          <w:p w14:paraId="3043DD91" w14:textId="77777777" w:rsidR="00583117" w:rsidRDefault="00583117" w:rsidP="00454B92">
            <w:pPr>
              <w:spacing w:line="276" w:lineRule="auto"/>
              <w:jc w:val="both"/>
              <w:rPr>
                <w:b/>
                <w:lang w:val="es-MX"/>
              </w:rPr>
            </w:pPr>
          </w:p>
          <w:p w14:paraId="79E37097" w14:textId="67D25AF0" w:rsidR="00583117" w:rsidRPr="00583117" w:rsidRDefault="00583117" w:rsidP="00454B92">
            <w:pPr>
              <w:spacing w:line="276" w:lineRule="auto"/>
              <w:jc w:val="both"/>
              <w:rPr>
                <w:bCs/>
                <w:lang w:val="es-MX"/>
              </w:rPr>
            </w:pPr>
            <w:r w:rsidRPr="00583117">
              <w:rPr>
                <w:bCs/>
                <w:lang w:val="es-MX"/>
              </w:rPr>
              <w:t>La adhesión al PEUA implica que los productores agrícolas accedan a un beneficio de hasta el 95% del costo de la energía eléctrica utilizada en las actividades de riego agrícola, lo que contribuye a la modernización de la agricultura, eficiencia de los recursos y a incrementar la competitividad del campo mexicano.</w:t>
            </w:r>
          </w:p>
          <w:p w14:paraId="60A8DBE6" w14:textId="63967C6C" w:rsidR="00583117" w:rsidRPr="00583117" w:rsidRDefault="00583117" w:rsidP="00454B92">
            <w:pPr>
              <w:spacing w:line="276" w:lineRule="auto"/>
              <w:jc w:val="both"/>
              <w:rPr>
                <w:bCs/>
                <w:lang w:val="es-MX"/>
              </w:rPr>
            </w:pPr>
            <w:r w:rsidRPr="00583117">
              <w:rPr>
                <w:bCs/>
                <w:lang w:val="es-MX"/>
              </w:rPr>
              <w:lastRenderedPageBreak/>
              <w:t>Al momento de realizar este análisis, el Gobierno de México anunció el pasado 29 de abril de 2026, la ampliación del plazo para que las y los productores se inscriban o reinscriban al PEUA. De esta manera el plazo se amplía hasta el 29 de mayo del presente año. Es importante mencionar que esta ampliación representa la última oportunidad para acceder al programa.</w:t>
            </w:r>
          </w:p>
          <w:p w14:paraId="13CD5E42" w14:textId="77777777" w:rsidR="00583117" w:rsidRDefault="00583117" w:rsidP="00454B92">
            <w:pPr>
              <w:spacing w:line="276" w:lineRule="auto"/>
              <w:jc w:val="both"/>
              <w:rPr>
                <w:b/>
                <w:lang w:val="es-MX"/>
              </w:rPr>
            </w:pPr>
          </w:p>
          <w:p w14:paraId="63A47FA8" w14:textId="77777777" w:rsidR="00D03186" w:rsidRDefault="00583117" w:rsidP="00583117">
            <w:pPr>
              <w:spacing w:line="276" w:lineRule="auto"/>
              <w:jc w:val="both"/>
              <w:rPr>
                <w:bCs/>
                <w:lang w:val="es-MX"/>
              </w:rPr>
            </w:pPr>
            <w:r w:rsidRPr="00583117">
              <w:rPr>
                <w:bCs/>
                <w:lang w:val="es-MX"/>
              </w:rPr>
              <w:t>Finalmente, el campo mexicano representa un sector estratégico para el abasto de alimentos en el país, su productividad es un asunto de interés público lo que justifica la implementación de mecanismos fiscales que incentiven la tecnificación de prácticas agrícolas, reducción de costos y mejoren la calidad de vida de los productores y sus familias.</w:t>
            </w:r>
          </w:p>
          <w:p w14:paraId="0D51303A" w14:textId="77777777" w:rsidR="00F95F3D" w:rsidRDefault="00F95F3D" w:rsidP="00583117">
            <w:pPr>
              <w:spacing w:line="276" w:lineRule="auto"/>
              <w:jc w:val="both"/>
              <w:rPr>
                <w:bCs/>
                <w:lang w:val="es-MX"/>
              </w:rPr>
            </w:pPr>
          </w:p>
          <w:p w14:paraId="1FBF3971" w14:textId="77777777" w:rsidR="00F95F3D" w:rsidRDefault="00F95F3D" w:rsidP="00583117">
            <w:pPr>
              <w:spacing w:line="276" w:lineRule="auto"/>
              <w:jc w:val="both"/>
              <w:rPr>
                <w:b/>
                <w:lang w:val="es-MX"/>
              </w:rPr>
            </w:pPr>
            <w:r>
              <w:rPr>
                <w:b/>
                <w:lang w:val="es-MX"/>
              </w:rPr>
              <w:t>Secretaría del Campo del Gobierno del Estado de Guanajuato:</w:t>
            </w:r>
          </w:p>
          <w:p w14:paraId="002EB96C" w14:textId="77777777" w:rsidR="00F95F3D" w:rsidRDefault="00F95F3D" w:rsidP="00583117">
            <w:pPr>
              <w:spacing w:line="276" w:lineRule="auto"/>
              <w:jc w:val="both"/>
              <w:rPr>
                <w:bCs/>
                <w:lang w:val="es-MX"/>
              </w:rPr>
            </w:pPr>
          </w:p>
          <w:p w14:paraId="08EE626A" w14:textId="77777777" w:rsidR="00F95F3D" w:rsidRPr="00F95F3D" w:rsidRDefault="00F95F3D" w:rsidP="00583117">
            <w:pPr>
              <w:spacing w:line="276" w:lineRule="auto"/>
              <w:jc w:val="both"/>
              <w:rPr>
                <w:bCs/>
                <w:lang w:val="es-MX"/>
              </w:rPr>
            </w:pPr>
            <w:r w:rsidRPr="00F95F3D">
              <w:rPr>
                <w:bCs/>
                <w:lang w:val="es-MX"/>
              </w:rPr>
              <w:t xml:space="preserve">De mérito </w:t>
            </w:r>
            <w:proofErr w:type="gramStart"/>
            <w:r w:rsidRPr="00F95F3D">
              <w:rPr>
                <w:bCs/>
                <w:lang w:val="es-MX"/>
              </w:rPr>
              <w:t>señalar</w:t>
            </w:r>
            <w:proofErr w:type="gramEnd"/>
            <w:r w:rsidRPr="00F95F3D">
              <w:rPr>
                <w:bCs/>
                <w:lang w:val="es-MX"/>
              </w:rPr>
              <w:t xml:space="preserve"> que el plazo del día 28 de abril del año en curso, que se estableció para que los productores agrícolas entraran al proceso para la regularización dentro del Programa Especial de Energía para el Campo, tuvo ya una ampliación de término de hasta el día treinta de mayo del año en curso. Ampliación que no resulta suficiente para los efectos de que las y los productores agrícolas estén en óptimas condiciones para cumplir con la totalidad de los requisitos técnicos previstos en el programa que se cita;</w:t>
            </w:r>
          </w:p>
          <w:p w14:paraId="5279C53E" w14:textId="77777777" w:rsidR="00F95F3D" w:rsidRPr="00F95F3D" w:rsidRDefault="00F95F3D" w:rsidP="00583117">
            <w:pPr>
              <w:spacing w:line="276" w:lineRule="auto"/>
              <w:jc w:val="both"/>
              <w:rPr>
                <w:bCs/>
                <w:lang w:val="es-MX"/>
              </w:rPr>
            </w:pPr>
          </w:p>
          <w:p w14:paraId="13D42E26" w14:textId="77777777" w:rsidR="00F95F3D" w:rsidRPr="00F95F3D" w:rsidRDefault="00F95F3D" w:rsidP="00583117">
            <w:pPr>
              <w:spacing w:line="276" w:lineRule="auto"/>
              <w:jc w:val="both"/>
              <w:rPr>
                <w:bCs/>
                <w:lang w:val="es-MX"/>
              </w:rPr>
            </w:pPr>
            <w:r w:rsidRPr="00F95F3D">
              <w:rPr>
                <w:bCs/>
                <w:lang w:val="es-MX"/>
              </w:rPr>
              <w:t xml:space="preserve">Por lo que, resulta muy factible solicitar la ampliación o apertura en su caso, de un nuevo periodo para que los productores agrícolas puedan entrar al proceso para la regularización dentro del Programa Especial de Energía para el Campo. Coincidiendo y estando de acuerdo el que, se solicite que el proceso de regularización de las instalaciones eléctricas, así como la presentación de los </w:t>
            </w:r>
            <w:r w:rsidRPr="00F95F3D">
              <w:rPr>
                <w:bCs/>
                <w:lang w:val="es-MX"/>
              </w:rPr>
              <w:lastRenderedPageBreak/>
              <w:t>dictámenes emitidos por las Unidades de Verificación de Instalaciones Eléctricas, se instrumente de manera gradual y progresiva, tomando en consideración la capacidad económica y operativa de los productores, con el propósito de evitar afectaciones a la producción agrícola y garantizar la continuidad de las actividades del sector en el estado de Guanajuato y en el resto del país.</w:t>
            </w:r>
          </w:p>
          <w:p w14:paraId="351EAD28" w14:textId="77777777" w:rsidR="00F95F3D" w:rsidRPr="00F95F3D" w:rsidRDefault="00F95F3D" w:rsidP="00583117">
            <w:pPr>
              <w:spacing w:line="276" w:lineRule="auto"/>
              <w:jc w:val="both"/>
              <w:rPr>
                <w:bCs/>
                <w:lang w:val="es-MX"/>
              </w:rPr>
            </w:pPr>
          </w:p>
          <w:p w14:paraId="06D10211" w14:textId="280067FD" w:rsidR="00F95F3D" w:rsidRPr="00583117" w:rsidRDefault="00F95F3D" w:rsidP="00583117">
            <w:pPr>
              <w:spacing w:line="276" w:lineRule="auto"/>
              <w:jc w:val="both"/>
              <w:rPr>
                <w:bCs/>
                <w:lang w:val="es-MX"/>
              </w:rPr>
            </w:pPr>
            <w:r w:rsidRPr="00F95F3D">
              <w:rPr>
                <w:bCs/>
                <w:lang w:val="es-MX"/>
              </w:rPr>
              <w:t>Por lo que la Secretaría del Campo, acompaña la propuesta respetuosa del exhorto en los términos que se propone.</w:t>
            </w:r>
          </w:p>
        </w:tc>
        <w:tc>
          <w:tcPr>
            <w:tcW w:w="4252" w:type="dxa"/>
          </w:tcPr>
          <w:p w14:paraId="3DD67BF7" w14:textId="77777777" w:rsidR="00D03186" w:rsidRDefault="00D03186" w:rsidP="0028571D">
            <w:pPr>
              <w:spacing w:line="276" w:lineRule="auto"/>
              <w:jc w:val="both"/>
              <w:rPr>
                <w:iCs/>
                <w:lang w:val="es-ES_tradnl"/>
              </w:rPr>
            </w:pPr>
          </w:p>
          <w:p w14:paraId="1B490737" w14:textId="3FD73344" w:rsidR="00D03186" w:rsidRPr="0069542C" w:rsidRDefault="00D03186" w:rsidP="0028571D">
            <w:pPr>
              <w:spacing w:line="276" w:lineRule="auto"/>
              <w:jc w:val="both"/>
              <w:rPr>
                <w:iCs/>
                <w:lang w:val="es-ES_tradnl"/>
              </w:rPr>
            </w:pPr>
            <w:r w:rsidRPr="0069542C">
              <w:rPr>
                <w:iCs/>
                <w:lang w:val="es-ES_tradnl"/>
              </w:rPr>
              <w:t xml:space="preserve"> </w:t>
            </w:r>
          </w:p>
        </w:tc>
      </w:tr>
    </w:tbl>
    <w:p w14:paraId="316AA1CB" w14:textId="77777777" w:rsidR="0076164F" w:rsidRPr="000F201D" w:rsidRDefault="0076164F">
      <w:pPr>
        <w:rPr>
          <w:rFonts w:ascii="Arial" w:hAnsi="Arial" w:cs="Arial"/>
          <w:sz w:val="20"/>
          <w:szCs w:val="20"/>
        </w:rPr>
      </w:pPr>
    </w:p>
    <w:sectPr w:rsidR="0076164F" w:rsidRPr="000F201D" w:rsidSect="007B1A02">
      <w:headerReference w:type="even" r:id="rId11"/>
      <w:headerReference w:type="default" r:id="rId12"/>
      <w:footerReference w:type="even" r:id="rId13"/>
      <w:footerReference w:type="default" r:id="rId14"/>
      <w:headerReference w:type="first" r:id="rId15"/>
      <w:pgSz w:w="20160" w:h="12240" w:orient="landscape" w:code="5"/>
      <w:pgMar w:top="1701" w:right="1310" w:bottom="1701" w:left="1758" w:header="720" w:footer="720" w:gutter="0"/>
      <w:paperSrc w:first="259" w:other="259"/>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0EE93" w14:textId="77777777" w:rsidR="00AE4804" w:rsidRDefault="00AE4804" w:rsidP="008E1BA5">
      <w:r>
        <w:separator/>
      </w:r>
    </w:p>
  </w:endnote>
  <w:endnote w:type="continuationSeparator" w:id="0">
    <w:p w14:paraId="37537E3C" w14:textId="77777777" w:rsidR="00AE4804" w:rsidRDefault="00AE4804" w:rsidP="008E1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charset w:val="00"/>
    <w:family w:val="swiss"/>
    <w:pitch w:val="variable"/>
    <w:sig w:usb0="E7002EFF" w:usb1="D200FDFF" w:usb2="0A246029" w:usb3="00000000" w:csb0="000001FF" w:csb1="00000000"/>
  </w:font>
  <w:font w:name="font291">
    <w:altName w:val="MS Gothic"/>
    <w:charset w:val="80"/>
    <w:family w:val="auto"/>
    <w:pitch w:val="variable"/>
  </w:font>
  <w:font w:name="Avant Garde">
    <w:altName w:val="Century Gothic"/>
    <w:panose1 w:val="00000000000000000000"/>
    <w:charset w:val="00"/>
    <w:family w:val="roman"/>
    <w:notTrueType/>
    <w:pitch w:val="default"/>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Biondi">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F7652" w14:textId="77777777" w:rsidR="00ED4AE6" w:rsidRDefault="00ED4AE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10BB1137" w14:textId="77777777" w:rsidR="00ED4AE6" w:rsidRDefault="00ED4AE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9A69" w14:textId="77777777" w:rsidR="00ED4AE6" w:rsidRDefault="00ED4AE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C0AF2" w14:textId="77777777" w:rsidR="00AE4804" w:rsidRDefault="00AE4804" w:rsidP="008E1BA5">
      <w:r>
        <w:separator/>
      </w:r>
    </w:p>
  </w:footnote>
  <w:footnote w:type="continuationSeparator" w:id="0">
    <w:p w14:paraId="2B1D7E55" w14:textId="77777777" w:rsidR="00AE4804" w:rsidRDefault="00AE4804" w:rsidP="008E1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3AC6" w14:textId="77777777" w:rsidR="00ED4AE6" w:rsidRDefault="00ED4AE6">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55A47B85" w14:textId="77777777" w:rsidR="00ED4AE6" w:rsidRDefault="00ED4AE6">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536C5" w14:textId="77777777" w:rsidR="00ED4AE6" w:rsidRDefault="00ED4AE6" w:rsidP="002A4133">
    <w:pPr>
      <w:pStyle w:val="Encabezado"/>
      <w:framePr w:wrap="around" w:vAnchor="text" w:hAnchor="margin" w:xAlign="right" w:y="-325"/>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w:t>
    </w:r>
    <w:r>
      <w:rPr>
        <w:rStyle w:val="Nmerodepgina"/>
      </w:rPr>
      <w:fldChar w:fldCharType="end"/>
    </w:r>
  </w:p>
  <w:p w14:paraId="10F2FE02" w14:textId="77777777" w:rsidR="00ED4AE6" w:rsidRDefault="00ED4AE6">
    <w:pPr>
      <w:ind w:right="360"/>
      <w:jc w:val="right"/>
      <w:rPr>
        <w:rFonts w:ascii="Avant Garde" w:hAnsi="Avant Garde" w:cs="Arial"/>
        <w:i/>
        <w:iCs/>
        <w:sz w:val="18"/>
      </w:rPr>
    </w:pPr>
  </w:p>
  <w:tbl>
    <w:tblPr>
      <w:tblW w:w="18286"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96"/>
      <w:gridCol w:w="7938"/>
      <w:gridCol w:w="4252"/>
    </w:tblGrid>
    <w:tr w:rsidR="00E402DC" w:rsidRPr="00F7466B" w14:paraId="10B0C38F" w14:textId="77777777" w:rsidTr="00E402DC">
      <w:trPr>
        <w:trHeight w:val="678"/>
      </w:trPr>
      <w:tc>
        <w:tcPr>
          <w:tcW w:w="6096"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55074F6B" w14:textId="77777777" w:rsidR="00E402DC" w:rsidRPr="00840D67" w:rsidRDefault="00E402DC" w:rsidP="00E402DC">
          <w:pPr>
            <w:jc w:val="center"/>
            <w:rPr>
              <w:rFonts w:ascii="Copperplate Gothic Bold" w:hAnsi="Copperplate Gothic Bold"/>
              <w:b/>
              <w:sz w:val="22"/>
              <w:szCs w:val="22"/>
              <w:lang w:val="es-MX" w:eastAsia="en-US"/>
            </w:rPr>
          </w:pPr>
          <w:r>
            <w:rPr>
              <w:rFonts w:ascii="Copperplate Gothic Bold" w:hAnsi="Copperplate Gothic Bold"/>
              <w:b/>
            </w:rPr>
            <w:t xml:space="preserve">Acuerdos </w:t>
          </w:r>
        </w:p>
      </w:tc>
      <w:tc>
        <w:tcPr>
          <w:tcW w:w="7938"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147E9AA9" w14:textId="77777777" w:rsidR="00E402DC" w:rsidRPr="00840D67" w:rsidRDefault="00E402DC" w:rsidP="00E402DC">
          <w:pPr>
            <w:jc w:val="center"/>
            <w:rPr>
              <w:rFonts w:ascii="Copperplate Gothic Bold" w:hAnsi="Copperplate Gothic Bold"/>
              <w:b/>
            </w:rPr>
          </w:pPr>
          <w:r w:rsidRPr="00840D67">
            <w:rPr>
              <w:rFonts w:ascii="Copperplate Gothic Bold" w:hAnsi="Copperplate Gothic Bold"/>
              <w:b/>
            </w:rPr>
            <w:t xml:space="preserve">Opiniones de </w:t>
          </w:r>
          <w:r>
            <w:rPr>
              <w:rFonts w:ascii="Copperplate Gothic Bold" w:hAnsi="Copperplate Gothic Bold"/>
              <w:b/>
            </w:rPr>
            <w:t xml:space="preserve">particulares y </w:t>
          </w:r>
          <w:r w:rsidRPr="00840D67">
            <w:rPr>
              <w:rFonts w:ascii="Copperplate Gothic Bold" w:hAnsi="Copperplate Gothic Bold"/>
              <w:b/>
            </w:rPr>
            <w:t>las entidades consultadas</w:t>
          </w:r>
        </w:p>
      </w:tc>
      <w:tc>
        <w:tcPr>
          <w:tcW w:w="4252"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57FFF041" w14:textId="77777777" w:rsidR="00E402DC" w:rsidRPr="00840D67" w:rsidRDefault="00E402DC" w:rsidP="00E402DC">
          <w:pPr>
            <w:jc w:val="center"/>
            <w:rPr>
              <w:rFonts w:ascii="Copperplate Gothic Bold" w:hAnsi="Copperplate Gothic Bold"/>
              <w:b/>
            </w:rPr>
          </w:pPr>
          <w:r w:rsidRPr="00840D67">
            <w:rPr>
              <w:rFonts w:ascii="Copperplate Gothic Bold" w:hAnsi="Copperplate Gothic Bold"/>
              <w:b/>
            </w:rPr>
            <w:t>Observaciones de la mesa de trabajo</w:t>
          </w:r>
        </w:p>
      </w:tc>
    </w:tr>
  </w:tbl>
  <w:p w14:paraId="684B0589" w14:textId="77777777" w:rsidR="00ED4AE6" w:rsidRPr="002A4133" w:rsidRDefault="00ED4AE6">
    <w:pPr>
      <w:pStyle w:val="Encabezado"/>
      <w:ind w:right="360"/>
      <w:rPr>
        <w:sz w:val="12"/>
        <w:lang w:val="es-MX"/>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76EA" w14:textId="2CDCDC22" w:rsidR="00ED4AE6" w:rsidRDefault="00454B92" w:rsidP="00E411A3">
    <w:pPr>
      <w:pStyle w:val="Encabezado"/>
    </w:pPr>
    <w:r>
      <w:rPr>
        <w:noProof/>
      </w:rPr>
      <mc:AlternateContent>
        <mc:Choice Requires="wps">
          <w:drawing>
            <wp:anchor distT="0" distB="0" distL="114300" distR="114300" simplePos="0" relativeHeight="251657216" behindDoc="0" locked="0" layoutInCell="1" allowOverlap="1" wp14:anchorId="73488C94" wp14:editId="2321212D">
              <wp:simplePos x="0" y="0"/>
              <wp:positionH relativeFrom="page">
                <wp:posOffset>2398542</wp:posOffset>
              </wp:positionH>
              <wp:positionV relativeFrom="paragraph">
                <wp:posOffset>-379828</wp:posOffset>
              </wp:positionV>
              <wp:extent cx="10107636" cy="661181"/>
              <wp:effectExtent l="0" t="0" r="65405" b="43815"/>
              <wp:wrapNone/>
              <wp:docPr id="21" name="Cuadro de texto 2" descr="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7636" cy="661181"/>
                      </a:xfrm>
                      <a:prstGeom prst="rect">
                        <a:avLst/>
                      </a:prstGeom>
                      <a:solidFill>
                        <a:schemeClr val="bg1"/>
                      </a:solidFill>
                      <a:ln w="12700">
                        <a:solidFill>
                          <a:srgbClr val="B6DDE8"/>
                        </a:solidFill>
                        <a:prstDash val="dash"/>
                        <a:miter lim="800000"/>
                        <a:headEnd/>
                        <a:tailEnd/>
                      </a:ln>
                      <a:effectLst>
                        <a:outerShdw dist="28398" dir="1593903" algn="ctr" rotWithShape="0">
                          <a:srgbClr val="868686"/>
                        </a:outerShdw>
                      </a:effectLst>
                    </wps:spPr>
                    <wps:txbx>
                      <w:txbxContent>
                        <w:p w14:paraId="5C12EA37" w14:textId="77777777" w:rsidR="00ED4AE6" w:rsidRPr="007F0CD2" w:rsidRDefault="00ED4AE6" w:rsidP="00E411A3">
                          <w:pPr>
                            <w:pStyle w:val="Ttulo2"/>
                            <w:rPr>
                              <w:rFonts w:ascii="Biondi" w:hAnsi="Biondi"/>
                              <w:bCs w:val="0"/>
                              <w:sz w:val="22"/>
                              <w:szCs w:val="22"/>
                            </w:rPr>
                          </w:pPr>
                          <w:r w:rsidRPr="007F0CD2">
                            <w:rPr>
                              <w:rFonts w:ascii="Biondi" w:hAnsi="Biondi"/>
                              <w:bCs w:val="0"/>
                              <w:sz w:val="22"/>
                              <w:szCs w:val="22"/>
                            </w:rPr>
                            <w:t xml:space="preserve">COMPARATIVO </w:t>
                          </w:r>
                        </w:p>
                        <w:p w14:paraId="5CB0365E" w14:textId="591A2FEC" w:rsidR="00CB466B" w:rsidRPr="007F0CD2" w:rsidRDefault="007E5B75" w:rsidP="00CB466B">
                          <w:pPr>
                            <w:pStyle w:val="Ttulo2"/>
                            <w:rPr>
                              <w:rFonts w:ascii="Biondi" w:hAnsi="Biondi"/>
                              <w:bCs w:val="0"/>
                              <w:sz w:val="22"/>
                              <w:szCs w:val="22"/>
                            </w:rPr>
                          </w:pPr>
                          <w:r w:rsidRPr="007F0CD2">
                            <w:rPr>
                              <w:rFonts w:ascii="Biondi" w:hAnsi="Biondi"/>
                              <w:bCs w:val="0"/>
                              <w:sz w:val="22"/>
                              <w:szCs w:val="22"/>
                            </w:rPr>
                            <w:t xml:space="preserve">Análisis de </w:t>
                          </w:r>
                          <w:r w:rsidR="00692473" w:rsidRPr="007F0CD2">
                            <w:rPr>
                              <w:rFonts w:ascii="Biondi" w:hAnsi="Biondi"/>
                              <w:bCs w:val="0"/>
                              <w:sz w:val="22"/>
                              <w:szCs w:val="22"/>
                            </w:rPr>
                            <w:t xml:space="preserve">la propuesta </w:t>
                          </w:r>
                          <w:r w:rsidR="00BE65FD" w:rsidRPr="007F0CD2">
                            <w:rPr>
                              <w:rFonts w:ascii="Biondi" w:hAnsi="Biondi"/>
                              <w:bCs w:val="0"/>
                              <w:sz w:val="22"/>
                              <w:szCs w:val="22"/>
                            </w:rPr>
                            <w:t xml:space="preserve">de punto de acuerdo </w:t>
                          </w:r>
                          <w:r w:rsidRPr="007F0CD2">
                            <w:rPr>
                              <w:rFonts w:ascii="Biondi" w:hAnsi="Biondi"/>
                              <w:bCs w:val="0"/>
                              <w:sz w:val="22"/>
                              <w:szCs w:val="22"/>
                            </w:rPr>
                            <w:t>formulad</w:t>
                          </w:r>
                          <w:r w:rsidR="00692473" w:rsidRPr="007F0CD2">
                            <w:rPr>
                              <w:rFonts w:ascii="Biondi" w:hAnsi="Biondi"/>
                              <w:bCs w:val="0"/>
                              <w:sz w:val="22"/>
                              <w:szCs w:val="22"/>
                            </w:rPr>
                            <w:t>o</w:t>
                          </w:r>
                          <w:r w:rsidRPr="007F0CD2">
                            <w:rPr>
                              <w:rFonts w:ascii="Biondi" w:hAnsi="Biondi"/>
                              <w:bCs w:val="0"/>
                              <w:sz w:val="22"/>
                              <w:szCs w:val="22"/>
                            </w:rPr>
                            <w:t xml:space="preserve"> por</w:t>
                          </w:r>
                          <w:r w:rsidR="008F70FE">
                            <w:rPr>
                              <w:rFonts w:ascii="Biondi" w:hAnsi="Biondi"/>
                              <w:bCs w:val="0"/>
                              <w:sz w:val="22"/>
                              <w:szCs w:val="22"/>
                            </w:rPr>
                            <w:t xml:space="preserve"> personas</w:t>
                          </w:r>
                          <w:r w:rsidR="00652173">
                            <w:rPr>
                              <w:rFonts w:ascii="Biondi" w:hAnsi="Biondi"/>
                              <w:bCs w:val="0"/>
                              <w:sz w:val="22"/>
                              <w:szCs w:val="22"/>
                            </w:rPr>
                            <w:t xml:space="preserve"> integrante</w:t>
                          </w:r>
                          <w:r w:rsidR="008F70FE">
                            <w:rPr>
                              <w:rFonts w:ascii="Biondi" w:hAnsi="Biondi"/>
                              <w:bCs w:val="0"/>
                              <w:sz w:val="22"/>
                              <w:szCs w:val="22"/>
                            </w:rPr>
                            <w:t>s</w:t>
                          </w:r>
                          <w:r w:rsidR="00652173">
                            <w:rPr>
                              <w:rFonts w:ascii="Biondi" w:hAnsi="Biondi"/>
                              <w:bCs w:val="0"/>
                              <w:sz w:val="22"/>
                              <w:szCs w:val="22"/>
                            </w:rPr>
                            <w:t xml:space="preserve"> del</w:t>
                          </w:r>
                          <w:r w:rsidRPr="007F0CD2">
                            <w:rPr>
                              <w:rFonts w:ascii="Biondi" w:hAnsi="Biondi"/>
                              <w:bCs w:val="0"/>
                              <w:sz w:val="22"/>
                              <w:szCs w:val="22"/>
                            </w:rPr>
                            <w:t xml:space="preserve"> Grupo Parlamentario del Par</w:t>
                          </w:r>
                          <w:r w:rsidR="00A1157E">
                            <w:rPr>
                              <w:rFonts w:ascii="Biondi" w:hAnsi="Biondi"/>
                              <w:bCs w:val="0"/>
                              <w:sz w:val="22"/>
                              <w:szCs w:val="22"/>
                            </w:rPr>
                            <w:t>tido</w:t>
                          </w:r>
                          <w:r w:rsidR="008F70FE">
                            <w:rPr>
                              <w:rFonts w:ascii="Biondi" w:hAnsi="Biondi"/>
                              <w:bCs w:val="0"/>
                              <w:sz w:val="22"/>
                              <w:szCs w:val="22"/>
                            </w:rPr>
                            <w:t xml:space="preserve"> Acción Nacional y de la Representación Parlamentaria del Partido de la Revolución Democrática en</w:t>
                          </w:r>
                          <w:r w:rsidRPr="007F0CD2">
                            <w:rPr>
                              <w:rFonts w:ascii="Biondi" w:hAnsi="Biondi"/>
                              <w:bCs w:val="0"/>
                              <w:sz w:val="22"/>
                              <w:szCs w:val="22"/>
                            </w:rPr>
                            <w:t xml:space="preserve"> materia d</w:t>
                          </w:r>
                          <w:r w:rsidR="00EF0E82">
                            <w:rPr>
                              <w:rFonts w:ascii="Biondi" w:hAnsi="Biondi"/>
                              <w:bCs w:val="0"/>
                              <w:sz w:val="22"/>
                              <w:szCs w:val="22"/>
                            </w:rPr>
                            <w:t>e</w:t>
                          </w:r>
                          <w:r w:rsidR="00583117">
                            <w:rPr>
                              <w:rFonts w:ascii="Biondi" w:hAnsi="Biondi"/>
                              <w:bCs w:val="0"/>
                              <w:sz w:val="22"/>
                              <w:szCs w:val="22"/>
                            </w:rPr>
                            <w:t>l Programa Especial de Energía</w:t>
                          </w:r>
                          <w:r w:rsidR="00454B92">
                            <w:rPr>
                              <w:rFonts w:ascii="Biondi" w:hAnsi="Biondi"/>
                              <w:bCs w:val="0"/>
                              <w:sz w:val="22"/>
                              <w:szCs w:val="22"/>
                            </w:rPr>
                            <w:t>.</w:t>
                          </w:r>
                          <w:r w:rsidR="00CB466B" w:rsidRPr="007F0CD2">
                            <w:rPr>
                              <w:rFonts w:ascii="Biondi" w:hAnsi="Biondi"/>
                              <w:bCs w:val="0"/>
                              <w:sz w:val="22"/>
                              <w:szCs w:val="22"/>
                            </w:rPr>
                            <w:t xml:space="preserve">  ELD </w:t>
                          </w:r>
                          <w:r w:rsidR="00EF0E82">
                            <w:rPr>
                              <w:rFonts w:ascii="Biondi" w:hAnsi="Biondi"/>
                              <w:bCs w:val="0"/>
                              <w:sz w:val="22"/>
                              <w:szCs w:val="22"/>
                            </w:rPr>
                            <w:t>3</w:t>
                          </w:r>
                          <w:r w:rsidR="00583117">
                            <w:rPr>
                              <w:rFonts w:ascii="Biondi" w:hAnsi="Biondi"/>
                              <w:bCs w:val="0"/>
                              <w:sz w:val="22"/>
                              <w:szCs w:val="22"/>
                            </w:rPr>
                            <w:t>08</w:t>
                          </w:r>
                          <w:r w:rsidR="00692473" w:rsidRPr="007F0CD2">
                            <w:rPr>
                              <w:rFonts w:ascii="Biondi" w:hAnsi="Biondi"/>
                              <w:bCs w:val="0"/>
                              <w:sz w:val="22"/>
                              <w:szCs w:val="22"/>
                            </w:rPr>
                            <w:t>/LXVI-PPA</w:t>
                          </w:r>
                        </w:p>
                        <w:p w14:paraId="6F228DAF" w14:textId="77777777" w:rsidR="00CB466B" w:rsidRPr="007F0CD2" w:rsidRDefault="00CB466B" w:rsidP="00CB466B">
                          <w:pP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488C94" id="_x0000_t202" coordsize="21600,21600" o:spt="202" path="m,l,21600r21600,l21600,xe">
              <v:stroke joinstyle="miter"/>
              <v:path gradientshapeok="t" o:connecttype="rect"/>
            </v:shapetype>
            <v:shape id="Cuadro de texto 2" o:spid="_x0000_s1026" type="#_x0000_t202" alt="5%" style="position:absolute;margin-left:188.85pt;margin-top:-29.9pt;width:795.9pt;height:52.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" fillcolor="white [3212]" strokecolor="#b6dde8" strokeweight="1pt">
              <v:stroke dashstyle="dash"/>
              <v:shadow on="t" color="#868686" offset=",1pt"/>
              <v:textbox>
                <w:txbxContent>
                  <w:p w14:paraId="5C12EA37" w14:textId="77777777" w:rsidR="00ED4AE6" w:rsidRPr="007F0CD2" w:rsidRDefault="00ED4AE6" w:rsidP="00E411A3">
                    <w:pPr>
                      <w:pStyle w:val="Ttulo2"/>
                      <w:rPr>
                        <w:rFonts w:ascii="Biondi" w:hAnsi="Biondi"/>
                        <w:bCs w:val="0"/>
                        <w:sz w:val="22"/>
                        <w:szCs w:val="22"/>
                      </w:rPr>
                    </w:pPr>
                    <w:r w:rsidRPr="007F0CD2">
                      <w:rPr>
                        <w:rFonts w:ascii="Biondi" w:hAnsi="Biondi"/>
                        <w:bCs w:val="0"/>
                        <w:sz w:val="22"/>
                        <w:szCs w:val="22"/>
                      </w:rPr>
                      <w:t xml:space="preserve">COMPARATIVO </w:t>
                    </w:r>
                  </w:p>
                  <w:p w14:paraId="5CB0365E" w14:textId="591A2FEC" w:rsidR="00CB466B" w:rsidRPr="007F0CD2" w:rsidRDefault="007E5B75" w:rsidP="00CB466B">
                    <w:pPr>
                      <w:pStyle w:val="Ttulo2"/>
                      <w:rPr>
                        <w:rFonts w:ascii="Biondi" w:hAnsi="Biondi"/>
                        <w:bCs w:val="0"/>
                        <w:sz w:val="22"/>
                        <w:szCs w:val="22"/>
                      </w:rPr>
                    </w:pPr>
                    <w:r w:rsidRPr="007F0CD2">
                      <w:rPr>
                        <w:rFonts w:ascii="Biondi" w:hAnsi="Biondi"/>
                        <w:bCs w:val="0"/>
                        <w:sz w:val="22"/>
                        <w:szCs w:val="22"/>
                      </w:rPr>
                      <w:t xml:space="preserve">Análisis de </w:t>
                    </w:r>
                    <w:r w:rsidR="00692473" w:rsidRPr="007F0CD2">
                      <w:rPr>
                        <w:rFonts w:ascii="Biondi" w:hAnsi="Biondi"/>
                        <w:bCs w:val="0"/>
                        <w:sz w:val="22"/>
                        <w:szCs w:val="22"/>
                      </w:rPr>
                      <w:t xml:space="preserve">la propuesta </w:t>
                    </w:r>
                    <w:r w:rsidR="00BE65FD" w:rsidRPr="007F0CD2">
                      <w:rPr>
                        <w:rFonts w:ascii="Biondi" w:hAnsi="Biondi"/>
                        <w:bCs w:val="0"/>
                        <w:sz w:val="22"/>
                        <w:szCs w:val="22"/>
                      </w:rPr>
                      <w:t xml:space="preserve">de punto de acuerdo </w:t>
                    </w:r>
                    <w:r w:rsidRPr="007F0CD2">
                      <w:rPr>
                        <w:rFonts w:ascii="Biondi" w:hAnsi="Biondi"/>
                        <w:bCs w:val="0"/>
                        <w:sz w:val="22"/>
                        <w:szCs w:val="22"/>
                      </w:rPr>
                      <w:t>formulad</w:t>
                    </w:r>
                    <w:r w:rsidR="00692473" w:rsidRPr="007F0CD2">
                      <w:rPr>
                        <w:rFonts w:ascii="Biondi" w:hAnsi="Biondi"/>
                        <w:bCs w:val="0"/>
                        <w:sz w:val="22"/>
                        <w:szCs w:val="22"/>
                      </w:rPr>
                      <w:t>o</w:t>
                    </w:r>
                    <w:r w:rsidRPr="007F0CD2">
                      <w:rPr>
                        <w:rFonts w:ascii="Biondi" w:hAnsi="Biondi"/>
                        <w:bCs w:val="0"/>
                        <w:sz w:val="22"/>
                        <w:szCs w:val="22"/>
                      </w:rPr>
                      <w:t xml:space="preserve"> por</w:t>
                    </w:r>
                    <w:r w:rsidR="008F70FE">
                      <w:rPr>
                        <w:rFonts w:ascii="Biondi" w:hAnsi="Biondi"/>
                        <w:bCs w:val="0"/>
                        <w:sz w:val="22"/>
                        <w:szCs w:val="22"/>
                      </w:rPr>
                      <w:t xml:space="preserve"> personas</w:t>
                    </w:r>
                    <w:r w:rsidR="00652173">
                      <w:rPr>
                        <w:rFonts w:ascii="Biondi" w:hAnsi="Biondi"/>
                        <w:bCs w:val="0"/>
                        <w:sz w:val="22"/>
                        <w:szCs w:val="22"/>
                      </w:rPr>
                      <w:t xml:space="preserve"> integrante</w:t>
                    </w:r>
                    <w:r w:rsidR="008F70FE">
                      <w:rPr>
                        <w:rFonts w:ascii="Biondi" w:hAnsi="Biondi"/>
                        <w:bCs w:val="0"/>
                        <w:sz w:val="22"/>
                        <w:szCs w:val="22"/>
                      </w:rPr>
                      <w:t>s</w:t>
                    </w:r>
                    <w:r w:rsidR="00652173">
                      <w:rPr>
                        <w:rFonts w:ascii="Biondi" w:hAnsi="Biondi"/>
                        <w:bCs w:val="0"/>
                        <w:sz w:val="22"/>
                        <w:szCs w:val="22"/>
                      </w:rPr>
                      <w:t xml:space="preserve"> del</w:t>
                    </w:r>
                    <w:r w:rsidRPr="007F0CD2">
                      <w:rPr>
                        <w:rFonts w:ascii="Biondi" w:hAnsi="Biondi"/>
                        <w:bCs w:val="0"/>
                        <w:sz w:val="22"/>
                        <w:szCs w:val="22"/>
                      </w:rPr>
                      <w:t xml:space="preserve"> Grupo Parlamentario del Par</w:t>
                    </w:r>
                    <w:r w:rsidR="00A1157E">
                      <w:rPr>
                        <w:rFonts w:ascii="Biondi" w:hAnsi="Biondi"/>
                        <w:bCs w:val="0"/>
                        <w:sz w:val="22"/>
                        <w:szCs w:val="22"/>
                      </w:rPr>
                      <w:t>tido</w:t>
                    </w:r>
                    <w:r w:rsidR="008F70FE">
                      <w:rPr>
                        <w:rFonts w:ascii="Biondi" w:hAnsi="Biondi"/>
                        <w:bCs w:val="0"/>
                        <w:sz w:val="22"/>
                        <w:szCs w:val="22"/>
                      </w:rPr>
                      <w:t xml:space="preserve"> Acción Nacional y de la Representación Parlamentaria del Partido de la Revolución Democrática en</w:t>
                    </w:r>
                    <w:r w:rsidRPr="007F0CD2">
                      <w:rPr>
                        <w:rFonts w:ascii="Biondi" w:hAnsi="Biondi"/>
                        <w:bCs w:val="0"/>
                        <w:sz w:val="22"/>
                        <w:szCs w:val="22"/>
                      </w:rPr>
                      <w:t xml:space="preserve"> materia d</w:t>
                    </w:r>
                    <w:r w:rsidR="00EF0E82">
                      <w:rPr>
                        <w:rFonts w:ascii="Biondi" w:hAnsi="Biondi"/>
                        <w:bCs w:val="0"/>
                        <w:sz w:val="22"/>
                        <w:szCs w:val="22"/>
                      </w:rPr>
                      <w:t>e</w:t>
                    </w:r>
                    <w:r w:rsidR="00583117">
                      <w:rPr>
                        <w:rFonts w:ascii="Biondi" w:hAnsi="Biondi"/>
                        <w:bCs w:val="0"/>
                        <w:sz w:val="22"/>
                        <w:szCs w:val="22"/>
                      </w:rPr>
                      <w:t>l Programa Especial de Energía</w:t>
                    </w:r>
                    <w:r w:rsidR="00454B92">
                      <w:rPr>
                        <w:rFonts w:ascii="Biondi" w:hAnsi="Biondi"/>
                        <w:bCs w:val="0"/>
                        <w:sz w:val="22"/>
                        <w:szCs w:val="22"/>
                      </w:rPr>
                      <w:t>.</w:t>
                    </w:r>
                    <w:r w:rsidR="00CB466B" w:rsidRPr="007F0CD2">
                      <w:rPr>
                        <w:rFonts w:ascii="Biondi" w:hAnsi="Biondi"/>
                        <w:bCs w:val="0"/>
                        <w:sz w:val="22"/>
                        <w:szCs w:val="22"/>
                      </w:rPr>
                      <w:t xml:space="preserve">  ELD </w:t>
                    </w:r>
                    <w:r w:rsidR="00EF0E82">
                      <w:rPr>
                        <w:rFonts w:ascii="Biondi" w:hAnsi="Biondi"/>
                        <w:bCs w:val="0"/>
                        <w:sz w:val="22"/>
                        <w:szCs w:val="22"/>
                      </w:rPr>
                      <w:t>3</w:t>
                    </w:r>
                    <w:r w:rsidR="00583117">
                      <w:rPr>
                        <w:rFonts w:ascii="Biondi" w:hAnsi="Biondi"/>
                        <w:bCs w:val="0"/>
                        <w:sz w:val="22"/>
                        <w:szCs w:val="22"/>
                      </w:rPr>
                      <w:t>08</w:t>
                    </w:r>
                    <w:r w:rsidR="00692473" w:rsidRPr="007F0CD2">
                      <w:rPr>
                        <w:rFonts w:ascii="Biondi" w:hAnsi="Biondi"/>
                        <w:bCs w:val="0"/>
                        <w:sz w:val="22"/>
                        <w:szCs w:val="22"/>
                      </w:rPr>
                      <w:t>/LXVI-PPA</w:t>
                    </w:r>
                  </w:p>
                  <w:p w14:paraId="6F228DAF" w14:textId="77777777" w:rsidR="00CB466B" w:rsidRPr="007F0CD2" w:rsidRDefault="00CB466B" w:rsidP="00CB466B">
                    <w:pPr>
                      <w:rPr>
                        <w:b/>
                      </w:rPr>
                    </w:pPr>
                  </w:p>
                </w:txbxContent>
              </v:textbox>
              <w10:wrap anchorx="page"/>
            </v:shape>
          </w:pict>
        </mc:Fallback>
      </mc:AlternateContent>
    </w:r>
    <w:r w:rsidR="00D916E3">
      <w:rPr>
        <w:noProof/>
      </w:rPr>
      <w:drawing>
        <wp:anchor distT="0" distB="0" distL="114300" distR="114300" simplePos="0" relativeHeight="251659264" behindDoc="0" locked="0" layoutInCell="1" allowOverlap="1" wp14:anchorId="02133B40" wp14:editId="074DCE77">
          <wp:simplePos x="0" y="0"/>
          <wp:positionH relativeFrom="column">
            <wp:posOffset>198120</wp:posOffset>
          </wp:positionH>
          <wp:positionV relativeFrom="paragraph">
            <wp:posOffset>-368300</wp:posOffset>
          </wp:positionV>
          <wp:extent cx="920750" cy="990600"/>
          <wp:effectExtent l="0" t="0" r="0" b="0"/>
          <wp:wrapSquare wrapText="bothSides"/>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39A9D" w14:textId="77777777" w:rsidR="00ED4AE6" w:rsidRDefault="00ED4AE6" w:rsidP="00E411A3">
    <w:pPr>
      <w:pStyle w:val="Encabezado"/>
    </w:pPr>
  </w:p>
  <w:p w14:paraId="222F6E4D" w14:textId="38A0177A" w:rsidR="00ED4AE6" w:rsidRPr="00A078B5" w:rsidRDefault="00ED4AE6" w:rsidP="00E411A3">
    <w:pPr>
      <w:pStyle w:val="Sinespaciado"/>
      <w:ind w:left="10065" w:hanging="1843"/>
      <w:jc w:val="right"/>
      <w:rPr>
        <w:rFonts w:ascii="Tahoma" w:hAnsi="Tahoma" w:cs="Tahoma"/>
        <w:b/>
        <w:i/>
        <w:lang w:val="es-MX"/>
      </w:rPr>
    </w:pPr>
    <w:r>
      <w:rPr>
        <w:rFonts w:ascii="Tahoma" w:hAnsi="Tahoma" w:cs="Tahoma"/>
        <w:b/>
        <w:i/>
        <w:lang w:val="es-MX"/>
      </w:rPr>
      <w:t>Secretaría Técnica / Comisión de</w:t>
    </w:r>
    <w:r w:rsidR="00454B92">
      <w:rPr>
        <w:rFonts w:ascii="Tahoma" w:hAnsi="Tahoma" w:cs="Tahoma"/>
        <w:b/>
        <w:i/>
        <w:lang w:val="es-MX"/>
      </w:rPr>
      <w:t xml:space="preserve"> Desarrollo Rural y Fomento</w:t>
    </w:r>
    <w:r w:rsidR="00692473">
      <w:rPr>
        <w:rFonts w:ascii="Tahoma" w:hAnsi="Tahoma" w:cs="Tahoma"/>
        <w:b/>
        <w:i/>
        <w:lang w:val="es-MX"/>
      </w:rPr>
      <w:t xml:space="preserve"> Agropecuario</w:t>
    </w:r>
  </w:p>
  <w:p w14:paraId="10A73DB7" w14:textId="536464AA" w:rsidR="00ED4AE6" w:rsidRPr="00A078B5" w:rsidRDefault="00ED4AE6" w:rsidP="00E411A3">
    <w:pPr>
      <w:pStyle w:val="Sinespaciado"/>
      <w:ind w:left="10065" w:hanging="426"/>
      <w:jc w:val="right"/>
      <w:rPr>
        <w:rFonts w:ascii="Tahoma" w:hAnsi="Tahoma" w:cs="Tahoma"/>
        <w:b/>
        <w:i/>
        <w:lang w:val="es-MX"/>
      </w:rPr>
    </w:pPr>
    <w:r w:rsidRPr="00A078B5">
      <w:rPr>
        <w:rFonts w:ascii="Tahoma" w:hAnsi="Tahoma" w:cs="Tahoma"/>
        <w:b/>
        <w:i/>
        <w:lang w:val="es-MX"/>
      </w:rPr>
      <w:t xml:space="preserve">Guanajuato, </w:t>
    </w:r>
    <w:proofErr w:type="spellStart"/>
    <w:r w:rsidRPr="00A078B5">
      <w:rPr>
        <w:rFonts w:ascii="Tahoma" w:hAnsi="Tahoma" w:cs="Tahoma"/>
        <w:b/>
        <w:i/>
        <w:lang w:val="es-MX"/>
      </w:rPr>
      <w:t>Gto</w:t>
    </w:r>
    <w:proofErr w:type="spellEnd"/>
    <w:r w:rsidRPr="00A078B5">
      <w:rPr>
        <w:rFonts w:ascii="Tahoma" w:hAnsi="Tahoma" w:cs="Tahoma"/>
        <w:b/>
        <w:i/>
        <w:lang w:val="es-MX"/>
      </w:rPr>
      <w:t xml:space="preserve">., </w:t>
    </w:r>
    <w:r w:rsidR="001C37D7">
      <w:rPr>
        <w:rFonts w:ascii="Tahoma" w:hAnsi="Tahoma" w:cs="Tahoma"/>
        <w:b/>
        <w:i/>
        <w:lang w:val="es-MX"/>
      </w:rPr>
      <w:t>23</w:t>
    </w:r>
    <w:r w:rsidR="008F70FE">
      <w:rPr>
        <w:rFonts w:ascii="Tahoma" w:hAnsi="Tahoma" w:cs="Tahoma"/>
        <w:b/>
        <w:i/>
        <w:lang w:val="es-MX"/>
      </w:rPr>
      <w:t xml:space="preserve"> </w:t>
    </w:r>
    <w:r w:rsidR="00866DDC" w:rsidRPr="00866DDC">
      <w:rPr>
        <w:rFonts w:ascii="Tahoma" w:hAnsi="Tahoma" w:cs="Tahoma"/>
        <w:b/>
        <w:i/>
        <w:lang w:val="es-MX"/>
      </w:rPr>
      <w:t>de</w:t>
    </w:r>
    <w:r w:rsidR="00EF0E82">
      <w:rPr>
        <w:rFonts w:ascii="Tahoma" w:hAnsi="Tahoma" w:cs="Tahoma"/>
        <w:b/>
        <w:i/>
        <w:lang w:val="es-MX"/>
      </w:rPr>
      <w:t xml:space="preserve"> </w:t>
    </w:r>
    <w:r w:rsidR="009731B4">
      <w:rPr>
        <w:rFonts w:ascii="Tahoma" w:hAnsi="Tahoma" w:cs="Tahoma"/>
        <w:b/>
        <w:i/>
        <w:lang w:val="es-MX"/>
      </w:rPr>
      <w:t>julio</w:t>
    </w:r>
    <w:r w:rsidR="00934979">
      <w:rPr>
        <w:rFonts w:ascii="Tahoma" w:hAnsi="Tahoma" w:cs="Tahoma"/>
        <w:b/>
        <w:i/>
        <w:lang w:val="es-MX"/>
      </w:rPr>
      <w:t xml:space="preserve"> </w:t>
    </w:r>
    <w:r w:rsidRPr="00866DDC">
      <w:rPr>
        <w:rFonts w:ascii="Tahoma" w:hAnsi="Tahoma" w:cs="Tahoma"/>
        <w:b/>
        <w:i/>
        <w:lang w:val="es-MX"/>
      </w:rPr>
      <w:t>20</w:t>
    </w:r>
    <w:r w:rsidR="0028571D" w:rsidRPr="00866DDC">
      <w:rPr>
        <w:rFonts w:ascii="Tahoma" w:hAnsi="Tahoma" w:cs="Tahoma"/>
        <w:b/>
        <w:i/>
        <w:lang w:val="es-MX"/>
      </w:rPr>
      <w:t>2</w:t>
    </w:r>
    <w:r w:rsidR="00CC2BFB">
      <w:rPr>
        <w:rFonts w:ascii="Tahoma" w:hAnsi="Tahoma" w:cs="Tahoma"/>
        <w:b/>
        <w:i/>
        <w:lang w:val="es-MX"/>
      </w:rPr>
      <w:t>6</w:t>
    </w:r>
  </w:p>
  <w:p w14:paraId="7AF762BA" w14:textId="77777777" w:rsidR="00ED4AE6" w:rsidRDefault="00ED4AE6" w:rsidP="00E411A3">
    <w:pPr>
      <w:pStyle w:val="Encabezado"/>
    </w:pPr>
  </w:p>
  <w:tbl>
    <w:tblPr>
      <w:tblW w:w="18286"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96"/>
      <w:gridCol w:w="7938"/>
      <w:gridCol w:w="4252"/>
    </w:tblGrid>
    <w:tr w:rsidR="007451A0" w:rsidRPr="00F7466B" w14:paraId="58628C4D" w14:textId="77777777" w:rsidTr="00583CBD">
      <w:trPr>
        <w:trHeight w:val="678"/>
      </w:trPr>
      <w:tc>
        <w:tcPr>
          <w:tcW w:w="6096"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7F93842F" w14:textId="77777777" w:rsidR="007451A0" w:rsidRPr="00840D67" w:rsidRDefault="00A61C08" w:rsidP="00E411A3">
          <w:pPr>
            <w:jc w:val="center"/>
            <w:rPr>
              <w:rFonts w:ascii="Copperplate Gothic Bold" w:hAnsi="Copperplate Gothic Bold"/>
              <w:b/>
            </w:rPr>
          </w:pPr>
          <w:r>
            <w:rPr>
              <w:rFonts w:ascii="Copperplate Gothic Bold" w:hAnsi="Copperplate Gothic Bold"/>
              <w:b/>
            </w:rPr>
            <w:t xml:space="preserve">Acuerdos </w:t>
          </w:r>
        </w:p>
      </w:tc>
      <w:tc>
        <w:tcPr>
          <w:tcW w:w="7938"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594300C6" w14:textId="77777777" w:rsidR="007451A0" w:rsidRPr="00840D67" w:rsidRDefault="007451A0" w:rsidP="00E411A3">
          <w:pPr>
            <w:jc w:val="center"/>
            <w:rPr>
              <w:rFonts w:ascii="Copperplate Gothic Bold" w:hAnsi="Copperplate Gothic Bold"/>
              <w:b/>
            </w:rPr>
          </w:pPr>
          <w:r w:rsidRPr="00840D67">
            <w:rPr>
              <w:rFonts w:ascii="Copperplate Gothic Bold" w:hAnsi="Copperplate Gothic Bold"/>
              <w:b/>
            </w:rPr>
            <w:t xml:space="preserve">Opiniones de </w:t>
          </w:r>
          <w:r>
            <w:rPr>
              <w:rFonts w:ascii="Copperplate Gothic Bold" w:hAnsi="Copperplate Gothic Bold"/>
              <w:b/>
            </w:rPr>
            <w:t xml:space="preserve">particulares y </w:t>
          </w:r>
          <w:r w:rsidRPr="00840D67">
            <w:rPr>
              <w:rFonts w:ascii="Copperplate Gothic Bold" w:hAnsi="Copperplate Gothic Bold"/>
              <w:b/>
            </w:rPr>
            <w:t>las entidades consultadas</w:t>
          </w:r>
        </w:p>
      </w:tc>
      <w:tc>
        <w:tcPr>
          <w:tcW w:w="4252" w:type="dxa"/>
          <w:tcBorders>
            <w:top w:val="thinThickSmallGap" w:sz="24" w:space="0" w:color="auto"/>
            <w:left w:val="thinThickSmallGap" w:sz="24" w:space="0" w:color="auto"/>
            <w:bottom w:val="thinThickSmallGap" w:sz="24" w:space="0" w:color="auto"/>
            <w:right w:val="thickThinSmallGap" w:sz="24" w:space="0" w:color="auto"/>
          </w:tcBorders>
          <w:shd w:val="clear" w:color="auto" w:fill="E6E6E6"/>
          <w:vAlign w:val="center"/>
        </w:tcPr>
        <w:p w14:paraId="7A8195F3" w14:textId="77777777" w:rsidR="007451A0" w:rsidRPr="00840D67" w:rsidRDefault="007451A0" w:rsidP="00E411A3">
          <w:pPr>
            <w:jc w:val="center"/>
            <w:rPr>
              <w:rFonts w:ascii="Copperplate Gothic Bold" w:hAnsi="Copperplate Gothic Bold"/>
              <w:b/>
            </w:rPr>
          </w:pPr>
          <w:r w:rsidRPr="00840D67">
            <w:rPr>
              <w:rFonts w:ascii="Copperplate Gothic Bold" w:hAnsi="Copperplate Gothic Bold"/>
              <w:b/>
            </w:rPr>
            <w:t>Observaciones de la mesa de trabajo</w:t>
          </w:r>
        </w:p>
      </w:tc>
    </w:tr>
  </w:tbl>
  <w:p w14:paraId="57AD5E15" w14:textId="77777777" w:rsidR="00ED4AE6" w:rsidRPr="002A4133" w:rsidRDefault="00ED4AE6">
    <w:pPr>
      <w:pStyle w:val="Encabezado"/>
      <w:jc w:val="right"/>
      <w:rPr>
        <w:rFonts w:ascii="Avant Garde" w:hAnsi="Avant Garde"/>
        <w:b/>
        <w:bCs/>
        <w:i/>
        <w:iCs/>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318C5"/>
    <w:multiLevelType w:val="hybridMultilevel"/>
    <w:tmpl w:val="DF38FA12"/>
    <w:lvl w:ilvl="0" w:tplc="1FF68154">
      <w:start w:val="1"/>
      <w:numFmt w:val="decimal"/>
      <w:lvlText w:val="%1."/>
      <w:lvlJc w:val="left"/>
      <w:pPr>
        <w:ind w:left="720" w:hanging="360"/>
      </w:pPr>
    </w:lvl>
    <w:lvl w:ilvl="1" w:tplc="E084D64E">
      <w:numFmt w:val="decimal"/>
      <w:lvlText w:val=""/>
      <w:lvlJc w:val="left"/>
    </w:lvl>
    <w:lvl w:ilvl="2" w:tplc="EE5CD010">
      <w:numFmt w:val="decimal"/>
      <w:lvlText w:val=""/>
      <w:lvlJc w:val="left"/>
    </w:lvl>
    <w:lvl w:ilvl="3" w:tplc="9BD01356">
      <w:numFmt w:val="decimal"/>
      <w:lvlText w:val=""/>
      <w:lvlJc w:val="left"/>
    </w:lvl>
    <w:lvl w:ilvl="4" w:tplc="10A03DA8">
      <w:numFmt w:val="decimal"/>
      <w:lvlText w:val=""/>
      <w:lvlJc w:val="left"/>
    </w:lvl>
    <w:lvl w:ilvl="5" w:tplc="9FD2D4A2">
      <w:numFmt w:val="decimal"/>
      <w:lvlText w:val=""/>
      <w:lvlJc w:val="left"/>
    </w:lvl>
    <w:lvl w:ilvl="6" w:tplc="FD625E2C">
      <w:numFmt w:val="decimal"/>
      <w:lvlText w:val=""/>
      <w:lvlJc w:val="left"/>
    </w:lvl>
    <w:lvl w:ilvl="7" w:tplc="3D94D274">
      <w:numFmt w:val="decimal"/>
      <w:lvlText w:val=""/>
      <w:lvlJc w:val="left"/>
    </w:lvl>
    <w:lvl w:ilvl="8" w:tplc="5DB69378">
      <w:numFmt w:val="decimal"/>
      <w:lvlText w:val=""/>
      <w:lvlJc w:val="left"/>
    </w:lvl>
  </w:abstractNum>
  <w:abstractNum w:abstractNumId="1" w15:restartNumberingAfterBreak="0">
    <w:nsid w:val="6F3062AF"/>
    <w:multiLevelType w:val="hybridMultilevel"/>
    <w:tmpl w:val="5030CA7E"/>
    <w:lvl w:ilvl="0" w:tplc="E58CE42C">
      <w:start w:val="1"/>
      <w:numFmt w:val="decimal"/>
      <w:lvlText w:val="%1."/>
      <w:lvlJc w:val="left"/>
      <w:pPr>
        <w:ind w:left="720" w:hanging="360"/>
      </w:pPr>
    </w:lvl>
    <w:lvl w:ilvl="1" w:tplc="033A08D0">
      <w:numFmt w:val="decimal"/>
      <w:lvlText w:val=""/>
      <w:lvlJc w:val="left"/>
    </w:lvl>
    <w:lvl w:ilvl="2" w:tplc="645C89BC">
      <w:numFmt w:val="decimal"/>
      <w:lvlText w:val=""/>
      <w:lvlJc w:val="left"/>
    </w:lvl>
    <w:lvl w:ilvl="3" w:tplc="67A0DDE8">
      <w:numFmt w:val="decimal"/>
      <w:lvlText w:val=""/>
      <w:lvlJc w:val="left"/>
    </w:lvl>
    <w:lvl w:ilvl="4" w:tplc="AE381A70">
      <w:numFmt w:val="decimal"/>
      <w:lvlText w:val=""/>
      <w:lvlJc w:val="left"/>
    </w:lvl>
    <w:lvl w:ilvl="5" w:tplc="811A4C7C">
      <w:numFmt w:val="decimal"/>
      <w:lvlText w:val=""/>
      <w:lvlJc w:val="left"/>
    </w:lvl>
    <w:lvl w:ilvl="6" w:tplc="C4D80E7E">
      <w:numFmt w:val="decimal"/>
      <w:lvlText w:val=""/>
      <w:lvlJc w:val="left"/>
    </w:lvl>
    <w:lvl w:ilvl="7" w:tplc="45204706">
      <w:numFmt w:val="decimal"/>
      <w:lvlText w:val=""/>
      <w:lvlJc w:val="left"/>
    </w:lvl>
    <w:lvl w:ilvl="8" w:tplc="20C45C34">
      <w:numFmt w:val="decimal"/>
      <w:lvlText w:val=""/>
      <w:lvlJc w:val="left"/>
    </w:lvl>
  </w:abstractNum>
  <w:num w:numId="1" w16cid:durableId="1272467684">
    <w:abstractNumId w:val="0"/>
    <w:lvlOverride w:ilvl="0">
      <w:startOverride w:val="1"/>
    </w:lvlOverride>
  </w:num>
  <w:num w:numId="2" w16cid:durableId="926301769">
    <w:abstractNumId w:val="1"/>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8DC"/>
    <w:rsid w:val="000014E3"/>
    <w:rsid w:val="00002A6D"/>
    <w:rsid w:val="00005439"/>
    <w:rsid w:val="00005DA2"/>
    <w:rsid w:val="00012C61"/>
    <w:rsid w:val="00012DA4"/>
    <w:rsid w:val="000218FC"/>
    <w:rsid w:val="00024642"/>
    <w:rsid w:val="000248F8"/>
    <w:rsid w:val="000346C5"/>
    <w:rsid w:val="00042E46"/>
    <w:rsid w:val="00043D2A"/>
    <w:rsid w:val="000458B6"/>
    <w:rsid w:val="000533D3"/>
    <w:rsid w:val="0005424F"/>
    <w:rsid w:val="00054335"/>
    <w:rsid w:val="00054ACB"/>
    <w:rsid w:val="00055AE4"/>
    <w:rsid w:val="00055C46"/>
    <w:rsid w:val="00057B0F"/>
    <w:rsid w:val="00060802"/>
    <w:rsid w:val="0006198F"/>
    <w:rsid w:val="00063234"/>
    <w:rsid w:val="0006407D"/>
    <w:rsid w:val="00065B48"/>
    <w:rsid w:val="00066F1D"/>
    <w:rsid w:val="00071900"/>
    <w:rsid w:val="00071B7E"/>
    <w:rsid w:val="000932E0"/>
    <w:rsid w:val="0009446D"/>
    <w:rsid w:val="000A35BD"/>
    <w:rsid w:val="000A3800"/>
    <w:rsid w:val="000A5107"/>
    <w:rsid w:val="000A572A"/>
    <w:rsid w:val="000A5757"/>
    <w:rsid w:val="000A609C"/>
    <w:rsid w:val="000A6A82"/>
    <w:rsid w:val="000A6BD8"/>
    <w:rsid w:val="000B2D5E"/>
    <w:rsid w:val="000B5811"/>
    <w:rsid w:val="000C008C"/>
    <w:rsid w:val="000C2C34"/>
    <w:rsid w:val="000C372D"/>
    <w:rsid w:val="000C3EE7"/>
    <w:rsid w:val="000C41A5"/>
    <w:rsid w:val="000C54A4"/>
    <w:rsid w:val="000D2178"/>
    <w:rsid w:val="000D338C"/>
    <w:rsid w:val="000D37C4"/>
    <w:rsid w:val="000E1145"/>
    <w:rsid w:val="000E1A98"/>
    <w:rsid w:val="000E4262"/>
    <w:rsid w:val="000E57D9"/>
    <w:rsid w:val="000E7B3A"/>
    <w:rsid w:val="000F0126"/>
    <w:rsid w:val="000F1717"/>
    <w:rsid w:val="000F201D"/>
    <w:rsid w:val="000F29A1"/>
    <w:rsid w:val="000F7093"/>
    <w:rsid w:val="001041B5"/>
    <w:rsid w:val="00105F85"/>
    <w:rsid w:val="00113911"/>
    <w:rsid w:val="0011491F"/>
    <w:rsid w:val="00116297"/>
    <w:rsid w:val="00117517"/>
    <w:rsid w:val="001211E5"/>
    <w:rsid w:val="00122363"/>
    <w:rsid w:val="00122F63"/>
    <w:rsid w:val="00124C82"/>
    <w:rsid w:val="0012586D"/>
    <w:rsid w:val="00130D7F"/>
    <w:rsid w:val="00131763"/>
    <w:rsid w:val="00133FF9"/>
    <w:rsid w:val="00134EFE"/>
    <w:rsid w:val="00136575"/>
    <w:rsid w:val="001373AC"/>
    <w:rsid w:val="00145D3F"/>
    <w:rsid w:val="001502DE"/>
    <w:rsid w:val="0015087F"/>
    <w:rsid w:val="00152AE3"/>
    <w:rsid w:val="00152DA4"/>
    <w:rsid w:val="00152E27"/>
    <w:rsid w:val="00154198"/>
    <w:rsid w:val="001541F0"/>
    <w:rsid w:val="00155004"/>
    <w:rsid w:val="0015618A"/>
    <w:rsid w:val="0016008F"/>
    <w:rsid w:val="0016591B"/>
    <w:rsid w:val="00166B4E"/>
    <w:rsid w:val="00167464"/>
    <w:rsid w:val="001705EE"/>
    <w:rsid w:val="00171483"/>
    <w:rsid w:val="00175894"/>
    <w:rsid w:val="001776F9"/>
    <w:rsid w:val="001830E1"/>
    <w:rsid w:val="0018490B"/>
    <w:rsid w:val="00186475"/>
    <w:rsid w:val="001907E5"/>
    <w:rsid w:val="00190C56"/>
    <w:rsid w:val="00193A5C"/>
    <w:rsid w:val="001A1855"/>
    <w:rsid w:val="001A3F8E"/>
    <w:rsid w:val="001B0C31"/>
    <w:rsid w:val="001B52A2"/>
    <w:rsid w:val="001B5613"/>
    <w:rsid w:val="001B58D3"/>
    <w:rsid w:val="001B6572"/>
    <w:rsid w:val="001B7150"/>
    <w:rsid w:val="001C2E99"/>
    <w:rsid w:val="001C37D7"/>
    <w:rsid w:val="001C6AE5"/>
    <w:rsid w:val="001D057B"/>
    <w:rsid w:val="001D17AE"/>
    <w:rsid w:val="001D1D3D"/>
    <w:rsid w:val="001D24B1"/>
    <w:rsid w:val="001D2C9B"/>
    <w:rsid w:val="001D6F3C"/>
    <w:rsid w:val="001E0C6F"/>
    <w:rsid w:val="001E2175"/>
    <w:rsid w:val="001E3463"/>
    <w:rsid w:val="001F2A0D"/>
    <w:rsid w:val="001F4FDB"/>
    <w:rsid w:val="001F7923"/>
    <w:rsid w:val="00201E41"/>
    <w:rsid w:val="00201E71"/>
    <w:rsid w:val="002026AA"/>
    <w:rsid w:val="00202AEF"/>
    <w:rsid w:val="0020377E"/>
    <w:rsid w:val="00205F67"/>
    <w:rsid w:val="00205FEA"/>
    <w:rsid w:val="002107EA"/>
    <w:rsid w:val="00212CA6"/>
    <w:rsid w:val="00213DD8"/>
    <w:rsid w:val="00215D48"/>
    <w:rsid w:val="00216987"/>
    <w:rsid w:val="00221755"/>
    <w:rsid w:val="002223D8"/>
    <w:rsid w:val="00230449"/>
    <w:rsid w:val="00231FAF"/>
    <w:rsid w:val="002334BE"/>
    <w:rsid w:val="0023374D"/>
    <w:rsid w:val="00233A04"/>
    <w:rsid w:val="00234FB2"/>
    <w:rsid w:val="00237F1A"/>
    <w:rsid w:val="00241796"/>
    <w:rsid w:val="00245E91"/>
    <w:rsid w:val="00250910"/>
    <w:rsid w:val="00253560"/>
    <w:rsid w:val="00254089"/>
    <w:rsid w:val="00257199"/>
    <w:rsid w:val="0026060D"/>
    <w:rsid w:val="00263D9A"/>
    <w:rsid w:val="00267038"/>
    <w:rsid w:val="0027045F"/>
    <w:rsid w:val="00272612"/>
    <w:rsid w:val="00280BA8"/>
    <w:rsid w:val="00281A04"/>
    <w:rsid w:val="002825E3"/>
    <w:rsid w:val="0028571D"/>
    <w:rsid w:val="00286254"/>
    <w:rsid w:val="00287089"/>
    <w:rsid w:val="002874C5"/>
    <w:rsid w:val="0028781B"/>
    <w:rsid w:val="00292985"/>
    <w:rsid w:val="00292E5D"/>
    <w:rsid w:val="002971F9"/>
    <w:rsid w:val="00297702"/>
    <w:rsid w:val="002A1A70"/>
    <w:rsid w:val="002A4133"/>
    <w:rsid w:val="002B0233"/>
    <w:rsid w:val="002B3214"/>
    <w:rsid w:val="002B3F9E"/>
    <w:rsid w:val="002B650E"/>
    <w:rsid w:val="002B6676"/>
    <w:rsid w:val="002C3E97"/>
    <w:rsid w:val="002C4184"/>
    <w:rsid w:val="002C5A17"/>
    <w:rsid w:val="002C5F97"/>
    <w:rsid w:val="002C7E55"/>
    <w:rsid w:val="002D5259"/>
    <w:rsid w:val="002D6BAE"/>
    <w:rsid w:val="002E0916"/>
    <w:rsid w:val="002E1EDA"/>
    <w:rsid w:val="002E2AAB"/>
    <w:rsid w:val="002E339C"/>
    <w:rsid w:val="002E5C78"/>
    <w:rsid w:val="002F0E85"/>
    <w:rsid w:val="002F3887"/>
    <w:rsid w:val="002F3B2D"/>
    <w:rsid w:val="002F3EC3"/>
    <w:rsid w:val="002F4861"/>
    <w:rsid w:val="003019B6"/>
    <w:rsid w:val="00303986"/>
    <w:rsid w:val="00307DBD"/>
    <w:rsid w:val="003124BB"/>
    <w:rsid w:val="003125E3"/>
    <w:rsid w:val="00312BD8"/>
    <w:rsid w:val="003144AC"/>
    <w:rsid w:val="00314E34"/>
    <w:rsid w:val="0031781F"/>
    <w:rsid w:val="00317BBD"/>
    <w:rsid w:val="00321B11"/>
    <w:rsid w:val="00323A20"/>
    <w:rsid w:val="00323D4A"/>
    <w:rsid w:val="00324FB3"/>
    <w:rsid w:val="00331033"/>
    <w:rsid w:val="00331368"/>
    <w:rsid w:val="0033466C"/>
    <w:rsid w:val="003348A1"/>
    <w:rsid w:val="00337AAE"/>
    <w:rsid w:val="00340BF4"/>
    <w:rsid w:val="00340C54"/>
    <w:rsid w:val="0034640A"/>
    <w:rsid w:val="00347DB9"/>
    <w:rsid w:val="00352CCF"/>
    <w:rsid w:val="003576B9"/>
    <w:rsid w:val="003615DE"/>
    <w:rsid w:val="003654F8"/>
    <w:rsid w:val="00365D40"/>
    <w:rsid w:val="00366217"/>
    <w:rsid w:val="00367430"/>
    <w:rsid w:val="00370D21"/>
    <w:rsid w:val="003729C4"/>
    <w:rsid w:val="00373293"/>
    <w:rsid w:val="003759A0"/>
    <w:rsid w:val="00376D1C"/>
    <w:rsid w:val="00380A21"/>
    <w:rsid w:val="003812B6"/>
    <w:rsid w:val="00385FBC"/>
    <w:rsid w:val="00386E71"/>
    <w:rsid w:val="0038714F"/>
    <w:rsid w:val="00392D4F"/>
    <w:rsid w:val="00393141"/>
    <w:rsid w:val="003933FC"/>
    <w:rsid w:val="003947CB"/>
    <w:rsid w:val="00396FB6"/>
    <w:rsid w:val="003A0B2D"/>
    <w:rsid w:val="003A2113"/>
    <w:rsid w:val="003A331C"/>
    <w:rsid w:val="003B3B9B"/>
    <w:rsid w:val="003B7C20"/>
    <w:rsid w:val="003C0745"/>
    <w:rsid w:val="003C276C"/>
    <w:rsid w:val="003C3F3A"/>
    <w:rsid w:val="003C4675"/>
    <w:rsid w:val="003D0128"/>
    <w:rsid w:val="003D0A7E"/>
    <w:rsid w:val="003D16E3"/>
    <w:rsid w:val="003D2B5F"/>
    <w:rsid w:val="003D382C"/>
    <w:rsid w:val="003D450D"/>
    <w:rsid w:val="003D79D1"/>
    <w:rsid w:val="003E00B2"/>
    <w:rsid w:val="003E63BC"/>
    <w:rsid w:val="003F12B7"/>
    <w:rsid w:val="003F30EE"/>
    <w:rsid w:val="003F385E"/>
    <w:rsid w:val="003F4DCF"/>
    <w:rsid w:val="003F7364"/>
    <w:rsid w:val="003F7A6A"/>
    <w:rsid w:val="0040185D"/>
    <w:rsid w:val="004025B9"/>
    <w:rsid w:val="00405D22"/>
    <w:rsid w:val="0041075C"/>
    <w:rsid w:val="004112DA"/>
    <w:rsid w:val="00411E63"/>
    <w:rsid w:val="00411EDD"/>
    <w:rsid w:val="00412243"/>
    <w:rsid w:val="00414A8F"/>
    <w:rsid w:val="00415BF6"/>
    <w:rsid w:val="00426336"/>
    <w:rsid w:val="00426A11"/>
    <w:rsid w:val="0043051F"/>
    <w:rsid w:val="004311E9"/>
    <w:rsid w:val="00431B19"/>
    <w:rsid w:val="00442803"/>
    <w:rsid w:val="00442B7E"/>
    <w:rsid w:val="00444539"/>
    <w:rsid w:val="004448FB"/>
    <w:rsid w:val="00445A45"/>
    <w:rsid w:val="00447DD9"/>
    <w:rsid w:val="00451AFA"/>
    <w:rsid w:val="00454B92"/>
    <w:rsid w:val="00455BCA"/>
    <w:rsid w:val="00457D5B"/>
    <w:rsid w:val="004607AF"/>
    <w:rsid w:val="0046216E"/>
    <w:rsid w:val="00462518"/>
    <w:rsid w:val="004635CF"/>
    <w:rsid w:val="00467454"/>
    <w:rsid w:val="00471B1F"/>
    <w:rsid w:val="004746C2"/>
    <w:rsid w:val="00476630"/>
    <w:rsid w:val="00480900"/>
    <w:rsid w:val="0048273D"/>
    <w:rsid w:val="00485784"/>
    <w:rsid w:val="00490433"/>
    <w:rsid w:val="004911C3"/>
    <w:rsid w:val="004916E8"/>
    <w:rsid w:val="0049218B"/>
    <w:rsid w:val="00496D07"/>
    <w:rsid w:val="004A0131"/>
    <w:rsid w:val="004A0496"/>
    <w:rsid w:val="004A081D"/>
    <w:rsid w:val="004A1713"/>
    <w:rsid w:val="004A40AC"/>
    <w:rsid w:val="004A4572"/>
    <w:rsid w:val="004A5925"/>
    <w:rsid w:val="004A6B3E"/>
    <w:rsid w:val="004A6BAE"/>
    <w:rsid w:val="004A6DCD"/>
    <w:rsid w:val="004B1BB2"/>
    <w:rsid w:val="004B41BD"/>
    <w:rsid w:val="004B6BF8"/>
    <w:rsid w:val="004C0FC1"/>
    <w:rsid w:val="004C1672"/>
    <w:rsid w:val="004C1B22"/>
    <w:rsid w:val="004C73E3"/>
    <w:rsid w:val="004D19CD"/>
    <w:rsid w:val="004D5543"/>
    <w:rsid w:val="004E285D"/>
    <w:rsid w:val="004E29C7"/>
    <w:rsid w:val="004E365F"/>
    <w:rsid w:val="004E4797"/>
    <w:rsid w:val="004E66D4"/>
    <w:rsid w:val="004E6C56"/>
    <w:rsid w:val="004E758C"/>
    <w:rsid w:val="004F049A"/>
    <w:rsid w:val="004F190C"/>
    <w:rsid w:val="004F2148"/>
    <w:rsid w:val="004F3355"/>
    <w:rsid w:val="004F3E9A"/>
    <w:rsid w:val="00500A48"/>
    <w:rsid w:val="00500AEE"/>
    <w:rsid w:val="00504CD3"/>
    <w:rsid w:val="00505763"/>
    <w:rsid w:val="0051350E"/>
    <w:rsid w:val="00514AE6"/>
    <w:rsid w:val="00515031"/>
    <w:rsid w:val="00517AD8"/>
    <w:rsid w:val="00524B54"/>
    <w:rsid w:val="00524DA2"/>
    <w:rsid w:val="00524F36"/>
    <w:rsid w:val="00530BDF"/>
    <w:rsid w:val="00533FE2"/>
    <w:rsid w:val="00534C27"/>
    <w:rsid w:val="005365D1"/>
    <w:rsid w:val="005411E1"/>
    <w:rsid w:val="00544E93"/>
    <w:rsid w:val="00545FF0"/>
    <w:rsid w:val="0054641A"/>
    <w:rsid w:val="00551F31"/>
    <w:rsid w:val="00557778"/>
    <w:rsid w:val="00562582"/>
    <w:rsid w:val="00571C02"/>
    <w:rsid w:val="005816BA"/>
    <w:rsid w:val="00583117"/>
    <w:rsid w:val="005838CD"/>
    <w:rsid w:val="00583CBD"/>
    <w:rsid w:val="00585DCC"/>
    <w:rsid w:val="0059049B"/>
    <w:rsid w:val="0059458A"/>
    <w:rsid w:val="00596FEC"/>
    <w:rsid w:val="00597E73"/>
    <w:rsid w:val="005A59FD"/>
    <w:rsid w:val="005B0928"/>
    <w:rsid w:val="005B1A3F"/>
    <w:rsid w:val="005B4F89"/>
    <w:rsid w:val="005B7959"/>
    <w:rsid w:val="005C3747"/>
    <w:rsid w:val="005C43BE"/>
    <w:rsid w:val="005C4A59"/>
    <w:rsid w:val="005C5508"/>
    <w:rsid w:val="005C6A1D"/>
    <w:rsid w:val="005C6B05"/>
    <w:rsid w:val="005D1305"/>
    <w:rsid w:val="005D2FAF"/>
    <w:rsid w:val="005D353D"/>
    <w:rsid w:val="005D5AB9"/>
    <w:rsid w:val="005D777A"/>
    <w:rsid w:val="005E57CD"/>
    <w:rsid w:val="005E5CA8"/>
    <w:rsid w:val="005E6920"/>
    <w:rsid w:val="005F13A5"/>
    <w:rsid w:val="005F27BB"/>
    <w:rsid w:val="005F33F6"/>
    <w:rsid w:val="005F67D1"/>
    <w:rsid w:val="005F6DB8"/>
    <w:rsid w:val="006051B3"/>
    <w:rsid w:val="006110AF"/>
    <w:rsid w:val="00611AD8"/>
    <w:rsid w:val="006137D5"/>
    <w:rsid w:val="006139C6"/>
    <w:rsid w:val="00616F29"/>
    <w:rsid w:val="00617836"/>
    <w:rsid w:val="00617CEC"/>
    <w:rsid w:val="00622196"/>
    <w:rsid w:val="00624DBB"/>
    <w:rsid w:val="006268FC"/>
    <w:rsid w:val="00627B9E"/>
    <w:rsid w:val="00633B82"/>
    <w:rsid w:val="006371BD"/>
    <w:rsid w:val="00641E07"/>
    <w:rsid w:val="00642E6B"/>
    <w:rsid w:val="00644486"/>
    <w:rsid w:val="0064646B"/>
    <w:rsid w:val="00647D01"/>
    <w:rsid w:val="006504C1"/>
    <w:rsid w:val="00651671"/>
    <w:rsid w:val="00652173"/>
    <w:rsid w:val="00654A54"/>
    <w:rsid w:val="00654A8E"/>
    <w:rsid w:val="00660FC2"/>
    <w:rsid w:val="006630B2"/>
    <w:rsid w:val="00663521"/>
    <w:rsid w:val="006643A1"/>
    <w:rsid w:val="006650D6"/>
    <w:rsid w:val="006663E0"/>
    <w:rsid w:val="00672716"/>
    <w:rsid w:val="0067360C"/>
    <w:rsid w:val="006754B1"/>
    <w:rsid w:val="00675557"/>
    <w:rsid w:val="006768D0"/>
    <w:rsid w:val="00680CDC"/>
    <w:rsid w:val="00682304"/>
    <w:rsid w:val="00683662"/>
    <w:rsid w:val="00687E09"/>
    <w:rsid w:val="00692473"/>
    <w:rsid w:val="00692C82"/>
    <w:rsid w:val="0069542C"/>
    <w:rsid w:val="006A125E"/>
    <w:rsid w:val="006A4EB4"/>
    <w:rsid w:val="006A632B"/>
    <w:rsid w:val="006A6AC6"/>
    <w:rsid w:val="006B01C2"/>
    <w:rsid w:val="006B6BEE"/>
    <w:rsid w:val="006C03D4"/>
    <w:rsid w:val="006C1E6B"/>
    <w:rsid w:val="006C4748"/>
    <w:rsid w:val="006C4C8C"/>
    <w:rsid w:val="006C515A"/>
    <w:rsid w:val="006C5193"/>
    <w:rsid w:val="006C69E2"/>
    <w:rsid w:val="006C6FED"/>
    <w:rsid w:val="006C7F54"/>
    <w:rsid w:val="006D01C4"/>
    <w:rsid w:val="006D6A13"/>
    <w:rsid w:val="006D7C1E"/>
    <w:rsid w:val="006E407D"/>
    <w:rsid w:val="006E4145"/>
    <w:rsid w:val="006F019A"/>
    <w:rsid w:val="006F0EC3"/>
    <w:rsid w:val="006F1201"/>
    <w:rsid w:val="006F4286"/>
    <w:rsid w:val="006F52C6"/>
    <w:rsid w:val="0070328D"/>
    <w:rsid w:val="00706BAD"/>
    <w:rsid w:val="00710E78"/>
    <w:rsid w:val="00716016"/>
    <w:rsid w:val="0071647D"/>
    <w:rsid w:val="00717AD5"/>
    <w:rsid w:val="00721CA4"/>
    <w:rsid w:val="00724B66"/>
    <w:rsid w:val="00725FA4"/>
    <w:rsid w:val="00727D87"/>
    <w:rsid w:val="0073489E"/>
    <w:rsid w:val="007353BA"/>
    <w:rsid w:val="007359C2"/>
    <w:rsid w:val="00740600"/>
    <w:rsid w:val="00743D78"/>
    <w:rsid w:val="007451A0"/>
    <w:rsid w:val="007529C0"/>
    <w:rsid w:val="00753D99"/>
    <w:rsid w:val="007541C6"/>
    <w:rsid w:val="00757828"/>
    <w:rsid w:val="007614FD"/>
    <w:rsid w:val="0076164F"/>
    <w:rsid w:val="00763B32"/>
    <w:rsid w:val="00763CEF"/>
    <w:rsid w:val="00765422"/>
    <w:rsid w:val="007675BA"/>
    <w:rsid w:val="007705CF"/>
    <w:rsid w:val="00771983"/>
    <w:rsid w:val="00774BE8"/>
    <w:rsid w:val="007758AF"/>
    <w:rsid w:val="0077624C"/>
    <w:rsid w:val="00776603"/>
    <w:rsid w:val="007804A1"/>
    <w:rsid w:val="00781E27"/>
    <w:rsid w:val="00785714"/>
    <w:rsid w:val="00791252"/>
    <w:rsid w:val="00791C94"/>
    <w:rsid w:val="0079445A"/>
    <w:rsid w:val="007950F6"/>
    <w:rsid w:val="00796940"/>
    <w:rsid w:val="007A0792"/>
    <w:rsid w:val="007A465B"/>
    <w:rsid w:val="007A62E6"/>
    <w:rsid w:val="007A688E"/>
    <w:rsid w:val="007B0C5D"/>
    <w:rsid w:val="007B0F1D"/>
    <w:rsid w:val="007B1A02"/>
    <w:rsid w:val="007B2D8F"/>
    <w:rsid w:val="007B3B96"/>
    <w:rsid w:val="007C161B"/>
    <w:rsid w:val="007C6F43"/>
    <w:rsid w:val="007D2702"/>
    <w:rsid w:val="007D3154"/>
    <w:rsid w:val="007D5734"/>
    <w:rsid w:val="007D6522"/>
    <w:rsid w:val="007D6CA4"/>
    <w:rsid w:val="007E182A"/>
    <w:rsid w:val="007E5B75"/>
    <w:rsid w:val="007E6C5B"/>
    <w:rsid w:val="007F0CD2"/>
    <w:rsid w:val="007F2208"/>
    <w:rsid w:val="007F300F"/>
    <w:rsid w:val="007F534F"/>
    <w:rsid w:val="00802260"/>
    <w:rsid w:val="00806454"/>
    <w:rsid w:val="00807D91"/>
    <w:rsid w:val="008158BD"/>
    <w:rsid w:val="008228F5"/>
    <w:rsid w:val="008230E9"/>
    <w:rsid w:val="00827D40"/>
    <w:rsid w:val="00830349"/>
    <w:rsid w:val="00830696"/>
    <w:rsid w:val="00843A46"/>
    <w:rsid w:val="00846E3F"/>
    <w:rsid w:val="0085165C"/>
    <w:rsid w:val="008517D9"/>
    <w:rsid w:val="00852313"/>
    <w:rsid w:val="008533A6"/>
    <w:rsid w:val="00857E48"/>
    <w:rsid w:val="00861473"/>
    <w:rsid w:val="00861EA5"/>
    <w:rsid w:val="008625A6"/>
    <w:rsid w:val="00863194"/>
    <w:rsid w:val="008648D5"/>
    <w:rsid w:val="00866DDC"/>
    <w:rsid w:val="00873C35"/>
    <w:rsid w:val="008755F2"/>
    <w:rsid w:val="00876274"/>
    <w:rsid w:val="0087719F"/>
    <w:rsid w:val="00880B7B"/>
    <w:rsid w:val="00885070"/>
    <w:rsid w:val="0088556F"/>
    <w:rsid w:val="00885B0B"/>
    <w:rsid w:val="00886149"/>
    <w:rsid w:val="0089687F"/>
    <w:rsid w:val="00897313"/>
    <w:rsid w:val="008A070E"/>
    <w:rsid w:val="008A0C41"/>
    <w:rsid w:val="008A1A0F"/>
    <w:rsid w:val="008A1F56"/>
    <w:rsid w:val="008A4DF5"/>
    <w:rsid w:val="008A5836"/>
    <w:rsid w:val="008A60A0"/>
    <w:rsid w:val="008B0580"/>
    <w:rsid w:val="008B0854"/>
    <w:rsid w:val="008B0871"/>
    <w:rsid w:val="008B205D"/>
    <w:rsid w:val="008B240E"/>
    <w:rsid w:val="008B31DB"/>
    <w:rsid w:val="008B39BD"/>
    <w:rsid w:val="008C6D30"/>
    <w:rsid w:val="008C7970"/>
    <w:rsid w:val="008C79F3"/>
    <w:rsid w:val="008D349F"/>
    <w:rsid w:val="008D55F4"/>
    <w:rsid w:val="008D621D"/>
    <w:rsid w:val="008E1479"/>
    <w:rsid w:val="008E1BA5"/>
    <w:rsid w:val="008F0D63"/>
    <w:rsid w:val="008F12E4"/>
    <w:rsid w:val="008F3A8D"/>
    <w:rsid w:val="008F3B4D"/>
    <w:rsid w:val="008F69D0"/>
    <w:rsid w:val="008F70FE"/>
    <w:rsid w:val="008F77D8"/>
    <w:rsid w:val="008F7A54"/>
    <w:rsid w:val="008F7D13"/>
    <w:rsid w:val="00902178"/>
    <w:rsid w:val="00902D07"/>
    <w:rsid w:val="00905DB3"/>
    <w:rsid w:val="00907B63"/>
    <w:rsid w:val="009123FC"/>
    <w:rsid w:val="00916456"/>
    <w:rsid w:val="0092356B"/>
    <w:rsid w:val="0092463D"/>
    <w:rsid w:val="00930168"/>
    <w:rsid w:val="00931BF8"/>
    <w:rsid w:val="0093210E"/>
    <w:rsid w:val="009325F9"/>
    <w:rsid w:val="00932BA9"/>
    <w:rsid w:val="00933C84"/>
    <w:rsid w:val="00934979"/>
    <w:rsid w:val="00935171"/>
    <w:rsid w:val="0093554F"/>
    <w:rsid w:val="0093606B"/>
    <w:rsid w:val="009369E1"/>
    <w:rsid w:val="009376E9"/>
    <w:rsid w:val="009428D9"/>
    <w:rsid w:val="00943EBD"/>
    <w:rsid w:val="009453BD"/>
    <w:rsid w:val="0094553E"/>
    <w:rsid w:val="009512D0"/>
    <w:rsid w:val="00951585"/>
    <w:rsid w:val="00953971"/>
    <w:rsid w:val="00954128"/>
    <w:rsid w:val="00955591"/>
    <w:rsid w:val="0095585C"/>
    <w:rsid w:val="00957D53"/>
    <w:rsid w:val="009649AC"/>
    <w:rsid w:val="00964E34"/>
    <w:rsid w:val="009677F5"/>
    <w:rsid w:val="0097227D"/>
    <w:rsid w:val="009731B4"/>
    <w:rsid w:val="00977C3F"/>
    <w:rsid w:val="009832CB"/>
    <w:rsid w:val="00990353"/>
    <w:rsid w:val="0099117D"/>
    <w:rsid w:val="009945A7"/>
    <w:rsid w:val="009A1E1F"/>
    <w:rsid w:val="009A24DE"/>
    <w:rsid w:val="009A492C"/>
    <w:rsid w:val="009A56B3"/>
    <w:rsid w:val="009B044C"/>
    <w:rsid w:val="009B3BF6"/>
    <w:rsid w:val="009B4401"/>
    <w:rsid w:val="009B4461"/>
    <w:rsid w:val="009B51A0"/>
    <w:rsid w:val="009B567F"/>
    <w:rsid w:val="009B7201"/>
    <w:rsid w:val="009B7BB5"/>
    <w:rsid w:val="009B7DA2"/>
    <w:rsid w:val="009C30B7"/>
    <w:rsid w:val="009C4145"/>
    <w:rsid w:val="009C5755"/>
    <w:rsid w:val="009C6F45"/>
    <w:rsid w:val="009D03F6"/>
    <w:rsid w:val="009D17CF"/>
    <w:rsid w:val="009D2287"/>
    <w:rsid w:val="009D22B4"/>
    <w:rsid w:val="009D2760"/>
    <w:rsid w:val="009D5C6D"/>
    <w:rsid w:val="009D7FF3"/>
    <w:rsid w:val="009E198C"/>
    <w:rsid w:val="009E1F83"/>
    <w:rsid w:val="009E4918"/>
    <w:rsid w:val="009E669D"/>
    <w:rsid w:val="009E67C1"/>
    <w:rsid w:val="009E6956"/>
    <w:rsid w:val="009E7EFB"/>
    <w:rsid w:val="009F2865"/>
    <w:rsid w:val="009F3AEC"/>
    <w:rsid w:val="00A0032D"/>
    <w:rsid w:val="00A01A01"/>
    <w:rsid w:val="00A02B1C"/>
    <w:rsid w:val="00A036B8"/>
    <w:rsid w:val="00A071DE"/>
    <w:rsid w:val="00A1157E"/>
    <w:rsid w:val="00A156D0"/>
    <w:rsid w:val="00A15D49"/>
    <w:rsid w:val="00A166C1"/>
    <w:rsid w:val="00A16B36"/>
    <w:rsid w:val="00A16FC2"/>
    <w:rsid w:val="00A17091"/>
    <w:rsid w:val="00A17288"/>
    <w:rsid w:val="00A25EC6"/>
    <w:rsid w:val="00A26502"/>
    <w:rsid w:val="00A27057"/>
    <w:rsid w:val="00A31F10"/>
    <w:rsid w:val="00A321B6"/>
    <w:rsid w:val="00A33A9B"/>
    <w:rsid w:val="00A42024"/>
    <w:rsid w:val="00A43E1D"/>
    <w:rsid w:val="00A52B41"/>
    <w:rsid w:val="00A52F33"/>
    <w:rsid w:val="00A54C82"/>
    <w:rsid w:val="00A603D8"/>
    <w:rsid w:val="00A6089A"/>
    <w:rsid w:val="00A614EC"/>
    <w:rsid w:val="00A61C08"/>
    <w:rsid w:val="00A62846"/>
    <w:rsid w:val="00A63AFE"/>
    <w:rsid w:val="00A656C3"/>
    <w:rsid w:val="00A721FF"/>
    <w:rsid w:val="00A72F01"/>
    <w:rsid w:val="00A73835"/>
    <w:rsid w:val="00A75AC8"/>
    <w:rsid w:val="00A81F61"/>
    <w:rsid w:val="00A83090"/>
    <w:rsid w:val="00A84AB4"/>
    <w:rsid w:val="00A852FA"/>
    <w:rsid w:val="00A8536E"/>
    <w:rsid w:val="00A86C15"/>
    <w:rsid w:val="00A908F8"/>
    <w:rsid w:val="00A94E14"/>
    <w:rsid w:val="00A95599"/>
    <w:rsid w:val="00A95F16"/>
    <w:rsid w:val="00A96561"/>
    <w:rsid w:val="00A978E1"/>
    <w:rsid w:val="00AA1350"/>
    <w:rsid w:val="00AA29F4"/>
    <w:rsid w:val="00AA4DB1"/>
    <w:rsid w:val="00AB0C7D"/>
    <w:rsid w:val="00AB0FE7"/>
    <w:rsid w:val="00AB1B46"/>
    <w:rsid w:val="00AB218D"/>
    <w:rsid w:val="00AB2966"/>
    <w:rsid w:val="00AC2F56"/>
    <w:rsid w:val="00AC390C"/>
    <w:rsid w:val="00AC6EF4"/>
    <w:rsid w:val="00AC70E2"/>
    <w:rsid w:val="00AC776A"/>
    <w:rsid w:val="00AD03A2"/>
    <w:rsid w:val="00AD044C"/>
    <w:rsid w:val="00AD4A3C"/>
    <w:rsid w:val="00AD601E"/>
    <w:rsid w:val="00AE2929"/>
    <w:rsid w:val="00AE3B75"/>
    <w:rsid w:val="00AE4804"/>
    <w:rsid w:val="00AF280B"/>
    <w:rsid w:val="00AF49C6"/>
    <w:rsid w:val="00AF775F"/>
    <w:rsid w:val="00B0048B"/>
    <w:rsid w:val="00B030D7"/>
    <w:rsid w:val="00B12267"/>
    <w:rsid w:val="00B12773"/>
    <w:rsid w:val="00B14BFC"/>
    <w:rsid w:val="00B24516"/>
    <w:rsid w:val="00B26987"/>
    <w:rsid w:val="00B30E01"/>
    <w:rsid w:val="00B32550"/>
    <w:rsid w:val="00B34979"/>
    <w:rsid w:val="00B35DDF"/>
    <w:rsid w:val="00B40824"/>
    <w:rsid w:val="00B4280B"/>
    <w:rsid w:val="00B43A5C"/>
    <w:rsid w:val="00B444F7"/>
    <w:rsid w:val="00B4590D"/>
    <w:rsid w:val="00B462F5"/>
    <w:rsid w:val="00B46EF4"/>
    <w:rsid w:val="00B50950"/>
    <w:rsid w:val="00B53971"/>
    <w:rsid w:val="00B5417A"/>
    <w:rsid w:val="00B54AF1"/>
    <w:rsid w:val="00B55217"/>
    <w:rsid w:val="00B557D4"/>
    <w:rsid w:val="00B62854"/>
    <w:rsid w:val="00B64E0F"/>
    <w:rsid w:val="00B651FD"/>
    <w:rsid w:val="00B6527C"/>
    <w:rsid w:val="00B65465"/>
    <w:rsid w:val="00B6723B"/>
    <w:rsid w:val="00B71FD1"/>
    <w:rsid w:val="00B72483"/>
    <w:rsid w:val="00B730B5"/>
    <w:rsid w:val="00B735C6"/>
    <w:rsid w:val="00B7607F"/>
    <w:rsid w:val="00B76330"/>
    <w:rsid w:val="00B76758"/>
    <w:rsid w:val="00B77F3B"/>
    <w:rsid w:val="00B825AA"/>
    <w:rsid w:val="00B8289E"/>
    <w:rsid w:val="00B83890"/>
    <w:rsid w:val="00B851DC"/>
    <w:rsid w:val="00B9640D"/>
    <w:rsid w:val="00B96723"/>
    <w:rsid w:val="00B9714B"/>
    <w:rsid w:val="00B9791F"/>
    <w:rsid w:val="00BA012E"/>
    <w:rsid w:val="00BA4387"/>
    <w:rsid w:val="00BA4578"/>
    <w:rsid w:val="00BA5708"/>
    <w:rsid w:val="00BA6C75"/>
    <w:rsid w:val="00BA7B9C"/>
    <w:rsid w:val="00BB0A7F"/>
    <w:rsid w:val="00BB526D"/>
    <w:rsid w:val="00BB5A71"/>
    <w:rsid w:val="00BC4FF8"/>
    <w:rsid w:val="00BC707D"/>
    <w:rsid w:val="00BC7B87"/>
    <w:rsid w:val="00BD263E"/>
    <w:rsid w:val="00BD2E30"/>
    <w:rsid w:val="00BE14C1"/>
    <w:rsid w:val="00BE4453"/>
    <w:rsid w:val="00BE4CD4"/>
    <w:rsid w:val="00BE5912"/>
    <w:rsid w:val="00BE6237"/>
    <w:rsid w:val="00BE65FD"/>
    <w:rsid w:val="00BF134E"/>
    <w:rsid w:val="00BF1673"/>
    <w:rsid w:val="00BF4C94"/>
    <w:rsid w:val="00C0066F"/>
    <w:rsid w:val="00C012BE"/>
    <w:rsid w:val="00C02931"/>
    <w:rsid w:val="00C02AE5"/>
    <w:rsid w:val="00C1267D"/>
    <w:rsid w:val="00C14120"/>
    <w:rsid w:val="00C20D21"/>
    <w:rsid w:val="00C225EF"/>
    <w:rsid w:val="00C228A9"/>
    <w:rsid w:val="00C2397E"/>
    <w:rsid w:val="00C24126"/>
    <w:rsid w:val="00C2703A"/>
    <w:rsid w:val="00C27B6F"/>
    <w:rsid w:val="00C328BE"/>
    <w:rsid w:val="00C33D16"/>
    <w:rsid w:val="00C33D9B"/>
    <w:rsid w:val="00C34B5B"/>
    <w:rsid w:val="00C34E5C"/>
    <w:rsid w:val="00C35E80"/>
    <w:rsid w:val="00C3602A"/>
    <w:rsid w:val="00C4015F"/>
    <w:rsid w:val="00C41F70"/>
    <w:rsid w:val="00C43423"/>
    <w:rsid w:val="00C450D2"/>
    <w:rsid w:val="00C467F6"/>
    <w:rsid w:val="00C473A5"/>
    <w:rsid w:val="00C47824"/>
    <w:rsid w:val="00C5366F"/>
    <w:rsid w:val="00C54FC4"/>
    <w:rsid w:val="00C558F6"/>
    <w:rsid w:val="00C567C5"/>
    <w:rsid w:val="00C57F8B"/>
    <w:rsid w:val="00C6394D"/>
    <w:rsid w:val="00C64244"/>
    <w:rsid w:val="00C65FA2"/>
    <w:rsid w:val="00C669AC"/>
    <w:rsid w:val="00C67FCC"/>
    <w:rsid w:val="00C7124B"/>
    <w:rsid w:val="00C729C1"/>
    <w:rsid w:val="00C72EB7"/>
    <w:rsid w:val="00C747D8"/>
    <w:rsid w:val="00C74AB3"/>
    <w:rsid w:val="00C74D34"/>
    <w:rsid w:val="00C75E27"/>
    <w:rsid w:val="00C762DB"/>
    <w:rsid w:val="00C765D1"/>
    <w:rsid w:val="00C80EAC"/>
    <w:rsid w:val="00C848F5"/>
    <w:rsid w:val="00C8684A"/>
    <w:rsid w:val="00C87516"/>
    <w:rsid w:val="00CA0293"/>
    <w:rsid w:val="00CA5B16"/>
    <w:rsid w:val="00CB4507"/>
    <w:rsid w:val="00CB466B"/>
    <w:rsid w:val="00CB6D3F"/>
    <w:rsid w:val="00CC07E9"/>
    <w:rsid w:val="00CC2BFB"/>
    <w:rsid w:val="00CC2F8F"/>
    <w:rsid w:val="00CC3355"/>
    <w:rsid w:val="00CC5BB2"/>
    <w:rsid w:val="00CC7731"/>
    <w:rsid w:val="00CD0623"/>
    <w:rsid w:val="00CD0B21"/>
    <w:rsid w:val="00CD2300"/>
    <w:rsid w:val="00CD3559"/>
    <w:rsid w:val="00CD5A06"/>
    <w:rsid w:val="00CD5D07"/>
    <w:rsid w:val="00CD77E0"/>
    <w:rsid w:val="00CF039C"/>
    <w:rsid w:val="00CF03BB"/>
    <w:rsid w:val="00CF23C1"/>
    <w:rsid w:val="00CF3326"/>
    <w:rsid w:val="00CF444A"/>
    <w:rsid w:val="00CF5D0F"/>
    <w:rsid w:val="00D000F8"/>
    <w:rsid w:val="00D00990"/>
    <w:rsid w:val="00D03186"/>
    <w:rsid w:val="00D04C2D"/>
    <w:rsid w:val="00D056A1"/>
    <w:rsid w:val="00D10E8F"/>
    <w:rsid w:val="00D14B49"/>
    <w:rsid w:val="00D14D4F"/>
    <w:rsid w:val="00D14F72"/>
    <w:rsid w:val="00D20065"/>
    <w:rsid w:val="00D21DB6"/>
    <w:rsid w:val="00D2360C"/>
    <w:rsid w:val="00D23753"/>
    <w:rsid w:val="00D25C88"/>
    <w:rsid w:val="00D260E3"/>
    <w:rsid w:val="00D26D11"/>
    <w:rsid w:val="00D33310"/>
    <w:rsid w:val="00D34F56"/>
    <w:rsid w:val="00D37E4A"/>
    <w:rsid w:val="00D40875"/>
    <w:rsid w:val="00D41237"/>
    <w:rsid w:val="00D42E18"/>
    <w:rsid w:val="00D4405C"/>
    <w:rsid w:val="00D473A5"/>
    <w:rsid w:val="00D47711"/>
    <w:rsid w:val="00D47BE2"/>
    <w:rsid w:val="00D50623"/>
    <w:rsid w:val="00D5274D"/>
    <w:rsid w:val="00D568DC"/>
    <w:rsid w:val="00D61F43"/>
    <w:rsid w:val="00D61F90"/>
    <w:rsid w:val="00D633BE"/>
    <w:rsid w:val="00D63611"/>
    <w:rsid w:val="00D71858"/>
    <w:rsid w:val="00D72850"/>
    <w:rsid w:val="00D73487"/>
    <w:rsid w:val="00D740D9"/>
    <w:rsid w:val="00D8014F"/>
    <w:rsid w:val="00D80E72"/>
    <w:rsid w:val="00D814C2"/>
    <w:rsid w:val="00D835F5"/>
    <w:rsid w:val="00D84AD7"/>
    <w:rsid w:val="00D84C17"/>
    <w:rsid w:val="00D866E1"/>
    <w:rsid w:val="00D8779C"/>
    <w:rsid w:val="00D914BD"/>
    <w:rsid w:val="00D916E3"/>
    <w:rsid w:val="00D9292D"/>
    <w:rsid w:val="00D93505"/>
    <w:rsid w:val="00D96EC8"/>
    <w:rsid w:val="00DA1415"/>
    <w:rsid w:val="00DA2EE5"/>
    <w:rsid w:val="00DA5957"/>
    <w:rsid w:val="00DB0000"/>
    <w:rsid w:val="00DB68B6"/>
    <w:rsid w:val="00DB7A15"/>
    <w:rsid w:val="00DC20F6"/>
    <w:rsid w:val="00DC6959"/>
    <w:rsid w:val="00DC6E56"/>
    <w:rsid w:val="00DC78B2"/>
    <w:rsid w:val="00DC791A"/>
    <w:rsid w:val="00DD03AF"/>
    <w:rsid w:val="00DD1AD4"/>
    <w:rsid w:val="00DD291B"/>
    <w:rsid w:val="00DD60C5"/>
    <w:rsid w:val="00DE01B5"/>
    <w:rsid w:val="00DE0EAB"/>
    <w:rsid w:val="00DE249E"/>
    <w:rsid w:val="00DE36D3"/>
    <w:rsid w:val="00DE3A19"/>
    <w:rsid w:val="00DE3E6F"/>
    <w:rsid w:val="00DF1892"/>
    <w:rsid w:val="00DF3650"/>
    <w:rsid w:val="00DF5D90"/>
    <w:rsid w:val="00DF7DB6"/>
    <w:rsid w:val="00E02227"/>
    <w:rsid w:val="00E14B6C"/>
    <w:rsid w:val="00E1614B"/>
    <w:rsid w:val="00E175FB"/>
    <w:rsid w:val="00E17824"/>
    <w:rsid w:val="00E17997"/>
    <w:rsid w:val="00E223F0"/>
    <w:rsid w:val="00E23187"/>
    <w:rsid w:val="00E24B47"/>
    <w:rsid w:val="00E24CF4"/>
    <w:rsid w:val="00E25E66"/>
    <w:rsid w:val="00E263DA"/>
    <w:rsid w:val="00E268D0"/>
    <w:rsid w:val="00E27242"/>
    <w:rsid w:val="00E30589"/>
    <w:rsid w:val="00E3139C"/>
    <w:rsid w:val="00E3199E"/>
    <w:rsid w:val="00E33527"/>
    <w:rsid w:val="00E3648A"/>
    <w:rsid w:val="00E36B4B"/>
    <w:rsid w:val="00E402DC"/>
    <w:rsid w:val="00E411A3"/>
    <w:rsid w:val="00E41D72"/>
    <w:rsid w:val="00E4240D"/>
    <w:rsid w:val="00E43001"/>
    <w:rsid w:val="00E441D6"/>
    <w:rsid w:val="00E4452F"/>
    <w:rsid w:val="00E445BF"/>
    <w:rsid w:val="00E45629"/>
    <w:rsid w:val="00E46813"/>
    <w:rsid w:val="00E46C2A"/>
    <w:rsid w:val="00E5492E"/>
    <w:rsid w:val="00E54E11"/>
    <w:rsid w:val="00E55D95"/>
    <w:rsid w:val="00E6042F"/>
    <w:rsid w:val="00E60A1E"/>
    <w:rsid w:val="00E62929"/>
    <w:rsid w:val="00E62ED6"/>
    <w:rsid w:val="00E66191"/>
    <w:rsid w:val="00E66DF4"/>
    <w:rsid w:val="00E70A56"/>
    <w:rsid w:val="00E73FF6"/>
    <w:rsid w:val="00E74912"/>
    <w:rsid w:val="00E74CA0"/>
    <w:rsid w:val="00E750D7"/>
    <w:rsid w:val="00E80523"/>
    <w:rsid w:val="00E83B83"/>
    <w:rsid w:val="00E85DEC"/>
    <w:rsid w:val="00E90B58"/>
    <w:rsid w:val="00EA1D8F"/>
    <w:rsid w:val="00EA4508"/>
    <w:rsid w:val="00EB13E8"/>
    <w:rsid w:val="00EB4BFB"/>
    <w:rsid w:val="00EC1FCF"/>
    <w:rsid w:val="00EC5F5A"/>
    <w:rsid w:val="00EC614A"/>
    <w:rsid w:val="00ED20B8"/>
    <w:rsid w:val="00ED270D"/>
    <w:rsid w:val="00ED3C5F"/>
    <w:rsid w:val="00ED45A8"/>
    <w:rsid w:val="00ED4AE6"/>
    <w:rsid w:val="00ED4BDB"/>
    <w:rsid w:val="00EE0100"/>
    <w:rsid w:val="00EE2BB7"/>
    <w:rsid w:val="00EE5701"/>
    <w:rsid w:val="00EE6287"/>
    <w:rsid w:val="00EF0020"/>
    <w:rsid w:val="00EF0E82"/>
    <w:rsid w:val="00EF12AF"/>
    <w:rsid w:val="00EF2EFE"/>
    <w:rsid w:val="00EF4C32"/>
    <w:rsid w:val="00EF56FD"/>
    <w:rsid w:val="00EF78CD"/>
    <w:rsid w:val="00F001D2"/>
    <w:rsid w:val="00F003F0"/>
    <w:rsid w:val="00F007F1"/>
    <w:rsid w:val="00F02FA9"/>
    <w:rsid w:val="00F033FB"/>
    <w:rsid w:val="00F04B24"/>
    <w:rsid w:val="00F04E5D"/>
    <w:rsid w:val="00F111C9"/>
    <w:rsid w:val="00F17BD3"/>
    <w:rsid w:val="00F2311F"/>
    <w:rsid w:val="00F23B80"/>
    <w:rsid w:val="00F24370"/>
    <w:rsid w:val="00F27B6C"/>
    <w:rsid w:val="00F337DD"/>
    <w:rsid w:val="00F353B5"/>
    <w:rsid w:val="00F368FD"/>
    <w:rsid w:val="00F37B49"/>
    <w:rsid w:val="00F40898"/>
    <w:rsid w:val="00F441F0"/>
    <w:rsid w:val="00F461E0"/>
    <w:rsid w:val="00F47F49"/>
    <w:rsid w:val="00F5174D"/>
    <w:rsid w:val="00F52652"/>
    <w:rsid w:val="00F5378A"/>
    <w:rsid w:val="00F551A9"/>
    <w:rsid w:val="00F56196"/>
    <w:rsid w:val="00F563A7"/>
    <w:rsid w:val="00F57D0F"/>
    <w:rsid w:val="00F60005"/>
    <w:rsid w:val="00F66CFE"/>
    <w:rsid w:val="00F671D8"/>
    <w:rsid w:val="00F704CA"/>
    <w:rsid w:val="00F73375"/>
    <w:rsid w:val="00F769D6"/>
    <w:rsid w:val="00F80C80"/>
    <w:rsid w:val="00F80F8E"/>
    <w:rsid w:val="00F82C2A"/>
    <w:rsid w:val="00F870F1"/>
    <w:rsid w:val="00F90DBB"/>
    <w:rsid w:val="00F92270"/>
    <w:rsid w:val="00F9455F"/>
    <w:rsid w:val="00F9545D"/>
    <w:rsid w:val="00F95F3D"/>
    <w:rsid w:val="00FA19FC"/>
    <w:rsid w:val="00FA28CC"/>
    <w:rsid w:val="00FA3941"/>
    <w:rsid w:val="00FA4DFC"/>
    <w:rsid w:val="00FA76BD"/>
    <w:rsid w:val="00FB0580"/>
    <w:rsid w:val="00FB061C"/>
    <w:rsid w:val="00FB27AB"/>
    <w:rsid w:val="00FB34C7"/>
    <w:rsid w:val="00FB6214"/>
    <w:rsid w:val="00FB6F9D"/>
    <w:rsid w:val="00FB7B85"/>
    <w:rsid w:val="00FB7F5A"/>
    <w:rsid w:val="00FC19C3"/>
    <w:rsid w:val="00FC632C"/>
    <w:rsid w:val="00FD277B"/>
    <w:rsid w:val="00FD5426"/>
    <w:rsid w:val="00FE04C9"/>
    <w:rsid w:val="00FE2FC0"/>
    <w:rsid w:val="00FE474B"/>
    <w:rsid w:val="00FE538D"/>
    <w:rsid w:val="00FF24B8"/>
    <w:rsid w:val="00FF6DE6"/>
    <w:rsid w:val="00FF7513"/>
    <w:rsid w:val="00FF7F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47B8D"/>
  <w15:chartTrackingRefBased/>
  <w15:docId w15:val="{3375FD53-B9C3-4E1A-8755-B2AF829BF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8DC"/>
    <w:rPr>
      <w:rFonts w:ascii="Times New Roman" w:eastAsia="Times New Roman" w:hAnsi="Times New Roman"/>
      <w:sz w:val="24"/>
      <w:szCs w:val="24"/>
      <w:lang w:val="es-ES" w:eastAsia="es-ES"/>
    </w:rPr>
  </w:style>
  <w:style w:type="paragraph" w:styleId="Ttulo2">
    <w:name w:val="heading 2"/>
    <w:basedOn w:val="Normal"/>
    <w:next w:val="Normal"/>
    <w:link w:val="Ttulo2Car"/>
    <w:qFormat/>
    <w:rsid w:val="00D568DC"/>
    <w:pPr>
      <w:keepNext/>
      <w:jc w:val="center"/>
      <w:outlineLvl w:val="1"/>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D568DC"/>
    <w:rPr>
      <w:rFonts w:ascii="Times New Roman" w:eastAsia="Times New Roman" w:hAnsi="Times New Roman" w:cs="Times New Roman"/>
      <w:b/>
      <w:bCs/>
      <w:sz w:val="28"/>
      <w:szCs w:val="28"/>
      <w:lang w:val="es-ES" w:eastAsia="es-ES"/>
    </w:rPr>
  </w:style>
  <w:style w:type="paragraph" w:styleId="Textoindependiente">
    <w:name w:val="Body Text"/>
    <w:basedOn w:val="Normal"/>
    <w:link w:val="TextoindependienteCar"/>
    <w:rsid w:val="00D568DC"/>
    <w:pPr>
      <w:widowControl w:val="0"/>
      <w:autoSpaceDE w:val="0"/>
      <w:autoSpaceDN w:val="0"/>
      <w:adjustRightInd w:val="0"/>
      <w:jc w:val="both"/>
    </w:pPr>
    <w:rPr>
      <w:sz w:val="28"/>
      <w:szCs w:val="28"/>
    </w:rPr>
  </w:style>
  <w:style w:type="character" w:customStyle="1" w:styleId="TextoindependienteCar">
    <w:name w:val="Texto independiente Car"/>
    <w:link w:val="Textoindependiente"/>
    <w:rsid w:val="00D568DC"/>
    <w:rPr>
      <w:rFonts w:ascii="Times New Roman" w:eastAsia="Times New Roman" w:hAnsi="Times New Roman" w:cs="Times New Roman"/>
      <w:sz w:val="28"/>
      <w:szCs w:val="28"/>
      <w:lang w:val="es-ES" w:eastAsia="es-ES"/>
    </w:rPr>
  </w:style>
  <w:style w:type="paragraph" w:styleId="Encabezado">
    <w:name w:val="header"/>
    <w:basedOn w:val="Normal"/>
    <w:link w:val="EncabezadoCar"/>
    <w:uiPriority w:val="99"/>
    <w:rsid w:val="00D568DC"/>
    <w:pPr>
      <w:tabs>
        <w:tab w:val="center" w:pos="4419"/>
        <w:tab w:val="right" w:pos="8838"/>
      </w:tabs>
    </w:pPr>
  </w:style>
  <w:style w:type="character" w:customStyle="1" w:styleId="EncabezadoCar">
    <w:name w:val="Encabezado Car"/>
    <w:link w:val="Encabezado"/>
    <w:uiPriority w:val="99"/>
    <w:rsid w:val="00D568DC"/>
    <w:rPr>
      <w:rFonts w:ascii="Times New Roman" w:eastAsia="Times New Roman" w:hAnsi="Times New Roman" w:cs="Times New Roman"/>
      <w:sz w:val="24"/>
      <w:szCs w:val="24"/>
      <w:lang w:val="es-ES" w:eastAsia="es-ES"/>
    </w:rPr>
  </w:style>
  <w:style w:type="character" w:styleId="Nmerodepgina">
    <w:name w:val="page number"/>
    <w:rsid w:val="00D568DC"/>
  </w:style>
  <w:style w:type="paragraph" w:styleId="Piedepgina">
    <w:name w:val="footer"/>
    <w:basedOn w:val="Normal"/>
    <w:link w:val="PiedepginaCar"/>
    <w:rsid w:val="00D568DC"/>
    <w:pPr>
      <w:tabs>
        <w:tab w:val="center" w:pos="4419"/>
        <w:tab w:val="right" w:pos="8838"/>
      </w:tabs>
    </w:pPr>
  </w:style>
  <w:style w:type="character" w:customStyle="1" w:styleId="PiedepginaCar">
    <w:name w:val="Pie de página Car"/>
    <w:link w:val="Piedepgina"/>
    <w:rsid w:val="00D568DC"/>
    <w:rPr>
      <w:rFonts w:ascii="Times New Roman" w:eastAsia="Times New Roman" w:hAnsi="Times New Roman" w:cs="Times New Roman"/>
      <w:sz w:val="24"/>
      <w:szCs w:val="24"/>
      <w:lang w:val="es-ES" w:eastAsia="es-ES"/>
    </w:rPr>
  </w:style>
  <w:style w:type="paragraph" w:styleId="Sinespaciado">
    <w:name w:val="No Spacing"/>
    <w:uiPriority w:val="1"/>
    <w:qFormat/>
    <w:rsid w:val="00D568DC"/>
    <w:pPr>
      <w:widowControl w:val="0"/>
      <w:autoSpaceDE w:val="0"/>
      <w:autoSpaceDN w:val="0"/>
      <w:adjustRightInd w:val="0"/>
    </w:pPr>
    <w:rPr>
      <w:rFonts w:ascii="Times New Roman" w:eastAsia="Times New Roman" w:hAnsi="Times New Roman"/>
      <w:lang w:val="en-US"/>
    </w:rPr>
  </w:style>
  <w:style w:type="table" w:styleId="Tablaconcuadrcula">
    <w:name w:val="Table Grid"/>
    <w:basedOn w:val="Tablanormal"/>
    <w:uiPriority w:val="39"/>
    <w:rsid w:val="00D5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42E6B"/>
    <w:rPr>
      <w:rFonts w:ascii="Segoe UI" w:hAnsi="Segoe UI" w:cs="Segoe UI"/>
      <w:sz w:val="18"/>
      <w:szCs w:val="18"/>
    </w:rPr>
  </w:style>
  <w:style w:type="character" w:customStyle="1" w:styleId="TextodegloboCar">
    <w:name w:val="Texto de globo Car"/>
    <w:link w:val="Textodeglobo"/>
    <w:uiPriority w:val="99"/>
    <w:semiHidden/>
    <w:rsid w:val="00642E6B"/>
    <w:rPr>
      <w:rFonts w:ascii="Segoe UI" w:eastAsia="Times New Roman" w:hAnsi="Segoe UI" w:cs="Segoe UI"/>
      <w:sz w:val="18"/>
      <w:szCs w:val="18"/>
      <w:lang w:val="es-ES" w:eastAsia="es-ES"/>
    </w:rPr>
  </w:style>
  <w:style w:type="paragraph" w:customStyle="1" w:styleId="WW-Textoindependiente2">
    <w:name w:val="WW-Texto independiente 2"/>
    <w:basedOn w:val="Normal"/>
    <w:rsid w:val="00280BA8"/>
    <w:pPr>
      <w:suppressAutoHyphens/>
      <w:jc w:val="both"/>
    </w:pPr>
    <w:rPr>
      <w:rFonts w:ascii="Arial" w:hAnsi="Arial"/>
      <w:sz w:val="20"/>
      <w:szCs w:val="20"/>
      <w:lang w:val="en-US" w:eastAsia="es-MX"/>
    </w:rPr>
  </w:style>
  <w:style w:type="paragraph" w:styleId="NormalWeb">
    <w:name w:val="Normal (Web)"/>
    <w:basedOn w:val="Normal"/>
    <w:uiPriority w:val="99"/>
    <w:unhideWhenUsed/>
    <w:rsid w:val="008D55F4"/>
    <w:pPr>
      <w:spacing w:before="100" w:beforeAutospacing="1" w:after="100" w:afterAutospacing="1"/>
    </w:pPr>
    <w:rPr>
      <w:lang w:val="es-MX" w:eastAsia="es-MX"/>
    </w:rPr>
  </w:style>
  <w:style w:type="character" w:customStyle="1" w:styleId="negritas">
    <w:name w:val="negritas"/>
    <w:rsid w:val="008D55F4"/>
  </w:style>
  <w:style w:type="paragraph" w:styleId="Prrafodelista">
    <w:name w:val="List Paragraph"/>
    <w:basedOn w:val="Normal"/>
    <w:qFormat/>
    <w:rsid w:val="00A25EC6"/>
    <w:pPr>
      <w:ind w:left="708"/>
    </w:pPr>
    <w:rPr>
      <w:sz w:val="20"/>
      <w:szCs w:val="20"/>
    </w:rPr>
  </w:style>
  <w:style w:type="paragraph" w:customStyle="1" w:styleId="Cuadrculamedia21">
    <w:name w:val="Cuadrícula media 21"/>
    <w:qFormat/>
    <w:rsid w:val="00A25EC6"/>
    <w:pPr>
      <w:suppressAutoHyphens/>
    </w:pPr>
    <w:rPr>
      <w:rFonts w:eastAsia="DejaVu Sans" w:cs="font291"/>
      <w:kern w:val="1"/>
      <w:sz w:val="22"/>
      <w:szCs w:val="22"/>
      <w:lang w:val="es-ES" w:eastAsia="ar-SA"/>
    </w:rPr>
  </w:style>
  <w:style w:type="paragraph" w:customStyle="1" w:styleId="Default">
    <w:name w:val="Default"/>
    <w:rsid w:val="00A25EC6"/>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rsid w:val="00A721FF"/>
    <w:pPr>
      <w:spacing w:after="101" w:line="216" w:lineRule="exact"/>
      <w:ind w:firstLine="288"/>
      <w:jc w:val="both"/>
    </w:pPr>
    <w:rPr>
      <w:rFonts w:ascii="Arial" w:hAnsi="Arial"/>
      <w:sz w:val="18"/>
      <w:szCs w:val="20"/>
    </w:rPr>
  </w:style>
  <w:style w:type="character" w:customStyle="1" w:styleId="TextoCar">
    <w:name w:val="Texto Car"/>
    <w:link w:val="Texto"/>
    <w:locked/>
    <w:rsid w:val="00A721FF"/>
    <w:rPr>
      <w:rFonts w:ascii="Arial" w:eastAsia="Times New Roman" w:hAnsi="Arial"/>
      <w:sz w:val="18"/>
      <w:lang w:val="es-ES" w:eastAsia="es-ES"/>
    </w:rPr>
  </w:style>
  <w:style w:type="paragraph" w:styleId="Textoindependiente3">
    <w:name w:val="Body Text 3"/>
    <w:basedOn w:val="Normal"/>
    <w:link w:val="Textoindependiente3Car"/>
    <w:uiPriority w:val="99"/>
    <w:semiHidden/>
    <w:unhideWhenUsed/>
    <w:rsid w:val="00167464"/>
    <w:pPr>
      <w:spacing w:after="120"/>
    </w:pPr>
    <w:rPr>
      <w:sz w:val="16"/>
      <w:szCs w:val="16"/>
    </w:rPr>
  </w:style>
  <w:style w:type="character" w:customStyle="1" w:styleId="Textoindependiente3Car">
    <w:name w:val="Texto independiente 3 Car"/>
    <w:link w:val="Textoindependiente3"/>
    <w:uiPriority w:val="99"/>
    <w:rsid w:val="00167464"/>
    <w:rPr>
      <w:rFonts w:ascii="Times New Roman" w:eastAsia="Times New Roman" w:hAnsi="Times New Roman"/>
      <w:sz w:val="16"/>
      <w:szCs w:val="16"/>
      <w:lang w:val="es-ES" w:eastAsia="es-ES"/>
    </w:rPr>
  </w:style>
  <w:style w:type="paragraph" w:styleId="Sangra2detindependiente">
    <w:name w:val="Body Text Indent 2"/>
    <w:basedOn w:val="Normal"/>
    <w:link w:val="Sangra2detindependienteCar"/>
    <w:uiPriority w:val="99"/>
    <w:semiHidden/>
    <w:unhideWhenUsed/>
    <w:rsid w:val="00C72EB7"/>
    <w:pPr>
      <w:spacing w:after="120" w:line="480" w:lineRule="auto"/>
      <w:ind w:left="283"/>
    </w:pPr>
  </w:style>
  <w:style w:type="character" w:customStyle="1" w:styleId="Sangra2detindependienteCar">
    <w:name w:val="Sangría 2 de t. independiente Car"/>
    <w:link w:val="Sangra2detindependiente"/>
    <w:uiPriority w:val="99"/>
    <w:semiHidden/>
    <w:rsid w:val="00C72EB7"/>
    <w:rPr>
      <w:rFonts w:ascii="Times New Roman" w:eastAsia="Times New Roman" w:hAnsi="Times New Roman"/>
      <w:sz w:val="24"/>
      <w:szCs w:val="24"/>
      <w:lang w:val="es-ES" w:eastAsia="es-ES"/>
    </w:rPr>
  </w:style>
  <w:style w:type="paragraph" w:customStyle="1" w:styleId="CENTRAR">
    <w:name w:val="CENTRAR"/>
    <w:basedOn w:val="Normal"/>
    <w:rsid w:val="002C4184"/>
    <w:pPr>
      <w:jc w:val="center"/>
    </w:pPr>
    <w:rPr>
      <w:rFonts w:ascii="Arial" w:hAnsi="Arial"/>
      <w:b/>
      <w:caps/>
      <w:sz w:val="20"/>
      <w:szCs w:val="20"/>
      <w:lang w:val="en-US"/>
    </w:rPr>
  </w:style>
  <w:style w:type="paragraph" w:customStyle="1" w:styleId="yiv0087518457msonormal">
    <w:name w:val="yiv0087518457msonormal"/>
    <w:basedOn w:val="Normal"/>
    <w:rsid w:val="008C6D30"/>
    <w:pPr>
      <w:spacing w:before="100" w:beforeAutospacing="1" w:after="100" w:afterAutospacing="1"/>
    </w:pPr>
    <w:rPr>
      <w:rFonts w:ascii="Calibri" w:eastAsia="Calibri" w:hAnsi="Calibri" w:cs="Calibri"/>
      <w:sz w:val="22"/>
      <w:szCs w:val="22"/>
      <w:lang w:val="es-MX" w:eastAsia="es-MX"/>
    </w:rPr>
  </w:style>
  <w:style w:type="paragraph" w:styleId="Textonotapie">
    <w:name w:val="footnote text"/>
    <w:basedOn w:val="Normal"/>
    <w:link w:val="TextonotapieCar"/>
    <w:uiPriority w:val="99"/>
    <w:semiHidden/>
    <w:unhideWhenUsed/>
    <w:rsid w:val="004B41BD"/>
    <w:rPr>
      <w:sz w:val="20"/>
      <w:szCs w:val="20"/>
    </w:rPr>
  </w:style>
  <w:style w:type="character" w:customStyle="1" w:styleId="TextonotapieCar">
    <w:name w:val="Texto nota pie Car"/>
    <w:link w:val="Textonotapie"/>
    <w:uiPriority w:val="99"/>
    <w:semiHidden/>
    <w:rsid w:val="004B41BD"/>
    <w:rPr>
      <w:rFonts w:ascii="Times New Roman" w:eastAsia="Times New Roman" w:hAnsi="Times New Roman"/>
      <w:lang w:val="es-ES" w:eastAsia="es-ES"/>
    </w:rPr>
  </w:style>
  <w:style w:type="character" w:styleId="Refdenotaalpie">
    <w:name w:val="footnote reference"/>
    <w:uiPriority w:val="99"/>
    <w:semiHidden/>
    <w:unhideWhenUsed/>
    <w:rsid w:val="004B41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63812">
      <w:bodyDiv w:val="1"/>
      <w:marLeft w:val="0"/>
      <w:marRight w:val="0"/>
      <w:marTop w:val="0"/>
      <w:marBottom w:val="0"/>
      <w:divBdr>
        <w:top w:val="none" w:sz="0" w:space="0" w:color="auto"/>
        <w:left w:val="none" w:sz="0" w:space="0" w:color="auto"/>
        <w:bottom w:val="none" w:sz="0" w:space="0" w:color="auto"/>
        <w:right w:val="none" w:sz="0" w:space="0" w:color="auto"/>
      </w:divBdr>
    </w:div>
    <w:div w:id="181944537">
      <w:bodyDiv w:val="1"/>
      <w:marLeft w:val="0"/>
      <w:marRight w:val="0"/>
      <w:marTop w:val="0"/>
      <w:marBottom w:val="0"/>
      <w:divBdr>
        <w:top w:val="none" w:sz="0" w:space="0" w:color="auto"/>
        <w:left w:val="none" w:sz="0" w:space="0" w:color="auto"/>
        <w:bottom w:val="none" w:sz="0" w:space="0" w:color="auto"/>
        <w:right w:val="none" w:sz="0" w:space="0" w:color="auto"/>
      </w:divBdr>
    </w:div>
    <w:div w:id="192891834">
      <w:bodyDiv w:val="1"/>
      <w:marLeft w:val="0"/>
      <w:marRight w:val="0"/>
      <w:marTop w:val="0"/>
      <w:marBottom w:val="0"/>
      <w:divBdr>
        <w:top w:val="none" w:sz="0" w:space="0" w:color="auto"/>
        <w:left w:val="none" w:sz="0" w:space="0" w:color="auto"/>
        <w:bottom w:val="none" w:sz="0" w:space="0" w:color="auto"/>
        <w:right w:val="none" w:sz="0" w:space="0" w:color="auto"/>
      </w:divBdr>
    </w:div>
    <w:div w:id="324163280">
      <w:bodyDiv w:val="1"/>
      <w:marLeft w:val="0"/>
      <w:marRight w:val="0"/>
      <w:marTop w:val="0"/>
      <w:marBottom w:val="0"/>
      <w:divBdr>
        <w:top w:val="none" w:sz="0" w:space="0" w:color="auto"/>
        <w:left w:val="none" w:sz="0" w:space="0" w:color="auto"/>
        <w:bottom w:val="none" w:sz="0" w:space="0" w:color="auto"/>
        <w:right w:val="none" w:sz="0" w:space="0" w:color="auto"/>
      </w:divBdr>
    </w:div>
    <w:div w:id="471488092">
      <w:bodyDiv w:val="1"/>
      <w:marLeft w:val="0"/>
      <w:marRight w:val="0"/>
      <w:marTop w:val="0"/>
      <w:marBottom w:val="0"/>
      <w:divBdr>
        <w:top w:val="none" w:sz="0" w:space="0" w:color="auto"/>
        <w:left w:val="none" w:sz="0" w:space="0" w:color="auto"/>
        <w:bottom w:val="none" w:sz="0" w:space="0" w:color="auto"/>
        <w:right w:val="none" w:sz="0" w:space="0" w:color="auto"/>
      </w:divBdr>
    </w:div>
    <w:div w:id="880047574">
      <w:bodyDiv w:val="1"/>
      <w:marLeft w:val="0"/>
      <w:marRight w:val="0"/>
      <w:marTop w:val="0"/>
      <w:marBottom w:val="0"/>
      <w:divBdr>
        <w:top w:val="none" w:sz="0" w:space="0" w:color="auto"/>
        <w:left w:val="none" w:sz="0" w:space="0" w:color="auto"/>
        <w:bottom w:val="none" w:sz="0" w:space="0" w:color="auto"/>
        <w:right w:val="none" w:sz="0" w:space="0" w:color="auto"/>
      </w:divBdr>
    </w:div>
    <w:div w:id="1283998996">
      <w:bodyDiv w:val="1"/>
      <w:marLeft w:val="0"/>
      <w:marRight w:val="0"/>
      <w:marTop w:val="0"/>
      <w:marBottom w:val="0"/>
      <w:divBdr>
        <w:top w:val="none" w:sz="0" w:space="0" w:color="auto"/>
        <w:left w:val="none" w:sz="0" w:space="0" w:color="auto"/>
        <w:bottom w:val="none" w:sz="0" w:space="0" w:color="auto"/>
        <w:right w:val="none" w:sz="0" w:space="0" w:color="auto"/>
      </w:divBdr>
    </w:div>
    <w:div w:id="1325234802">
      <w:bodyDiv w:val="1"/>
      <w:marLeft w:val="0"/>
      <w:marRight w:val="0"/>
      <w:marTop w:val="0"/>
      <w:marBottom w:val="0"/>
      <w:divBdr>
        <w:top w:val="none" w:sz="0" w:space="0" w:color="auto"/>
        <w:left w:val="none" w:sz="0" w:space="0" w:color="auto"/>
        <w:bottom w:val="none" w:sz="0" w:space="0" w:color="auto"/>
        <w:right w:val="none" w:sz="0" w:space="0" w:color="auto"/>
      </w:divBdr>
    </w:div>
    <w:div w:id="1346327438">
      <w:bodyDiv w:val="1"/>
      <w:marLeft w:val="0"/>
      <w:marRight w:val="0"/>
      <w:marTop w:val="0"/>
      <w:marBottom w:val="0"/>
      <w:divBdr>
        <w:top w:val="none" w:sz="0" w:space="0" w:color="auto"/>
        <w:left w:val="none" w:sz="0" w:space="0" w:color="auto"/>
        <w:bottom w:val="none" w:sz="0" w:space="0" w:color="auto"/>
        <w:right w:val="none" w:sz="0" w:space="0" w:color="auto"/>
      </w:divBdr>
    </w:div>
    <w:div w:id="1696232920">
      <w:bodyDiv w:val="1"/>
      <w:marLeft w:val="0"/>
      <w:marRight w:val="0"/>
      <w:marTop w:val="0"/>
      <w:marBottom w:val="0"/>
      <w:divBdr>
        <w:top w:val="none" w:sz="0" w:space="0" w:color="auto"/>
        <w:left w:val="none" w:sz="0" w:space="0" w:color="auto"/>
        <w:bottom w:val="none" w:sz="0" w:space="0" w:color="auto"/>
        <w:right w:val="none" w:sz="0" w:space="0" w:color="auto"/>
      </w:divBdr>
    </w:div>
    <w:div w:id="1822387820">
      <w:bodyDiv w:val="1"/>
      <w:marLeft w:val="0"/>
      <w:marRight w:val="0"/>
      <w:marTop w:val="0"/>
      <w:marBottom w:val="0"/>
      <w:divBdr>
        <w:top w:val="none" w:sz="0" w:space="0" w:color="auto"/>
        <w:left w:val="none" w:sz="0" w:space="0" w:color="auto"/>
        <w:bottom w:val="none" w:sz="0" w:space="0" w:color="auto"/>
        <w:right w:val="none" w:sz="0" w:space="0" w:color="auto"/>
      </w:divBdr>
    </w:div>
    <w:div w:id="2030567513">
      <w:bodyDiv w:val="1"/>
      <w:marLeft w:val="0"/>
      <w:marRight w:val="0"/>
      <w:marTop w:val="0"/>
      <w:marBottom w:val="0"/>
      <w:divBdr>
        <w:top w:val="none" w:sz="0" w:space="0" w:color="auto"/>
        <w:left w:val="none" w:sz="0" w:space="0" w:color="auto"/>
        <w:bottom w:val="none" w:sz="0" w:space="0" w:color="auto"/>
        <w:right w:val="none" w:sz="0" w:space="0" w:color="auto"/>
      </w:divBdr>
    </w:div>
    <w:div w:id="205403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D827D-9471-4398-9264-D549E6FCB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11</Pages>
  <Words>2228</Words>
  <Characters>12258</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Sánchez Aguilera</dc:creator>
  <cp:keywords/>
  <dc:description/>
  <cp:lastModifiedBy>Nabor Said Centeno Díaz</cp:lastModifiedBy>
  <cp:revision>41</cp:revision>
  <cp:lastPrinted>2016-09-06T15:47:00Z</cp:lastPrinted>
  <dcterms:created xsi:type="dcterms:W3CDTF">2025-02-20T22:25:00Z</dcterms:created>
  <dcterms:modified xsi:type="dcterms:W3CDTF">2026-07-18T00:38:00Z</dcterms:modified>
</cp:coreProperties>
</file>