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8258"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68"/>
        <w:gridCol w:w="7938"/>
        <w:gridCol w:w="4252"/>
      </w:tblGrid>
      <w:tr w:rsidR="00D03186" w:rsidRPr="0069542C" w14:paraId="5BA695EE" w14:textId="77777777" w:rsidTr="00583CBD">
        <w:trPr>
          <w:trHeight w:val="893"/>
        </w:trPr>
        <w:tc>
          <w:tcPr>
            <w:tcW w:w="6068" w:type="dxa"/>
            <w:vMerge w:val="restart"/>
          </w:tcPr>
          <w:p w14:paraId="104E92CF" w14:textId="77777777" w:rsidR="00D03186" w:rsidRPr="0069542C" w:rsidRDefault="00D03186" w:rsidP="00680CDC">
            <w:pPr>
              <w:spacing w:line="276" w:lineRule="auto"/>
              <w:jc w:val="both"/>
              <w:rPr>
                <w:bCs/>
              </w:rPr>
            </w:pPr>
            <w:r w:rsidRPr="0069542C">
              <w:rPr>
                <w:bCs/>
              </w:rPr>
              <w:t xml:space="preserve">1)  Acuerdo: </w:t>
            </w:r>
          </w:p>
          <w:p w14:paraId="3162D34F" w14:textId="77777777" w:rsidR="00D03186" w:rsidRPr="0069542C" w:rsidRDefault="00D03186" w:rsidP="00680CDC">
            <w:pPr>
              <w:spacing w:line="276" w:lineRule="auto"/>
              <w:jc w:val="both"/>
              <w:rPr>
                <w:bCs/>
              </w:rPr>
            </w:pPr>
          </w:p>
          <w:p w14:paraId="6F35B67A" w14:textId="77777777" w:rsidR="00D03186" w:rsidRDefault="00D03186" w:rsidP="00652173">
            <w:pPr>
              <w:spacing w:line="276" w:lineRule="auto"/>
              <w:jc w:val="both"/>
              <w:rPr>
                <w:bCs/>
                <w:lang w:val="es-MX"/>
              </w:rPr>
            </w:pPr>
            <w:r w:rsidRPr="008F70FE">
              <w:rPr>
                <w:bCs/>
                <w:lang w:val="es-MX"/>
              </w:rPr>
              <w:t>ÚNICO:</w:t>
            </w:r>
            <w:r>
              <w:rPr>
                <w:bCs/>
                <w:lang w:val="es-MX"/>
              </w:rPr>
              <w:t xml:space="preserve"> </w:t>
            </w:r>
            <w:r w:rsidRPr="00EF0E82">
              <w:rPr>
                <w:bCs/>
                <w:lang w:val="es-MX"/>
              </w:rPr>
              <w:t>La Sexagésima Sexta Legislatura del Honorable Congreso del Estado Libre y Soberano de Guanajuato acuerda girar atento y respetuoso exhorto a la Secretaría de Gobernación del Gobierno Federal para que, en el ámbito de sus atribuciones, coordine y articule a las dependencias competentes de la Administración Pública Federal, a efecto de revisar y evaluar de manera integral las demandas planteadas por los sectores del campo y del transporte, garantizando la emisión de respuestas puntuales, debidamente fundadas y de urgente atención, en consideración a la relevancia social y económica de dichos sectores como actividades estratégicas para el desarrollo del país, así como dar puntual seguimiento a los acuerdos que se asuman.</w:t>
            </w:r>
          </w:p>
          <w:p w14:paraId="5BE8FDBD" w14:textId="77777777" w:rsidR="00D03186" w:rsidRDefault="00D03186" w:rsidP="00652173">
            <w:pPr>
              <w:spacing w:line="276" w:lineRule="auto"/>
              <w:jc w:val="both"/>
              <w:rPr>
                <w:bCs/>
                <w:lang w:val="es-MX"/>
              </w:rPr>
            </w:pPr>
          </w:p>
          <w:p w14:paraId="39DC612A" w14:textId="3C616E7D" w:rsidR="00D03186" w:rsidRPr="008F70FE" w:rsidRDefault="00D03186" w:rsidP="00652173">
            <w:pPr>
              <w:spacing w:line="276" w:lineRule="auto"/>
              <w:jc w:val="both"/>
              <w:rPr>
                <w:bCs/>
                <w:lang w:val="es-MX"/>
              </w:rPr>
            </w:pPr>
            <w:r w:rsidRPr="00EF0E82">
              <w:rPr>
                <w:bCs/>
                <w:lang w:val="es-MX"/>
              </w:rPr>
              <w:t xml:space="preserve">Asimismo, se le exhorta a que, en observancia de los principios de transparencia y rendición de cuentas, informe oportunamente a la opinión pública sobre las acciones implementadas, los acuerdos alcanzados y el estado que guarda la atención de cada una de dichas demandas.   </w:t>
            </w:r>
          </w:p>
          <w:p w14:paraId="6547F089" w14:textId="77777777" w:rsidR="00D03186" w:rsidRDefault="00D03186" w:rsidP="00652173">
            <w:pPr>
              <w:spacing w:line="276" w:lineRule="auto"/>
              <w:jc w:val="both"/>
              <w:rPr>
                <w:bCs/>
              </w:rPr>
            </w:pPr>
          </w:p>
          <w:p w14:paraId="21830F31" w14:textId="77777777" w:rsidR="00D03186" w:rsidRDefault="00D03186" w:rsidP="00652173">
            <w:pPr>
              <w:spacing w:line="276" w:lineRule="auto"/>
              <w:jc w:val="both"/>
              <w:rPr>
                <w:bCs/>
              </w:rPr>
            </w:pPr>
          </w:p>
          <w:p w14:paraId="2F76AA65" w14:textId="77777777" w:rsidR="00D03186" w:rsidRDefault="00D03186" w:rsidP="00652173">
            <w:pPr>
              <w:spacing w:line="276" w:lineRule="auto"/>
              <w:jc w:val="both"/>
              <w:rPr>
                <w:bCs/>
              </w:rPr>
            </w:pPr>
          </w:p>
          <w:p w14:paraId="78843D6D" w14:textId="35ADE891" w:rsidR="00D03186" w:rsidRPr="00652173" w:rsidRDefault="00D03186" w:rsidP="00652173">
            <w:pPr>
              <w:spacing w:line="276" w:lineRule="auto"/>
              <w:jc w:val="both"/>
              <w:rPr>
                <w:bCs/>
                <w:lang w:val="es-MX"/>
              </w:rPr>
            </w:pPr>
          </w:p>
          <w:p w14:paraId="1E06B6DE" w14:textId="3367E98A" w:rsidR="00D03186" w:rsidRPr="00454B92" w:rsidRDefault="00D03186" w:rsidP="00454B92">
            <w:pPr>
              <w:spacing w:line="276" w:lineRule="auto"/>
              <w:jc w:val="both"/>
              <w:rPr>
                <w:lang w:val="es-MX"/>
              </w:rPr>
            </w:pPr>
          </w:p>
          <w:p w14:paraId="04357D88" w14:textId="2DB72831" w:rsidR="00D03186" w:rsidRPr="0069542C" w:rsidRDefault="00D03186" w:rsidP="00680CDC">
            <w:pPr>
              <w:spacing w:line="276" w:lineRule="auto"/>
              <w:jc w:val="both"/>
              <w:rPr>
                <w:bCs/>
              </w:rPr>
            </w:pPr>
          </w:p>
          <w:p w14:paraId="131D727F" w14:textId="77777777" w:rsidR="00D03186" w:rsidRPr="0069542C" w:rsidRDefault="00D03186" w:rsidP="00680CDC">
            <w:pPr>
              <w:spacing w:line="276" w:lineRule="auto"/>
              <w:jc w:val="both"/>
              <w:rPr>
                <w:bCs/>
              </w:rPr>
            </w:pPr>
          </w:p>
          <w:p w14:paraId="6BBE2C6E" w14:textId="77777777" w:rsidR="00D03186" w:rsidRPr="0069542C" w:rsidRDefault="00D03186" w:rsidP="0049218B">
            <w:pPr>
              <w:spacing w:line="276" w:lineRule="auto"/>
              <w:jc w:val="both"/>
              <w:rPr>
                <w:bCs/>
              </w:rPr>
            </w:pPr>
          </w:p>
        </w:tc>
        <w:tc>
          <w:tcPr>
            <w:tcW w:w="7938" w:type="dxa"/>
          </w:tcPr>
          <w:p w14:paraId="240FA245" w14:textId="49763085" w:rsidR="00D03186" w:rsidRPr="00654A54" w:rsidRDefault="00D03186" w:rsidP="00B43A5C">
            <w:pPr>
              <w:spacing w:line="276" w:lineRule="auto"/>
              <w:jc w:val="both"/>
              <w:rPr>
                <w:bCs/>
                <w:lang w:val="es-MX"/>
              </w:rPr>
            </w:pPr>
            <w:r w:rsidRPr="00654A54">
              <w:rPr>
                <w:bCs/>
                <w:lang w:val="es-MX"/>
              </w:rPr>
              <w:lastRenderedPageBreak/>
              <w:t xml:space="preserve"> </w:t>
            </w:r>
          </w:p>
          <w:p w14:paraId="54CB1701" w14:textId="77777777" w:rsidR="00D03186" w:rsidRDefault="00D03186" w:rsidP="00454B92">
            <w:pPr>
              <w:spacing w:line="276" w:lineRule="auto"/>
              <w:jc w:val="both"/>
              <w:rPr>
                <w:b/>
                <w:lang w:val="es-MX"/>
              </w:rPr>
            </w:pPr>
            <w:bookmarkStart w:id="0" w:name="_Hlk194919360"/>
          </w:p>
          <w:p w14:paraId="61C111B1" w14:textId="59548767" w:rsidR="00D03186" w:rsidRPr="00EF0E82" w:rsidRDefault="00D03186" w:rsidP="00454B92">
            <w:pPr>
              <w:spacing w:line="276" w:lineRule="auto"/>
              <w:jc w:val="both"/>
              <w:rPr>
                <w:b/>
                <w:lang w:val="es-MX"/>
              </w:rPr>
            </w:pPr>
            <w:r w:rsidRPr="00EF0E82">
              <w:rPr>
                <w:b/>
                <w:lang w:val="es-MX"/>
              </w:rPr>
              <w:t>Secretaría de Gobierno del Estado de Guanajuato:</w:t>
            </w:r>
            <w:bookmarkEnd w:id="0"/>
          </w:p>
          <w:p w14:paraId="6FDF643C" w14:textId="77777777" w:rsidR="00D03186" w:rsidRPr="00EF0E82" w:rsidRDefault="00D03186" w:rsidP="00454B92">
            <w:pPr>
              <w:spacing w:line="276" w:lineRule="auto"/>
              <w:jc w:val="both"/>
              <w:rPr>
                <w:b/>
                <w:lang w:val="es-MX"/>
              </w:rPr>
            </w:pPr>
          </w:p>
          <w:p w14:paraId="12CCD4C9" w14:textId="497FAC8E" w:rsidR="00D03186" w:rsidRPr="00EF0E82" w:rsidRDefault="00D03186" w:rsidP="00454B92">
            <w:pPr>
              <w:spacing w:line="276" w:lineRule="auto"/>
              <w:jc w:val="both"/>
              <w:rPr>
                <w:rFonts w:eastAsia="Arial"/>
                <w:b/>
                <w:bCs/>
              </w:rPr>
            </w:pPr>
            <w:r w:rsidRPr="00EF0E82">
              <w:rPr>
                <w:rFonts w:eastAsia="Arial"/>
                <w:b/>
                <w:bCs/>
              </w:rPr>
              <w:t>Antecedente</w:t>
            </w:r>
          </w:p>
          <w:p w14:paraId="50D7EE0D" w14:textId="77777777" w:rsidR="00D03186" w:rsidRPr="00EF0E82" w:rsidRDefault="00D03186" w:rsidP="00454B92">
            <w:pPr>
              <w:spacing w:line="276" w:lineRule="auto"/>
              <w:jc w:val="both"/>
              <w:rPr>
                <w:rFonts w:eastAsia="Arial"/>
                <w:b/>
                <w:bCs/>
              </w:rPr>
            </w:pPr>
          </w:p>
          <w:p w14:paraId="187D5AD0" w14:textId="3D883D05" w:rsidR="00D03186" w:rsidRPr="00EF0E82" w:rsidRDefault="00D03186" w:rsidP="00454B92">
            <w:pPr>
              <w:spacing w:line="276" w:lineRule="auto"/>
              <w:jc w:val="both"/>
            </w:pPr>
            <w:r w:rsidRPr="00EF0E82">
              <w:t>Las productoras y productores de maíz de Guanajuato enfrentaron durante el ciclo Primavera–Verano 2025 uno de los escenarios de comercialización más complejos de los últimos años, derivado de una combinación de factores nacionales e internacionales que impactaron severamente la rentabilidad del cultivo.</w:t>
            </w:r>
          </w:p>
          <w:p w14:paraId="71BD3C1A" w14:textId="77777777" w:rsidR="00D03186" w:rsidRPr="00EF0E82" w:rsidRDefault="00D03186" w:rsidP="00454B92">
            <w:pPr>
              <w:spacing w:line="276" w:lineRule="auto"/>
              <w:jc w:val="both"/>
            </w:pPr>
          </w:p>
          <w:p w14:paraId="54D674FE" w14:textId="77777777" w:rsidR="00D03186" w:rsidRPr="00EF0E82" w:rsidRDefault="00D03186" w:rsidP="00EF0E82">
            <w:pPr>
              <w:spacing w:after="200"/>
              <w:jc w:val="both"/>
            </w:pPr>
            <w:r w:rsidRPr="00EF0E82">
              <w:t>La caída de los precios internacionales del maíz, la apreciación del tipo de cambio peso–dólar, el incremento sostenido de los costos de producción y el exceso de importaciones de grano barato provocaron una profunda distorsión del mercado.</w:t>
            </w:r>
          </w:p>
          <w:p w14:paraId="7688BBAF" w14:textId="76952088" w:rsidR="00D03186" w:rsidRPr="00EF0E82" w:rsidRDefault="00D03186" w:rsidP="00EF0E82">
            <w:pPr>
              <w:spacing w:after="200"/>
              <w:jc w:val="both"/>
            </w:pPr>
            <w:r w:rsidRPr="00EF0E82">
              <w:t>A esta situación se sumó un factor crítico: la ausencia de compradores al momento de la cosecha.</w:t>
            </w:r>
          </w:p>
          <w:p w14:paraId="21053CF7" w14:textId="77777777" w:rsidR="00D03186" w:rsidRPr="00EF0E82" w:rsidRDefault="00D03186" w:rsidP="00EF0E82">
            <w:pPr>
              <w:spacing w:after="200"/>
              <w:jc w:val="both"/>
            </w:pPr>
            <w:r w:rsidRPr="00EF0E82">
              <w:t>El sector pecuario del Bajío —principal consumidor regional de maíz— ya se encontraba ampliamente inventariado debido a las importaciones realizadas anticipadamente aprovechando los bajos precios internacionales, lo que redujo drásticamente la demanda de maíz producido en Guanajuato.</w:t>
            </w:r>
          </w:p>
          <w:p w14:paraId="17CB5F16" w14:textId="77777777" w:rsidR="00D03186" w:rsidRPr="00EF0E82" w:rsidRDefault="00D03186" w:rsidP="00EF0E82">
            <w:pPr>
              <w:spacing w:after="200"/>
              <w:jc w:val="both"/>
            </w:pPr>
            <w:r w:rsidRPr="00EF0E82">
              <w:t xml:space="preserve">Como consecuencia, miles de productores enfrentaron dificultades para comercializar su cosecha, presiones financieras severas y falta de liquidez </w:t>
            </w:r>
            <w:r w:rsidRPr="00EF0E82">
              <w:lastRenderedPageBreak/>
              <w:t>inmediata para cumplir sus compromisos productivos y familiares. Incluso, a la fecha, aún existen aproximadamente 115 mil toneladas sin colocarse en el mercado, lo que significa que algunos productores continúan sin recibir el pago de su cosecha.</w:t>
            </w:r>
          </w:p>
          <w:p w14:paraId="3058D9AB" w14:textId="301AEC57" w:rsidR="00D03186" w:rsidRPr="00EF0E82" w:rsidRDefault="00D03186" w:rsidP="00EF0E82">
            <w:pPr>
              <w:spacing w:after="200"/>
              <w:jc w:val="both"/>
            </w:pPr>
            <w:r w:rsidRPr="00EF0E82">
              <w:t>Frente a esta coyuntura extraordinaria, el Gobierno del Estado de Guanajuato, a través de la Secretaría del Campo, implementó una estrategia integral de atención orientada a mitigar el impacto económico, facilitar la salida del grano y preservar la estabilidad de la cadena productiva maíz.</w:t>
            </w:r>
          </w:p>
          <w:p w14:paraId="510136C6" w14:textId="60D678CF" w:rsidR="00D03186" w:rsidRPr="00EF0E82" w:rsidRDefault="00D03186" w:rsidP="00EF0E82">
            <w:pPr>
              <w:spacing w:after="200"/>
              <w:jc w:val="both"/>
              <w:rPr>
                <w:rFonts w:eastAsia="Arial"/>
                <w:b/>
                <w:bCs/>
              </w:rPr>
            </w:pPr>
            <w:r w:rsidRPr="00EF0E82">
              <w:rPr>
                <w:rFonts w:eastAsia="Arial"/>
                <w:b/>
                <w:bCs/>
              </w:rPr>
              <w:t>Acciones implementadas por el Gobierno del Estado de Guanajuato:</w:t>
            </w:r>
          </w:p>
          <w:p w14:paraId="058347AE" w14:textId="77777777" w:rsidR="00D03186" w:rsidRPr="00EF0E82" w:rsidRDefault="00D03186" w:rsidP="00EF0E82">
            <w:pPr>
              <w:spacing w:after="100"/>
            </w:pPr>
            <w:r w:rsidRPr="00EF0E82">
              <w:rPr>
                <w:b/>
                <w:bCs/>
                <w:u w:val="single"/>
              </w:rPr>
              <w:t>Acción 1.</w:t>
            </w:r>
          </w:p>
          <w:p w14:paraId="74839B91" w14:textId="1861A4B9" w:rsidR="00D03186" w:rsidRPr="00EF0E82" w:rsidRDefault="00D03186" w:rsidP="00EF0E82">
            <w:pPr>
              <w:spacing w:after="200"/>
              <w:jc w:val="both"/>
              <w:rPr>
                <w:b/>
                <w:bCs/>
                <w:u w:val="single"/>
              </w:rPr>
            </w:pPr>
            <w:r w:rsidRPr="00EF0E82">
              <w:rPr>
                <w:b/>
                <w:bCs/>
                <w:u w:val="single"/>
              </w:rPr>
              <w:t>Apoyo estatal de $150 por tonelada comercializada de maíz del ciclo Primavera–Verano 2025</w:t>
            </w:r>
          </w:p>
          <w:p w14:paraId="0BB3FA2B" w14:textId="5AD1F1EE" w:rsidR="00D03186" w:rsidRPr="00EF0E82" w:rsidRDefault="00D03186" w:rsidP="00EF0E82">
            <w:pPr>
              <w:spacing w:after="200"/>
              <w:jc w:val="both"/>
            </w:pPr>
            <w:r w:rsidRPr="00EF0E82">
              <w:t>Ante la gravedad de la situación, el Gobierno del Estado puso en marcha un apoyo directo de $150 pesos por tonelada comercializada, con el objetivo de fortalecer la liquidez de las unidades de producción y contribuir a compensar parcialmente la pérdida de ingresos derivada de las condiciones adversas del mercado.</w:t>
            </w:r>
          </w:p>
          <w:p w14:paraId="4C5401CC" w14:textId="4A75339D" w:rsidR="00D03186" w:rsidRPr="00EF0E82" w:rsidRDefault="00D03186" w:rsidP="00EF0E82">
            <w:pPr>
              <w:spacing w:after="200"/>
              <w:jc w:val="both"/>
            </w:pPr>
            <w:r w:rsidRPr="00EF0E82">
              <w:t>Esta medida representa una acción estratégica para sostener la viabilidad económica de las familias productoras, preservar la actividad agrícola y mantener estabilidad en el mercado estatal del maíz.</w:t>
            </w:r>
          </w:p>
          <w:p w14:paraId="086DBAD6" w14:textId="77777777" w:rsidR="00D03186" w:rsidRPr="00EF0E82" w:rsidRDefault="00D03186" w:rsidP="00EF0E82">
            <w:pPr>
              <w:spacing w:after="100"/>
            </w:pPr>
            <w:r w:rsidRPr="00EF0E82">
              <w:rPr>
                <w:b/>
                <w:bCs/>
              </w:rPr>
              <w:t>Visión estratégica</w:t>
            </w:r>
          </w:p>
          <w:p w14:paraId="2B8FBA2B" w14:textId="74A54C80" w:rsidR="00D03186" w:rsidRDefault="00D03186" w:rsidP="00EF0E82">
            <w:pPr>
              <w:spacing w:after="200"/>
              <w:jc w:val="both"/>
            </w:pPr>
            <w:r w:rsidRPr="00EF0E82">
              <w:t>Este apoyo no constituye un subsidio asistencialista; representa una intervención emergente de política pública orientada a proteger la capacidad productiva del campo guanajuatense ante un entorno altamente volátil y desfavorable.</w:t>
            </w:r>
          </w:p>
          <w:p w14:paraId="3B411BF7" w14:textId="77777777" w:rsidR="00D03186" w:rsidRPr="00EF0E82" w:rsidRDefault="00D03186" w:rsidP="00EF0E82">
            <w:pPr>
              <w:spacing w:after="200"/>
              <w:jc w:val="both"/>
            </w:pPr>
          </w:p>
          <w:p w14:paraId="1B92BEE1" w14:textId="77777777" w:rsidR="00D03186" w:rsidRPr="00EF0E82" w:rsidRDefault="00D03186" w:rsidP="00EF0E82">
            <w:pPr>
              <w:spacing w:after="100"/>
            </w:pPr>
            <w:r w:rsidRPr="00EF0E82">
              <w:rPr>
                <w:b/>
                <w:bCs/>
              </w:rPr>
              <w:lastRenderedPageBreak/>
              <w:t>Alcance del programa</w:t>
            </w:r>
          </w:p>
          <w:p w14:paraId="67B182D2" w14:textId="77777777" w:rsidR="00D03186" w:rsidRPr="00EF0E82" w:rsidRDefault="00D03186" w:rsidP="00EF0E82">
            <w:pPr>
              <w:pStyle w:val="Prrafodelista"/>
              <w:numPr>
                <w:ilvl w:val="0"/>
                <w:numId w:val="47"/>
              </w:numPr>
              <w:spacing w:after="60"/>
              <w:rPr>
                <w:sz w:val="24"/>
                <w:szCs w:val="24"/>
              </w:rPr>
            </w:pPr>
            <w:r w:rsidRPr="00EF0E82">
              <w:rPr>
                <w:sz w:val="24"/>
                <w:szCs w:val="24"/>
              </w:rPr>
              <w:t xml:space="preserve">Meta de atención: </w:t>
            </w:r>
            <w:r w:rsidRPr="00EF0E82">
              <w:rPr>
                <w:b/>
                <w:bCs/>
                <w:sz w:val="24"/>
                <w:szCs w:val="24"/>
              </w:rPr>
              <w:t>1 millón de toneladas</w:t>
            </w:r>
          </w:p>
          <w:p w14:paraId="1FF49E43" w14:textId="77777777" w:rsidR="00D03186" w:rsidRPr="00EF0E82" w:rsidRDefault="00D03186" w:rsidP="00EF0E82">
            <w:pPr>
              <w:pStyle w:val="Prrafodelista"/>
              <w:numPr>
                <w:ilvl w:val="0"/>
                <w:numId w:val="47"/>
              </w:numPr>
              <w:spacing w:after="60"/>
              <w:rPr>
                <w:sz w:val="24"/>
                <w:szCs w:val="24"/>
              </w:rPr>
            </w:pPr>
            <w:r w:rsidRPr="00EF0E82">
              <w:rPr>
                <w:sz w:val="24"/>
                <w:szCs w:val="24"/>
              </w:rPr>
              <w:t xml:space="preserve">Bolsa estatal destinada: </w:t>
            </w:r>
            <w:r w:rsidRPr="00EF0E82">
              <w:rPr>
                <w:b/>
                <w:bCs/>
                <w:sz w:val="24"/>
                <w:szCs w:val="24"/>
              </w:rPr>
              <w:t>$150 millones de pesos</w:t>
            </w:r>
          </w:p>
          <w:p w14:paraId="60B03E84" w14:textId="77777777" w:rsidR="00D03186" w:rsidRPr="00EF0E82" w:rsidRDefault="00D03186" w:rsidP="00EF0E82">
            <w:pPr>
              <w:pStyle w:val="Prrafodelista"/>
              <w:numPr>
                <w:ilvl w:val="0"/>
                <w:numId w:val="47"/>
              </w:numPr>
              <w:spacing w:after="60"/>
              <w:rPr>
                <w:sz w:val="24"/>
                <w:szCs w:val="24"/>
              </w:rPr>
            </w:pPr>
            <w:r w:rsidRPr="00EF0E82">
              <w:rPr>
                <w:sz w:val="24"/>
                <w:szCs w:val="24"/>
              </w:rPr>
              <w:t xml:space="preserve">Productores potencialmente beneficiados: </w:t>
            </w:r>
            <w:r w:rsidRPr="00EF0E82">
              <w:rPr>
                <w:b/>
                <w:bCs/>
                <w:sz w:val="24"/>
                <w:szCs w:val="24"/>
              </w:rPr>
              <w:t>20,300 productores</w:t>
            </w:r>
          </w:p>
          <w:p w14:paraId="639F9F1A" w14:textId="00FF641C" w:rsidR="00D03186" w:rsidRPr="00EF0E82" w:rsidRDefault="00D03186" w:rsidP="00EF0E82">
            <w:pPr>
              <w:pStyle w:val="Prrafodelista"/>
              <w:numPr>
                <w:ilvl w:val="0"/>
                <w:numId w:val="47"/>
              </w:numPr>
              <w:spacing w:after="60"/>
              <w:rPr>
                <w:sz w:val="24"/>
                <w:szCs w:val="24"/>
              </w:rPr>
            </w:pPr>
            <w:r w:rsidRPr="00EF0E82">
              <w:rPr>
                <w:sz w:val="24"/>
                <w:szCs w:val="24"/>
              </w:rPr>
              <w:t xml:space="preserve">Cobertura: </w:t>
            </w:r>
            <w:r w:rsidRPr="00EF0E82">
              <w:rPr>
                <w:b/>
                <w:bCs/>
                <w:sz w:val="24"/>
                <w:szCs w:val="24"/>
              </w:rPr>
              <w:t>los 46 municipios del estado</w:t>
            </w:r>
          </w:p>
          <w:p w14:paraId="76B91249" w14:textId="77777777" w:rsidR="00D03186" w:rsidRPr="00EF0E82" w:rsidRDefault="00D03186" w:rsidP="00EF0E82">
            <w:pPr>
              <w:spacing w:after="100"/>
              <w:rPr>
                <w:b/>
                <w:bCs/>
              </w:rPr>
            </w:pPr>
          </w:p>
          <w:p w14:paraId="674806C8" w14:textId="18079A59" w:rsidR="00D03186" w:rsidRPr="00EF0E82" w:rsidRDefault="00D03186" w:rsidP="00EF0E82">
            <w:pPr>
              <w:spacing w:after="100"/>
            </w:pPr>
            <w:r w:rsidRPr="00EF0E82">
              <w:rPr>
                <w:b/>
                <w:bCs/>
              </w:rPr>
              <w:t>Avances al 7 de mayo de 2026</w:t>
            </w:r>
          </w:p>
          <w:p w14:paraId="5139262F" w14:textId="77777777" w:rsidR="00D03186" w:rsidRPr="00EF0E82" w:rsidRDefault="00D03186" w:rsidP="00EF0E82">
            <w:pPr>
              <w:spacing w:after="100"/>
              <w:jc w:val="both"/>
            </w:pPr>
            <w:r w:rsidRPr="00EF0E82">
              <w:t>El avance operativo refleja resultados concretos y medibles:</w:t>
            </w:r>
          </w:p>
          <w:p w14:paraId="187AB8C3" w14:textId="77777777" w:rsidR="00D03186" w:rsidRPr="00EF0E82" w:rsidRDefault="00D03186" w:rsidP="00EF0E82">
            <w:pPr>
              <w:pStyle w:val="Prrafodelista"/>
              <w:numPr>
                <w:ilvl w:val="0"/>
                <w:numId w:val="47"/>
              </w:numPr>
              <w:spacing w:after="60"/>
              <w:rPr>
                <w:sz w:val="24"/>
                <w:szCs w:val="24"/>
              </w:rPr>
            </w:pPr>
            <w:r w:rsidRPr="00EF0E82">
              <w:rPr>
                <w:b/>
                <w:bCs/>
                <w:sz w:val="24"/>
                <w:szCs w:val="24"/>
              </w:rPr>
              <w:t>Toneladas pagadas:</w:t>
            </w:r>
            <w:r w:rsidRPr="00EF0E82">
              <w:rPr>
                <w:sz w:val="24"/>
                <w:szCs w:val="24"/>
              </w:rPr>
              <w:t xml:space="preserve"> 543,034.54 toneladas</w:t>
            </w:r>
          </w:p>
          <w:p w14:paraId="2481F708" w14:textId="77777777" w:rsidR="00D03186" w:rsidRPr="00EF0E82" w:rsidRDefault="00D03186" w:rsidP="00EF0E82">
            <w:pPr>
              <w:pStyle w:val="Prrafodelista"/>
              <w:numPr>
                <w:ilvl w:val="0"/>
                <w:numId w:val="47"/>
              </w:numPr>
              <w:spacing w:after="60"/>
              <w:rPr>
                <w:sz w:val="24"/>
                <w:szCs w:val="24"/>
              </w:rPr>
            </w:pPr>
            <w:r w:rsidRPr="00EF0E82">
              <w:rPr>
                <w:b/>
                <w:bCs/>
                <w:sz w:val="24"/>
                <w:szCs w:val="24"/>
              </w:rPr>
              <w:t>Inversión dispersada:</w:t>
            </w:r>
            <w:r w:rsidRPr="00EF0E82">
              <w:rPr>
                <w:sz w:val="24"/>
                <w:szCs w:val="24"/>
              </w:rPr>
              <w:t xml:space="preserve"> $81,455,181.14 pesos</w:t>
            </w:r>
          </w:p>
          <w:p w14:paraId="7A090495" w14:textId="7E768966" w:rsidR="00D03186" w:rsidRPr="00EF0E82" w:rsidRDefault="00D03186" w:rsidP="00EF0E82">
            <w:pPr>
              <w:pStyle w:val="Prrafodelista"/>
              <w:numPr>
                <w:ilvl w:val="0"/>
                <w:numId w:val="47"/>
              </w:numPr>
              <w:spacing w:after="60"/>
              <w:rPr>
                <w:sz w:val="24"/>
                <w:szCs w:val="24"/>
              </w:rPr>
            </w:pPr>
            <w:r w:rsidRPr="00EF0E82">
              <w:rPr>
                <w:b/>
                <w:bCs/>
                <w:sz w:val="24"/>
                <w:szCs w:val="24"/>
              </w:rPr>
              <w:t>Productores atendidos:</w:t>
            </w:r>
            <w:r w:rsidRPr="00EF0E82">
              <w:rPr>
                <w:sz w:val="24"/>
                <w:szCs w:val="24"/>
              </w:rPr>
              <w:t xml:space="preserve"> 10,413 productores</w:t>
            </w:r>
          </w:p>
          <w:p w14:paraId="5755237F" w14:textId="77777777" w:rsidR="00D03186" w:rsidRDefault="00D03186" w:rsidP="00EF0E82">
            <w:pPr>
              <w:spacing w:after="100"/>
              <w:rPr>
                <w:b/>
                <w:bCs/>
              </w:rPr>
            </w:pPr>
          </w:p>
          <w:p w14:paraId="58060465" w14:textId="15040C36" w:rsidR="00D03186" w:rsidRPr="00EF0E82" w:rsidRDefault="00D03186" w:rsidP="00EF0E82">
            <w:pPr>
              <w:spacing w:after="100"/>
            </w:pPr>
            <w:r w:rsidRPr="00EF0E82">
              <w:rPr>
                <w:b/>
                <w:bCs/>
              </w:rPr>
              <w:t>Municipios atendidos</w:t>
            </w:r>
          </w:p>
          <w:p w14:paraId="685FB241" w14:textId="79E372A0" w:rsidR="00D03186" w:rsidRPr="00EF0E82" w:rsidRDefault="00D03186" w:rsidP="00EF0E82">
            <w:pPr>
              <w:spacing w:line="276" w:lineRule="auto"/>
              <w:jc w:val="both"/>
            </w:pPr>
            <w:r w:rsidRPr="00EF0E82">
              <w:t xml:space="preserve">El apoyo ha beneficiado a productores de los municipios de Abasolo, Acámbaro, Celaya, Cortazar, Cuerámaro, Huanímaro, Irapuato, Jaral del Progreso, Manuel Doblado, Pénjamo, Pueblo Nuevo, Purísima del Rincón, Romita, Salamanca, San Francisco del Rincón, San Felipe, Santa Cruz de Juventino Rosas, Santiago Maravatío, </w:t>
            </w:r>
            <w:proofErr w:type="spellStart"/>
            <w:r w:rsidRPr="00EF0E82">
              <w:t>Tarandacuao</w:t>
            </w:r>
            <w:proofErr w:type="spellEnd"/>
            <w:r w:rsidRPr="00EF0E82">
              <w:t>, Tarimoro, Valle de Santiago, Villagrán y Yuriria, entre otros.</w:t>
            </w:r>
          </w:p>
          <w:p w14:paraId="21C5CE3B" w14:textId="77777777" w:rsidR="00D03186" w:rsidRPr="00EF0E82" w:rsidRDefault="00D03186" w:rsidP="00EF0E82">
            <w:pPr>
              <w:spacing w:line="276" w:lineRule="auto"/>
              <w:jc w:val="both"/>
              <w:rPr>
                <w:bCs/>
              </w:rPr>
            </w:pPr>
          </w:p>
          <w:p w14:paraId="77C07FDF" w14:textId="77777777" w:rsidR="00D03186" w:rsidRPr="00EF0E82" w:rsidRDefault="00D03186" w:rsidP="00EF0E82">
            <w:pPr>
              <w:spacing w:after="100"/>
            </w:pPr>
            <w:r w:rsidRPr="00EF0E82">
              <w:rPr>
                <w:b/>
                <w:bCs/>
              </w:rPr>
              <w:t>Recursos pendientes de dispersión</w:t>
            </w:r>
          </w:p>
          <w:p w14:paraId="64597703" w14:textId="2EF69555" w:rsidR="00D03186" w:rsidRPr="00EF0E82" w:rsidRDefault="00D03186" w:rsidP="00EF0E82">
            <w:pPr>
              <w:spacing w:line="276" w:lineRule="auto"/>
              <w:jc w:val="both"/>
            </w:pPr>
            <w:r w:rsidRPr="00EF0E82">
              <w:t xml:space="preserve">El monto pendiente por pagar asciende a </w:t>
            </w:r>
            <w:r w:rsidRPr="00EF0E82">
              <w:rPr>
                <w:b/>
                <w:bCs/>
              </w:rPr>
              <w:t>$68,544,818.86 pesos</w:t>
            </w:r>
            <w:r w:rsidRPr="00EF0E82">
              <w:t>, recurso que será dispersado durante el presente mes de mayo, dando continuidad al compromiso asumido con las y los productores.</w:t>
            </w:r>
          </w:p>
          <w:p w14:paraId="7352886B" w14:textId="77777777" w:rsidR="00D03186" w:rsidRPr="00EF0E82" w:rsidRDefault="00D03186" w:rsidP="00EF0E82">
            <w:pPr>
              <w:spacing w:line="276" w:lineRule="auto"/>
              <w:jc w:val="both"/>
              <w:rPr>
                <w:bCs/>
              </w:rPr>
            </w:pPr>
          </w:p>
          <w:p w14:paraId="2B6F1311" w14:textId="77777777" w:rsidR="00D03186" w:rsidRPr="00EF0E82" w:rsidRDefault="00D03186" w:rsidP="00EF0E82">
            <w:pPr>
              <w:spacing w:after="100"/>
            </w:pPr>
            <w:r w:rsidRPr="00EF0E82">
              <w:rPr>
                <w:b/>
                <w:bCs/>
                <w:u w:val="single"/>
              </w:rPr>
              <w:lastRenderedPageBreak/>
              <w:t>Acción 2</w:t>
            </w:r>
          </w:p>
          <w:p w14:paraId="5F3B3DE1" w14:textId="77777777" w:rsidR="00D03186" w:rsidRPr="00EF0E82" w:rsidRDefault="00D03186" w:rsidP="00EF0E82">
            <w:pPr>
              <w:spacing w:after="100"/>
            </w:pPr>
            <w:r w:rsidRPr="00EF0E82">
              <w:rPr>
                <w:b/>
                <w:bCs/>
                <w:u w:val="single"/>
              </w:rPr>
              <w:t>Apoyo emergente para almacenamiento, conservación y movilización de maíz</w:t>
            </w:r>
          </w:p>
          <w:p w14:paraId="32A8BFCC" w14:textId="7EC1BE3F" w:rsidR="00D03186" w:rsidRPr="00EF0E82" w:rsidRDefault="00D03186" w:rsidP="00EF0E82">
            <w:pPr>
              <w:spacing w:line="276" w:lineRule="auto"/>
              <w:jc w:val="both"/>
            </w:pPr>
            <w:r w:rsidRPr="00EF0E82">
              <w:t>Derivado de la falta de compradores al momento de la cosecha y ante el riesgo de colapso comercial del mercado regional, el Gobierno del Estado implementó un esquema extraordinario de apoyo a centros de acopio para complementar costos relacionados con:</w:t>
            </w:r>
          </w:p>
          <w:p w14:paraId="0568F0D8" w14:textId="77777777" w:rsidR="00D03186" w:rsidRPr="00EF0E82" w:rsidRDefault="00D03186" w:rsidP="00EF0E82">
            <w:pPr>
              <w:spacing w:line="276" w:lineRule="auto"/>
              <w:jc w:val="both"/>
              <w:rPr>
                <w:bCs/>
              </w:rPr>
            </w:pPr>
          </w:p>
          <w:p w14:paraId="505DDB54" w14:textId="77777777" w:rsidR="00D03186" w:rsidRPr="00EF0E82" w:rsidRDefault="00D03186" w:rsidP="00EF0E82">
            <w:pPr>
              <w:pStyle w:val="Prrafodelista"/>
              <w:numPr>
                <w:ilvl w:val="0"/>
                <w:numId w:val="47"/>
              </w:numPr>
              <w:spacing w:after="60"/>
              <w:rPr>
                <w:sz w:val="24"/>
                <w:szCs w:val="24"/>
              </w:rPr>
            </w:pPr>
            <w:r w:rsidRPr="00EF0E82">
              <w:rPr>
                <w:sz w:val="24"/>
                <w:szCs w:val="24"/>
              </w:rPr>
              <w:t>almacenamiento</w:t>
            </w:r>
          </w:p>
          <w:p w14:paraId="6074A14E" w14:textId="77777777" w:rsidR="00D03186" w:rsidRPr="00EF0E82" w:rsidRDefault="00D03186" w:rsidP="00EF0E82">
            <w:pPr>
              <w:pStyle w:val="Prrafodelista"/>
              <w:numPr>
                <w:ilvl w:val="0"/>
                <w:numId w:val="47"/>
              </w:numPr>
              <w:spacing w:after="60"/>
              <w:rPr>
                <w:sz w:val="24"/>
                <w:szCs w:val="24"/>
              </w:rPr>
            </w:pPr>
            <w:r w:rsidRPr="00EF0E82">
              <w:rPr>
                <w:sz w:val="24"/>
                <w:szCs w:val="24"/>
              </w:rPr>
              <w:t>conservación del grano</w:t>
            </w:r>
          </w:p>
          <w:p w14:paraId="7573BE05" w14:textId="60DEDA96" w:rsidR="00D03186" w:rsidRPr="00EF0E82" w:rsidRDefault="00D03186" w:rsidP="00EF0E82">
            <w:pPr>
              <w:pStyle w:val="Prrafodelista"/>
              <w:numPr>
                <w:ilvl w:val="0"/>
                <w:numId w:val="47"/>
              </w:numPr>
              <w:spacing w:after="60"/>
              <w:rPr>
                <w:sz w:val="24"/>
                <w:szCs w:val="24"/>
              </w:rPr>
            </w:pPr>
            <w:r w:rsidRPr="00EF0E82">
              <w:rPr>
                <w:sz w:val="24"/>
                <w:szCs w:val="24"/>
              </w:rPr>
              <w:t>movilización y traslado del maíz desde las zonas de producción hacia zonas de consumo</w:t>
            </w:r>
          </w:p>
          <w:p w14:paraId="0DEEAF41" w14:textId="08434D98" w:rsidR="00D03186" w:rsidRPr="00EF0E82" w:rsidRDefault="00D03186" w:rsidP="00EF0E82">
            <w:pPr>
              <w:spacing w:after="60"/>
            </w:pPr>
            <w:r w:rsidRPr="00EF0E82">
              <w:t>Esta acción permitió evitar una mayor presión sobre los precios y generar condiciones para que el productor pudiera mantener temporalmente su cosecha en resguardo mientras se buscaban alternativas de comercialización.</w:t>
            </w:r>
          </w:p>
          <w:p w14:paraId="238D40E1" w14:textId="77777777" w:rsidR="00D03186" w:rsidRPr="00EF0E82" w:rsidRDefault="00D03186" w:rsidP="00EF0E82">
            <w:pPr>
              <w:spacing w:after="60"/>
            </w:pPr>
          </w:p>
          <w:p w14:paraId="6C3EC2F1" w14:textId="77777777" w:rsidR="00D03186" w:rsidRPr="00EF0E82" w:rsidRDefault="00D03186" w:rsidP="00EF0E82">
            <w:pPr>
              <w:spacing w:after="100"/>
            </w:pPr>
            <w:r w:rsidRPr="00EF0E82">
              <w:rPr>
                <w:b/>
                <w:bCs/>
              </w:rPr>
              <w:t>Resultados alcanzados</w:t>
            </w:r>
          </w:p>
          <w:p w14:paraId="3EC989AB" w14:textId="77777777" w:rsidR="00D03186" w:rsidRPr="00EF0E82" w:rsidRDefault="00D03186" w:rsidP="00EF0E82">
            <w:pPr>
              <w:pStyle w:val="Prrafodelista"/>
              <w:numPr>
                <w:ilvl w:val="0"/>
                <w:numId w:val="47"/>
              </w:numPr>
              <w:spacing w:after="60"/>
              <w:rPr>
                <w:sz w:val="24"/>
                <w:szCs w:val="24"/>
              </w:rPr>
            </w:pPr>
            <w:r w:rsidRPr="00EF0E82">
              <w:rPr>
                <w:b/>
                <w:bCs/>
                <w:sz w:val="24"/>
                <w:szCs w:val="24"/>
              </w:rPr>
              <w:t>Monto estatal destinado:</w:t>
            </w:r>
            <w:r w:rsidRPr="00EF0E82">
              <w:rPr>
                <w:sz w:val="24"/>
                <w:szCs w:val="24"/>
              </w:rPr>
              <w:t xml:space="preserve"> $15 millones de pesos</w:t>
            </w:r>
          </w:p>
          <w:p w14:paraId="031D183D" w14:textId="77777777" w:rsidR="00D03186" w:rsidRPr="00EF0E82" w:rsidRDefault="00D03186" w:rsidP="00EF0E82">
            <w:pPr>
              <w:pStyle w:val="Prrafodelista"/>
              <w:numPr>
                <w:ilvl w:val="0"/>
                <w:numId w:val="47"/>
              </w:numPr>
              <w:spacing w:after="60"/>
              <w:rPr>
                <w:sz w:val="24"/>
                <w:szCs w:val="24"/>
              </w:rPr>
            </w:pPr>
            <w:r w:rsidRPr="00EF0E82">
              <w:rPr>
                <w:b/>
                <w:bCs/>
                <w:sz w:val="24"/>
                <w:szCs w:val="24"/>
              </w:rPr>
              <w:t>Volumen atendido:</w:t>
            </w:r>
            <w:r w:rsidRPr="00EF0E82">
              <w:rPr>
                <w:sz w:val="24"/>
                <w:szCs w:val="24"/>
              </w:rPr>
              <w:t xml:space="preserve"> 100 mil toneladas de maíz</w:t>
            </w:r>
          </w:p>
          <w:p w14:paraId="53DC7D7B" w14:textId="22466F00" w:rsidR="00D03186" w:rsidRPr="00EF0E82" w:rsidRDefault="00D03186" w:rsidP="00EF0E82">
            <w:pPr>
              <w:pStyle w:val="Prrafodelista"/>
              <w:numPr>
                <w:ilvl w:val="0"/>
                <w:numId w:val="47"/>
              </w:numPr>
              <w:spacing w:after="60"/>
              <w:rPr>
                <w:sz w:val="24"/>
                <w:szCs w:val="24"/>
              </w:rPr>
            </w:pPr>
            <w:r w:rsidRPr="00EF0E82">
              <w:rPr>
                <w:b/>
                <w:bCs/>
                <w:sz w:val="24"/>
                <w:szCs w:val="24"/>
              </w:rPr>
              <w:t>Objetivo logrado:</w:t>
            </w:r>
            <w:r w:rsidRPr="00EF0E82">
              <w:rPr>
                <w:sz w:val="24"/>
                <w:szCs w:val="24"/>
              </w:rPr>
              <w:t xml:space="preserve"> facilitar la salida del grano y acercar un precio piso cercano a $5,200 por tonelada al productor.</w:t>
            </w:r>
          </w:p>
          <w:p w14:paraId="63612BA9" w14:textId="77777777" w:rsidR="00D03186" w:rsidRPr="00EF0E82" w:rsidRDefault="00D03186" w:rsidP="008F70FE">
            <w:pPr>
              <w:spacing w:line="276" w:lineRule="auto"/>
              <w:jc w:val="both"/>
            </w:pPr>
          </w:p>
          <w:p w14:paraId="6BCA4636" w14:textId="56C875EF" w:rsidR="00D03186" w:rsidRPr="00EF0E82" w:rsidRDefault="00D03186" w:rsidP="008F70FE">
            <w:pPr>
              <w:spacing w:line="276" w:lineRule="auto"/>
              <w:jc w:val="both"/>
            </w:pPr>
            <w:r w:rsidRPr="00EF0E82">
              <w:t>La problemática enfrentada fue extraordinariamente compleja, ya que durante gran parte del periodo de cosecha prácticamente no existía demanda activa para el maíz regional.</w:t>
            </w:r>
          </w:p>
          <w:p w14:paraId="2D7DCF72" w14:textId="77777777" w:rsidR="00D03186" w:rsidRPr="00EF0E82" w:rsidRDefault="00D03186" w:rsidP="008F70FE">
            <w:pPr>
              <w:spacing w:line="276" w:lineRule="auto"/>
              <w:jc w:val="both"/>
              <w:rPr>
                <w:bCs/>
              </w:rPr>
            </w:pPr>
          </w:p>
          <w:p w14:paraId="6F16BFC9" w14:textId="264DE5EC" w:rsidR="00D03186" w:rsidRPr="00EF0E82" w:rsidRDefault="00D03186" w:rsidP="008F70FE">
            <w:pPr>
              <w:spacing w:line="276" w:lineRule="auto"/>
              <w:jc w:val="both"/>
            </w:pPr>
            <w:r w:rsidRPr="00EF0E82">
              <w:lastRenderedPageBreak/>
              <w:t>Sin esta intervención emergente, el impacto económico sobre las familias productoras habría sido considerablemente mayor.</w:t>
            </w:r>
          </w:p>
          <w:p w14:paraId="092F1300" w14:textId="77777777" w:rsidR="00D03186" w:rsidRPr="00EF0E82" w:rsidRDefault="00D03186" w:rsidP="008F70FE">
            <w:pPr>
              <w:spacing w:line="276" w:lineRule="auto"/>
              <w:jc w:val="both"/>
              <w:rPr>
                <w:bCs/>
              </w:rPr>
            </w:pPr>
          </w:p>
          <w:p w14:paraId="425776B6" w14:textId="489B3796" w:rsidR="00D03186" w:rsidRPr="00EF0E82" w:rsidRDefault="00D03186" w:rsidP="008F70FE">
            <w:pPr>
              <w:spacing w:line="276" w:lineRule="auto"/>
              <w:jc w:val="both"/>
            </w:pPr>
            <w:r w:rsidRPr="00EF0E82">
              <w:t>Gracias a las acciones implementadas en coordinación con centros de acopio y actores de la cadena comercial, fue posible dar salida aproximadamente al 90% del volumen cosechado en el estado, mitigando así una crisis de mayores dimensiones para el sector agrícola guanajuatense.</w:t>
            </w:r>
          </w:p>
          <w:p w14:paraId="58AF383D" w14:textId="77777777" w:rsidR="00D03186" w:rsidRPr="00EF0E82" w:rsidRDefault="00D03186" w:rsidP="008F70FE">
            <w:pPr>
              <w:spacing w:line="276" w:lineRule="auto"/>
              <w:jc w:val="both"/>
            </w:pPr>
          </w:p>
          <w:p w14:paraId="7D1EBEDB" w14:textId="0B81C28B" w:rsidR="00D03186" w:rsidRPr="00EF0E82" w:rsidRDefault="00D03186" w:rsidP="008F70FE">
            <w:pPr>
              <w:spacing w:line="276" w:lineRule="auto"/>
              <w:jc w:val="both"/>
            </w:pPr>
            <w:r w:rsidRPr="00EF0E82">
              <w:t>No obstante, el proceso comercial aún no concluye. Actualmente permanecen sin comercializar alrededor de 115 mil toneladas, situación que mantiene a productores sin recibir todavía el pago correspondiente de su cosecha.</w:t>
            </w:r>
          </w:p>
          <w:p w14:paraId="069D9792" w14:textId="77777777" w:rsidR="00D03186" w:rsidRPr="00EF0E82" w:rsidRDefault="00D03186" w:rsidP="008F70FE">
            <w:pPr>
              <w:spacing w:line="276" w:lineRule="auto"/>
              <w:jc w:val="both"/>
            </w:pPr>
          </w:p>
          <w:p w14:paraId="2160B2A0" w14:textId="77777777" w:rsidR="00D03186" w:rsidRPr="00EF0E82" w:rsidRDefault="00D03186" w:rsidP="00EF0E82">
            <w:pPr>
              <w:spacing w:after="100"/>
            </w:pPr>
            <w:r w:rsidRPr="00EF0E82">
              <w:rPr>
                <w:b/>
                <w:bCs/>
                <w:u w:val="single"/>
              </w:rPr>
              <w:t>Acción 3</w:t>
            </w:r>
          </w:p>
          <w:p w14:paraId="15B16E02" w14:textId="77777777" w:rsidR="00D03186" w:rsidRPr="00EF0E82" w:rsidRDefault="00D03186" w:rsidP="00EF0E82">
            <w:pPr>
              <w:spacing w:after="100"/>
            </w:pPr>
            <w:r w:rsidRPr="00EF0E82">
              <w:rPr>
                <w:b/>
                <w:bCs/>
                <w:u w:val="single"/>
              </w:rPr>
              <w:t>Vinculación comercial entre productores de maíz e industriales de la masa y la tortilla</w:t>
            </w:r>
          </w:p>
          <w:p w14:paraId="4C57A731" w14:textId="52D5F9F3" w:rsidR="00D03186" w:rsidRPr="00EF0E82" w:rsidRDefault="00D03186" w:rsidP="00EF0E82">
            <w:pPr>
              <w:spacing w:line="276" w:lineRule="auto"/>
              <w:jc w:val="both"/>
            </w:pPr>
            <w:r w:rsidRPr="00EF0E82">
              <w:t>Como parte de la estrategia de fortalecimiento de mercados, el Gobierno del Estado fungió como vínculo entre productores de maíz e industriales de la masa y la tortilla, promoviendo esquemas de comercialización directa.</w:t>
            </w:r>
          </w:p>
          <w:p w14:paraId="7161A171" w14:textId="77777777" w:rsidR="00D03186" w:rsidRPr="00EF0E82" w:rsidRDefault="00D03186" w:rsidP="00EF0E82">
            <w:pPr>
              <w:spacing w:line="276" w:lineRule="auto"/>
              <w:jc w:val="both"/>
            </w:pPr>
          </w:p>
          <w:p w14:paraId="1B00F8E3" w14:textId="6D6A0514" w:rsidR="00D03186" w:rsidRPr="00EF0E82" w:rsidRDefault="00D03186" w:rsidP="00EF0E82">
            <w:pPr>
              <w:spacing w:line="276" w:lineRule="auto"/>
              <w:jc w:val="both"/>
            </w:pPr>
            <w:r w:rsidRPr="00EF0E82">
              <w:t>Esta acción representó una de las alternativas más importantes de comercialización para los productores ante el entorno adverso del ciclo Primavera–Verano 2025.</w:t>
            </w:r>
          </w:p>
          <w:p w14:paraId="61EC3CD9" w14:textId="77777777" w:rsidR="00D03186" w:rsidRPr="00EF0E82" w:rsidRDefault="00D03186" w:rsidP="00EF0E82">
            <w:pPr>
              <w:spacing w:line="276" w:lineRule="auto"/>
              <w:jc w:val="both"/>
            </w:pPr>
          </w:p>
          <w:p w14:paraId="46AA4B28" w14:textId="499AEFEC" w:rsidR="00D03186" w:rsidRPr="00EF0E82" w:rsidRDefault="00D03186" w:rsidP="00EF0E82">
            <w:pPr>
              <w:spacing w:line="276" w:lineRule="auto"/>
              <w:jc w:val="both"/>
            </w:pPr>
            <w:r w:rsidRPr="00EF0E82">
              <w:t>Asimismo, permitió que la industria adquiriera maíz producido en Guanajuato bajo condiciones competitivas, generando beneficios mutuos y fortaleciendo la integración de la cadena productiva maíz–masa–tortilla.</w:t>
            </w:r>
          </w:p>
          <w:p w14:paraId="05C3D689" w14:textId="77777777" w:rsidR="00D03186" w:rsidRPr="00EF0E82" w:rsidRDefault="00D03186" w:rsidP="00EF0E82">
            <w:pPr>
              <w:spacing w:line="276" w:lineRule="auto"/>
              <w:jc w:val="both"/>
            </w:pPr>
          </w:p>
          <w:p w14:paraId="782B9269" w14:textId="77777777" w:rsidR="00D03186" w:rsidRPr="00EF0E82" w:rsidRDefault="00D03186" w:rsidP="00EF0E82">
            <w:pPr>
              <w:spacing w:after="100"/>
            </w:pPr>
            <w:r w:rsidRPr="00EF0E82">
              <w:rPr>
                <w:b/>
                <w:bCs/>
              </w:rPr>
              <w:t>Alcance de la estrategia</w:t>
            </w:r>
          </w:p>
          <w:p w14:paraId="3A9CC0A7" w14:textId="77777777" w:rsidR="00D03186" w:rsidRPr="00EF0E82" w:rsidRDefault="00D03186" w:rsidP="00EF0E82">
            <w:pPr>
              <w:pStyle w:val="Prrafodelista"/>
              <w:numPr>
                <w:ilvl w:val="0"/>
                <w:numId w:val="47"/>
              </w:numPr>
              <w:spacing w:after="60"/>
              <w:rPr>
                <w:sz w:val="24"/>
                <w:szCs w:val="24"/>
              </w:rPr>
            </w:pPr>
            <w:r w:rsidRPr="00EF0E82">
              <w:rPr>
                <w:sz w:val="24"/>
                <w:szCs w:val="24"/>
              </w:rPr>
              <w:t xml:space="preserve">Volumen considerado: </w:t>
            </w:r>
            <w:r w:rsidRPr="00EF0E82">
              <w:rPr>
                <w:b/>
                <w:bCs/>
                <w:sz w:val="24"/>
                <w:szCs w:val="24"/>
              </w:rPr>
              <w:t>25 mil toneladas</w:t>
            </w:r>
          </w:p>
          <w:p w14:paraId="2A979FE9" w14:textId="77777777" w:rsidR="00D03186" w:rsidRPr="00EF0E82" w:rsidRDefault="00D03186" w:rsidP="00EF0E82">
            <w:pPr>
              <w:pStyle w:val="Prrafodelista"/>
              <w:numPr>
                <w:ilvl w:val="0"/>
                <w:numId w:val="47"/>
              </w:numPr>
              <w:spacing w:after="200"/>
              <w:rPr>
                <w:sz w:val="24"/>
                <w:szCs w:val="24"/>
              </w:rPr>
            </w:pPr>
            <w:r w:rsidRPr="00EF0E82">
              <w:rPr>
                <w:sz w:val="24"/>
                <w:szCs w:val="24"/>
              </w:rPr>
              <w:t>Objetivo central: fortalecer esquemas de integración comercial regional y generar nuevas rutas de mercado para el maíz guanajuatense.</w:t>
            </w:r>
          </w:p>
          <w:p w14:paraId="27EB773F" w14:textId="15DE6DF0" w:rsidR="00D03186" w:rsidRPr="00EF0E82" w:rsidRDefault="00D03186" w:rsidP="00EF0E82">
            <w:pPr>
              <w:spacing w:line="276" w:lineRule="auto"/>
              <w:jc w:val="both"/>
            </w:pPr>
            <w:r w:rsidRPr="00EF0E82">
              <w:t>Esta estrategia abre oportunidades para consolidar mecanismos de comercialización más directos, estables y con mayor certidumbre para los participantes de la cadena agroalimentaria.</w:t>
            </w:r>
          </w:p>
          <w:p w14:paraId="1C661F84" w14:textId="77777777" w:rsidR="00D03186" w:rsidRPr="00EF0E82" w:rsidRDefault="00D03186" w:rsidP="00EF0E82">
            <w:pPr>
              <w:spacing w:line="276" w:lineRule="auto"/>
              <w:jc w:val="both"/>
            </w:pPr>
          </w:p>
          <w:p w14:paraId="1FDCADFC" w14:textId="77777777" w:rsidR="00D03186" w:rsidRPr="00EF0E82" w:rsidRDefault="00D03186" w:rsidP="00EF0E82">
            <w:pPr>
              <w:spacing w:after="100"/>
            </w:pPr>
            <w:r w:rsidRPr="00EF0E82">
              <w:rPr>
                <w:b/>
                <w:bCs/>
              </w:rPr>
              <w:t>Situación actual y retos hacia adelante</w:t>
            </w:r>
          </w:p>
          <w:p w14:paraId="1D1A52A8" w14:textId="700B685F" w:rsidR="00D03186" w:rsidRPr="00EF0E82" w:rsidRDefault="00D03186" w:rsidP="00EF0E82">
            <w:pPr>
              <w:spacing w:line="276" w:lineRule="auto"/>
              <w:jc w:val="both"/>
            </w:pPr>
            <w:r w:rsidRPr="00EF0E82">
              <w:t>Si bien las acciones implementadas permitieron contener gran parte de la problemática comercial y facilitar la salida de la mayor parte de la cosecha estatal, el ciclo comercial aún no concluye.</w:t>
            </w:r>
          </w:p>
          <w:p w14:paraId="45936FA2" w14:textId="77777777" w:rsidR="00D03186" w:rsidRPr="00EF0E82" w:rsidRDefault="00D03186" w:rsidP="00EF0E82">
            <w:pPr>
              <w:spacing w:line="276" w:lineRule="auto"/>
              <w:jc w:val="both"/>
            </w:pPr>
          </w:p>
          <w:p w14:paraId="43D16DB7" w14:textId="6DCD1122" w:rsidR="00D03186" w:rsidRPr="00EF0E82" w:rsidRDefault="00D03186" w:rsidP="00EF0E82">
            <w:pPr>
              <w:spacing w:line="276" w:lineRule="auto"/>
              <w:jc w:val="both"/>
            </w:pPr>
            <w:r w:rsidRPr="00EF0E82">
              <w:t>El Gobierno del Estado continúa trabajando de manera coordinada con centros de acopio, productores y compradores para buscar alternativas que permitan colocar el volumen pendiente y reducir las afectaciones económicas que todavía enfrentan diversas familias productoras.</w:t>
            </w:r>
          </w:p>
          <w:p w14:paraId="512CAE00" w14:textId="77777777" w:rsidR="00D03186" w:rsidRPr="00EF0E82" w:rsidRDefault="00D03186" w:rsidP="00EF0E82">
            <w:pPr>
              <w:spacing w:line="276" w:lineRule="auto"/>
              <w:jc w:val="both"/>
            </w:pPr>
          </w:p>
          <w:p w14:paraId="1501DD2B" w14:textId="77777777" w:rsidR="00D03186" w:rsidRPr="00EF0E82" w:rsidRDefault="00D03186" w:rsidP="00EF0E82">
            <w:pPr>
              <w:spacing w:after="100"/>
              <w:jc w:val="both"/>
            </w:pPr>
            <w:r w:rsidRPr="00EF0E82">
              <w:t>El entorno de comercialización sigue marcado por:</w:t>
            </w:r>
          </w:p>
          <w:p w14:paraId="038E7345" w14:textId="77777777" w:rsidR="00D03186" w:rsidRPr="00EF0E82" w:rsidRDefault="00D03186" w:rsidP="00EF0E82">
            <w:pPr>
              <w:pStyle w:val="Prrafodelista"/>
              <w:numPr>
                <w:ilvl w:val="0"/>
                <w:numId w:val="47"/>
              </w:numPr>
              <w:spacing w:after="60"/>
              <w:rPr>
                <w:sz w:val="24"/>
                <w:szCs w:val="24"/>
              </w:rPr>
            </w:pPr>
            <w:r w:rsidRPr="00EF0E82">
              <w:rPr>
                <w:sz w:val="24"/>
                <w:szCs w:val="24"/>
              </w:rPr>
              <w:t>alta volatilidad internacional</w:t>
            </w:r>
          </w:p>
          <w:p w14:paraId="0AE8DDD5" w14:textId="77777777" w:rsidR="00D03186" w:rsidRPr="00EF0E82" w:rsidRDefault="00D03186" w:rsidP="00EF0E82">
            <w:pPr>
              <w:pStyle w:val="Prrafodelista"/>
              <w:numPr>
                <w:ilvl w:val="0"/>
                <w:numId w:val="47"/>
              </w:numPr>
              <w:spacing w:after="60"/>
              <w:rPr>
                <w:sz w:val="24"/>
                <w:szCs w:val="24"/>
              </w:rPr>
            </w:pPr>
            <w:r w:rsidRPr="00EF0E82">
              <w:rPr>
                <w:sz w:val="24"/>
                <w:szCs w:val="24"/>
              </w:rPr>
              <w:t>presión de importaciones</w:t>
            </w:r>
          </w:p>
          <w:p w14:paraId="2292FDF6" w14:textId="77777777" w:rsidR="00D03186" w:rsidRPr="00EF0E82" w:rsidRDefault="00D03186" w:rsidP="00EF0E82">
            <w:pPr>
              <w:pStyle w:val="Prrafodelista"/>
              <w:numPr>
                <w:ilvl w:val="0"/>
                <w:numId w:val="47"/>
              </w:numPr>
              <w:spacing w:after="60"/>
              <w:rPr>
                <w:sz w:val="24"/>
                <w:szCs w:val="24"/>
              </w:rPr>
            </w:pPr>
            <w:r w:rsidRPr="00EF0E82">
              <w:rPr>
                <w:sz w:val="24"/>
                <w:szCs w:val="24"/>
              </w:rPr>
              <w:t>condiciones macroeconómicas inciertas</w:t>
            </w:r>
          </w:p>
          <w:p w14:paraId="410EA7D2" w14:textId="77777777" w:rsidR="00D03186" w:rsidRPr="00EF0E82" w:rsidRDefault="00D03186" w:rsidP="00EF0E82">
            <w:pPr>
              <w:pStyle w:val="Prrafodelista"/>
              <w:numPr>
                <w:ilvl w:val="0"/>
                <w:numId w:val="47"/>
              </w:numPr>
              <w:spacing w:after="60"/>
              <w:rPr>
                <w:sz w:val="24"/>
                <w:szCs w:val="24"/>
              </w:rPr>
            </w:pPr>
            <w:r w:rsidRPr="00EF0E82">
              <w:rPr>
                <w:sz w:val="24"/>
                <w:szCs w:val="24"/>
              </w:rPr>
              <w:t>variaciones climáticas adversas</w:t>
            </w:r>
          </w:p>
          <w:p w14:paraId="63E00286" w14:textId="43B99179" w:rsidR="00D03186" w:rsidRPr="00EF0E82" w:rsidRDefault="00D03186" w:rsidP="00EF0E82">
            <w:pPr>
              <w:pStyle w:val="Prrafodelista"/>
              <w:numPr>
                <w:ilvl w:val="0"/>
                <w:numId w:val="47"/>
              </w:numPr>
              <w:spacing w:after="60"/>
              <w:rPr>
                <w:sz w:val="24"/>
                <w:szCs w:val="24"/>
              </w:rPr>
            </w:pPr>
            <w:r w:rsidRPr="00EF0E82">
              <w:rPr>
                <w:sz w:val="24"/>
                <w:szCs w:val="24"/>
              </w:rPr>
              <w:t>mercados cada vez más competitivos.</w:t>
            </w:r>
          </w:p>
          <w:p w14:paraId="775B85C7" w14:textId="77777777" w:rsidR="00D03186" w:rsidRPr="00EF0E82" w:rsidRDefault="00D03186" w:rsidP="00116297">
            <w:pPr>
              <w:spacing w:line="276" w:lineRule="auto"/>
              <w:jc w:val="both"/>
            </w:pPr>
          </w:p>
          <w:p w14:paraId="7F4EC7B9" w14:textId="252AD5DF" w:rsidR="00D03186" w:rsidRPr="00EF0E82" w:rsidRDefault="00D03186" w:rsidP="00116297">
            <w:pPr>
              <w:spacing w:line="276" w:lineRule="auto"/>
              <w:jc w:val="both"/>
            </w:pPr>
            <w:r w:rsidRPr="00EF0E82">
              <w:t>Por ello, resulta indispensable continuar fortaleciendo la organización comercial, la integración de cadenas productivas y los mecanismos de administración de riesgos de mercado.</w:t>
            </w:r>
          </w:p>
          <w:p w14:paraId="5828ADFC" w14:textId="77777777" w:rsidR="00D03186" w:rsidRPr="00EF0E82" w:rsidRDefault="00D03186" w:rsidP="00116297">
            <w:pPr>
              <w:spacing w:line="276" w:lineRule="auto"/>
              <w:jc w:val="both"/>
            </w:pPr>
          </w:p>
          <w:p w14:paraId="51C62D86" w14:textId="563A7903" w:rsidR="00D03186" w:rsidRPr="00EF0E82" w:rsidRDefault="00D03186" w:rsidP="00116297">
            <w:pPr>
              <w:spacing w:line="276" w:lineRule="auto"/>
              <w:jc w:val="both"/>
            </w:pPr>
            <w:r w:rsidRPr="00EF0E82">
              <w:t>Asimismo, es fundamental impulsar una cultura de comercialización más preventiva, donde el productor pueda avanzar gradualmente hacia esquemas con mayor certidumbre comercial desde el momento de la siembra, incluyendo mecanismos de protección de precios y acuerdos anticipados de compra.</w:t>
            </w:r>
          </w:p>
          <w:p w14:paraId="015E347E" w14:textId="77777777" w:rsidR="00D03186" w:rsidRPr="00EF0E82" w:rsidRDefault="00D03186" w:rsidP="00116297">
            <w:pPr>
              <w:spacing w:line="276" w:lineRule="auto"/>
              <w:jc w:val="both"/>
            </w:pPr>
          </w:p>
          <w:p w14:paraId="0F14346E" w14:textId="2A7627F6" w:rsidR="00D03186" w:rsidRPr="00EF0E82" w:rsidRDefault="00D03186" w:rsidP="00116297">
            <w:pPr>
              <w:spacing w:line="276" w:lineRule="auto"/>
              <w:jc w:val="both"/>
              <w:rPr>
                <w:rFonts w:eastAsia="Arial"/>
                <w:b/>
                <w:bCs/>
              </w:rPr>
            </w:pPr>
            <w:r w:rsidRPr="00EF0E82">
              <w:rPr>
                <w:rFonts w:eastAsia="Arial"/>
                <w:b/>
                <w:bCs/>
              </w:rPr>
              <w:t>Conclusión</w:t>
            </w:r>
          </w:p>
          <w:p w14:paraId="6FF1839D" w14:textId="029AFB0C" w:rsidR="00D03186" w:rsidRPr="00EF0E82" w:rsidRDefault="00D03186" w:rsidP="00116297">
            <w:pPr>
              <w:spacing w:line="276" w:lineRule="auto"/>
              <w:jc w:val="both"/>
            </w:pPr>
            <w:r w:rsidRPr="00EF0E82">
              <w:t>El Gobierno del Estado de Guanajuato refrenda su compromiso con las productoras y productores de maíz, implementando acciones concretas para enfrentar una de las coyunturas comerciales más difíciles de los últimos años.</w:t>
            </w:r>
          </w:p>
          <w:p w14:paraId="47AD738A" w14:textId="77777777" w:rsidR="00D03186" w:rsidRPr="00EF0E82" w:rsidRDefault="00D03186" w:rsidP="00116297">
            <w:pPr>
              <w:spacing w:line="276" w:lineRule="auto"/>
              <w:jc w:val="both"/>
            </w:pPr>
          </w:p>
          <w:p w14:paraId="12E5139B" w14:textId="660E68F9" w:rsidR="00D03186" w:rsidRPr="00EF0E82" w:rsidRDefault="00D03186" w:rsidP="00116297">
            <w:pPr>
              <w:spacing w:line="276" w:lineRule="auto"/>
              <w:jc w:val="both"/>
            </w:pPr>
            <w:r w:rsidRPr="00EF0E82">
              <w:t>Las medidas adoptadas permitieron mitigar el impacto económico, preservar la liquidez de miles de familias rurales y facilitar la comercialización de aproximadamente el 90% de la cosecha estatal.</w:t>
            </w:r>
          </w:p>
          <w:p w14:paraId="213AD8EE" w14:textId="77777777" w:rsidR="00D03186" w:rsidRPr="00EF0E82" w:rsidRDefault="00D03186" w:rsidP="00116297">
            <w:pPr>
              <w:spacing w:line="276" w:lineRule="auto"/>
              <w:jc w:val="both"/>
            </w:pPr>
          </w:p>
          <w:p w14:paraId="5BEE3654" w14:textId="3195905B" w:rsidR="00D03186" w:rsidRPr="00EF0E82" w:rsidRDefault="00D03186" w:rsidP="00116297">
            <w:pPr>
              <w:spacing w:line="276" w:lineRule="auto"/>
              <w:jc w:val="both"/>
              <w:rPr>
                <w:bCs/>
                <w:lang w:val="es-MX"/>
              </w:rPr>
            </w:pPr>
            <w:r w:rsidRPr="00EF0E82">
              <w:t>En Guanajuato se tiene claridad de que fortalecer la rentabilidad del campo no solo significa apoyar a los productores, sino proteger la estabilidad económica, social y alimentaria de todo el estado.</w:t>
            </w:r>
          </w:p>
          <w:p w14:paraId="52AD7456" w14:textId="77777777" w:rsidR="00D03186" w:rsidRDefault="00D03186" w:rsidP="008F70FE">
            <w:pPr>
              <w:spacing w:line="276" w:lineRule="auto"/>
              <w:jc w:val="both"/>
              <w:rPr>
                <w:bCs/>
                <w:lang w:val="es-MX"/>
              </w:rPr>
            </w:pPr>
          </w:p>
          <w:p w14:paraId="06D10211" w14:textId="003CAEA5" w:rsidR="00D03186" w:rsidRPr="008F70FE" w:rsidRDefault="00D03186" w:rsidP="004A6BAE">
            <w:pPr>
              <w:spacing w:line="276" w:lineRule="auto"/>
              <w:jc w:val="both"/>
              <w:rPr>
                <w:lang w:val="es-MX"/>
              </w:rPr>
            </w:pPr>
          </w:p>
        </w:tc>
        <w:tc>
          <w:tcPr>
            <w:tcW w:w="4252" w:type="dxa"/>
          </w:tcPr>
          <w:p w14:paraId="3DD67BF7" w14:textId="77777777" w:rsidR="00D03186" w:rsidRDefault="00D03186" w:rsidP="0028571D">
            <w:pPr>
              <w:spacing w:line="276" w:lineRule="auto"/>
              <w:jc w:val="both"/>
              <w:rPr>
                <w:iCs/>
                <w:lang w:val="es-ES_tradnl"/>
              </w:rPr>
            </w:pPr>
          </w:p>
          <w:p w14:paraId="1B490737" w14:textId="3FD73344" w:rsidR="00D03186" w:rsidRPr="0069542C" w:rsidRDefault="00D03186" w:rsidP="0028571D">
            <w:pPr>
              <w:spacing w:line="276" w:lineRule="auto"/>
              <w:jc w:val="both"/>
              <w:rPr>
                <w:iCs/>
                <w:lang w:val="es-ES_tradnl"/>
              </w:rPr>
            </w:pPr>
            <w:r w:rsidRPr="0069542C">
              <w:rPr>
                <w:iCs/>
                <w:lang w:val="es-ES_tradnl"/>
              </w:rPr>
              <w:t xml:space="preserve"> </w:t>
            </w:r>
          </w:p>
        </w:tc>
      </w:tr>
      <w:tr w:rsidR="00D03186" w:rsidRPr="0069542C" w14:paraId="7BCF14BA" w14:textId="77777777" w:rsidTr="00583CBD">
        <w:trPr>
          <w:trHeight w:val="893"/>
        </w:trPr>
        <w:tc>
          <w:tcPr>
            <w:tcW w:w="6068" w:type="dxa"/>
            <w:vMerge/>
          </w:tcPr>
          <w:p w14:paraId="41C7A261" w14:textId="77777777" w:rsidR="00D03186" w:rsidRPr="0069542C" w:rsidRDefault="00D03186" w:rsidP="00680CDC">
            <w:pPr>
              <w:spacing w:line="276" w:lineRule="auto"/>
              <w:jc w:val="both"/>
              <w:rPr>
                <w:bCs/>
              </w:rPr>
            </w:pPr>
          </w:p>
        </w:tc>
        <w:tc>
          <w:tcPr>
            <w:tcW w:w="7938" w:type="dxa"/>
          </w:tcPr>
          <w:p w14:paraId="4C9B9539" w14:textId="13347E04" w:rsidR="00D03186" w:rsidRDefault="00D03186" w:rsidP="00D03186">
            <w:pPr>
              <w:spacing w:line="276" w:lineRule="auto"/>
              <w:jc w:val="both"/>
              <w:rPr>
                <w:b/>
                <w:lang w:val="es-MX"/>
              </w:rPr>
            </w:pPr>
            <w:r>
              <w:rPr>
                <w:b/>
                <w:lang w:val="es-MX"/>
              </w:rPr>
              <w:t>Consejo Estatal Agroalimentario de Guanajuato A.C.</w:t>
            </w:r>
          </w:p>
          <w:p w14:paraId="3E8D1184" w14:textId="77777777" w:rsidR="00D03186" w:rsidRDefault="00D03186" w:rsidP="00D03186">
            <w:pPr>
              <w:spacing w:line="276" w:lineRule="auto"/>
              <w:jc w:val="both"/>
              <w:rPr>
                <w:b/>
                <w:lang w:val="es-MX"/>
              </w:rPr>
            </w:pPr>
          </w:p>
          <w:p w14:paraId="3C04F868" w14:textId="7E484392" w:rsidR="00D03186" w:rsidRPr="00D03186" w:rsidRDefault="00D03186" w:rsidP="00D03186">
            <w:pPr>
              <w:spacing w:line="276" w:lineRule="auto"/>
              <w:jc w:val="both"/>
              <w:rPr>
                <w:b/>
                <w:bCs/>
              </w:rPr>
            </w:pPr>
            <w:r w:rsidRPr="00D03186">
              <w:rPr>
                <w:b/>
                <w:bCs/>
              </w:rPr>
              <w:t>Consideraciones Generales</w:t>
            </w:r>
          </w:p>
          <w:p w14:paraId="3374B3B4" w14:textId="5BCA6193" w:rsidR="00D03186" w:rsidRPr="00D03186" w:rsidRDefault="00D03186" w:rsidP="00D03186">
            <w:pPr>
              <w:spacing w:line="276" w:lineRule="auto"/>
              <w:jc w:val="both"/>
            </w:pPr>
            <w:r w:rsidRPr="00D03186">
              <w:lastRenderedPageBreak/>
              <w:t>El sector agroalimentario representa una actividad estratégica para la estabilidad económica, social y alimentaria del país. En el caso particular de Guanajuato, constituye uno de los principales motores de desarrollo regional, generación de empleo y atracción de inversión productiva, además de mantener una participación relevante en las exportaciones agroalimentarias nacionales.</w:t>
            </w:r>
          </w:p>
          <w:p w14:paraId="2DB21AC8" w14:textId="77777777" w:rsidR="00D03186" w:rsidRPr="00D03186" w:rsidRDefault="00D03186" w:rsidP="00D03186">
            <w:pPr>
              <w:spacing w:line="276" w:lineRule="auto"/>
              <w:jc w:val="both"/>
            </w:pPr>
          </w:p>
          <w:p w14:paraId="190DABDF" w14:textId="28C1F1EB" w:rsidR="00D03186" w:rsidRPr="00D03186" w:rsidRDefault="00D03186" w:rsidP="00D03186">
            <w:pPr>
              <w:spacing w:line="276" w:lineRule="auto"/>
              <w:jc w:val="both"/>
            </w:pPr>
            <w:r w:rsidRPr="00D03186">
              <w:t>Las recientes manifestaciones y movilizaciones realizadas por productores agropecuarios y transportistas reflejan problemáticas estructurales que desde hace varios años han venido afectando la competitividad y viabilidad económica de las actividades primarias y logísticas del país. Entre ellas destacan:</w:t>
            </w:r>
          </w:p>
          <w:p w14:paraId="7CDB8AE8" w14:textId="77777777" w:rsidR="00D03186" w:rsidRPr="00D03186" w:rsidRDefault="00D03186" w:rsidP="00D03186">
            <w:pPr>
              <w:spacing w:line="276" w:lineRule="auto"/>
              <w:jc w:val="both"/>
            </w:pPr>
          </w:p>
          <w:p w14:paraId="6301A672" w14:textId="77777777" w:rsidR="00D03186" w:rsidRPr="00D03186" w:rsidRDefault="00D03186" w:rsidP="00D03186">
            <w:pPr>
              <w:pStyle w:val="Prrafodelista"/>
              <w:numPr>
                <w:ilvl w:val="0"/>
                <w:numId w:val="48"/>
              </w:numPr>
              <w:spacing w:after="60"/>
              <w:jc w:val="both"/>
              <w:rPr>
                <w:sz w:val="24"/>
                <w:szCs w:val="24"/>
              </w:rPr>
            </w:pPr>
            <w:r w:rsidRPr="00D03186">
              <w:rPr>
                <w:sz w:val="24"/>
                <w:szCs w:val="24"/>
              </w:rPr>
              <w:t>El incremento sostenido en costos de producción y transporte;</w:t>
            </w:r>
          </w:p>
          <w:p w14:paraId="515B50A9" w14:textId="77777777" w:rsidR="00D03186" w:rsidRPr="00D03186" w:rsidRDefault="00D03186" w:rsidP="00D03186">
            <w:pPr>
              <w:pStyle w:val="Prrafodelista"/>
              <w:numPr>
                <w:ilvl w:val="0"/>
                <w:numId w:val="48"/>
              </w:numPr>
              <w:spacing w:after="60"/>
              <w:jc w:val="both"/>
              <w:rPr>
                <w:sz w:val="24"/>
                <w:szCs w:val="24"/>
              </w:rPr>
            </w:pPr>
            <w:r w:rsidRPr="00D03186">
              <w:rPr>
                <w:sz w:val="24"/>
                <w:szCs w:val="24"/>
              </w:rPr>
              <w:t>La inseguridad en carreteras;</w:t>
            </w:r>
          </w:p>
          <w:p w14:paraId="373236CA" w14:textId="77777777" w:rsidR="00D03186" w:rsidRPr="00D03186" w:rsidRDefault="00D03186" w:rsidP="00D03186">
            <w:pPr>
              <w:pStyle w:val="Prrafodelista"/>
              <w:numPr>
                <w:ilvl w:val="0"/>
                <w:numId w:val="48"/>
              </w:numPr>
              <w:spacing w:after="60"/>
              <w:jc w:val="both"/>
              <w:rPr>
                <w:sz w:val="24"/>
                <w:szCs w:val="24"/>
              </w:rPr>
            </w:pPr>
            <w:r w:rsidRPr="00D03186">
              <w:rPr>
                <w:sz w:val="24"/>
                <w:szCs w:val="24"/>
              </w:rPr>
              <w:t>El robo al autotransporte y mercancías;</w:t>
            </w:r>
          </w:p>
          <w:p w14:paraId="1C6CC398" w14:textId="77777777" w:rsidR="00D03186" w:rsidRPr="00D03186" w:rsidRDefault="00D03186" w:rsidP="00D03186">
            <w:pPr>
              <w:pStyle w:val="Prrafodelista"/>
              <w:numPr>
                <w:ilvl w:val="0"/>
                <w:numId w:val="48"/>
              </w:numPr>
              <w:spacing w:after="60"/>
              <w:jc w:val="both"/>
              <w:rPr>
                <w:sz w:val="24"/>
                <w:szCs w:val="24"/>
              </w:rPr>
            </w:pPr>
            <w:r w:rsidRPr="00D03186">
              <w:rPr>
                <w:sz w:val="24"/>
                <w:szCs w:val="24"/>
              </w:rPr>
              <w:t>La volatilidad de precios agrícolas;</w:t>
            </w:r>
          </w:p>
          <w:p w14:paraId="13985A64" w14:textId="77777777" w:rsidR="00D03186" w:rsidRPr="00D03186" w:rsidRDefault="00D03186" w:rsidP="00D03186">
            <w:pPr>
              <w:pStyle w:val="Prrafodelista"/>
              <w:numPr>
                <w:ilvl w:val="0"/>
                <w:numId w:val="48"/>
              </w:numPr>
              <w:spacing w:after="60"/>
              <w:jc w:val="both"/>
              <w:rPr>
                <w:sz w:val="24"/>
                <w:szCs w:val="24"/>
              </w:rPr>
            </w:pPr>
            <w:r w:rsidRPr="00D03186">
              <w:rPr>
                <w:sz w:val="24"/>
                <w:szCs w:val="24"/>
              </w:rPr>
              <w:t>Las limitaciones de acceso al financiamiento;</w:t>
            </w:r>
          </w:p>
          <w:p w14:paraId="56D05C55" w14:textId="77777777" w:rsidR="00D03186" w:rsidRPr="00D03186" w:rsidRDefault="00D03186" w:rsidP="00D03186">
            <w:pPr>
              <w:pStyle w:val="Prrafodelista"/>
              <w:numPr>
                <w:ilvl w:val="0"/>
                <w:numId w:val="48"/>
              </w:numPr>
              <w:spacing w:after="60"/>
              <w:jc w:val="both"/>
              <w:rPr>
                <w:sz w:val="24"/>
                <w:szCs w:val="24"/>
              </w:rPr>
            </w:pPr>
            <w:r w:rsidRPr="00D03186">
              <w:rPr>
                <w:sz w:val="24"/>
                <w:szCs w:val="24"/>
              </w:rPr>
              <w:t>La insuficiencia de infraestructura hidráulica;</w:t>
            </w:r>
          </w:p>
          <w:p w14:paraId="23DBFEEC" w14:textId="77777777" w:rsidR="00D03186" w:rsidRPr="00D03186" w:rsidRDefault="00D03186" w:rsidP="00D03186">
            <w:pPr>
              <w:pStyle w:val="Prrafodelista"/>
              <w:numPr>
                <w:ilvl w:val="0"/>
                <w:numId w:val="48"/>
              </w:numPr>
              <w:spacing w:after="60"/>
              <w:jc w:val="both"/>
              <w:rPr>
                <w:sz w:val="24"/>
                <w:szCs w:val="24"/>
              </w:rPr>
            </w:pPr>
            <w:r w:rsidRPr="00D03186">
              <w:rPr>
                <w:sz w:val="24"/>
                <w:szCs w:val="24"/>
              </w:rPr>
              <w:t>La dependencia de importaciones agroalimentarias;</w:t>
            </w:r>
          </w:p>
          <w:p w14:paraId="271AA60D" w14:textId="238E4439" w:rsidR="00D03186" w:rsidRPr="00D03186" w:rsidRDefault="00D03186" w:rsidP="00D03186">
            <w:pPr>
              <w:pStyle w:val="Prrafodelista"/>
              <w:numPr>
                <w:ilvl w:val="0"/>
                <w:numId w:val="48"/>
              </w:numPr>
              <w:spacing w:after="60"/>
              <w:jc w:val="both"/>
              <w:rPr>
                <w:sz w:val="24"/>
                <w:szCs w:val="24"/>
              </w:rPr>
            </w:pPr>
            <w:r w:rsidRPr="00D03186">
              <w:rPr>
                <w:sz w:val="24"/>
                <w:szCs w:val="24"/>
              </w:rPr>
              <w:t>Y la ausencia de mecanismos integrales de atención y planeación de largo plazo.</w:t>
            </w:r>
          </w:p>
          <w:p w14:paraId="3625B831" w14:textId="77777777" w:rsidR="00D03186" w:rsidRPr="00D03186" w:rsidRDefault="00D03186" w:rsidP="00D03186">
            <w:pPr>
              <w:spacing w:after="60"/>
              <w:jc w:val="both"/>
            </w:pPr>
          </w:p>
          <w:p w14:paraId="2C088815" w14:textId="6457E917" w:rsidR="00D03186" w:rsidRPr="00D03186" w:rsidRDefault="00D03186" w:rsidP="00D03186">
            <w:pPr>
              <w:spacing w:after="60"/>
              <w:jc w:val="both"/>
            </w:pPr>
            <w:r w:rsidRPr="00D03186">
              <w:t>En ese sentido, este Consejo considera legítimo que los distintos sectores productivos expresen sus preocupaciones y soliciten condiciones que les permitan continuar desarrollando sus actividades en un entorno de mayor certidumbre económica y operativa.</w:t>
            </w:r>
          </w:p>
          <w:p w14:paraId="2ED088E5" w14:textId="77777777" w:rsidR="00D03186" w:rsidRPr="00D03186" w:rsidRDefault="00D03186" w:rsidP="00D03186">
            <w:pPr>
              <w:spacing w:after="60"/>
              <w:jc w:val="both"/>
            </w:pPr>
          </w:p>
          <w:p w14:paraId="24D5E3B5" w14:textId="1F677216" w:rsidR="00D03186" w:rsidRPr="00D03186" w:rsidRDefault="00D03186" w:rsidP="00D03186">
            <w:pPr>
              <w:spacing w:after="60"/>
              <w:jc w:val="both"/>
              <w:rPr>
                <w:b/>
                <w:bCs/>
              </w:rPr>
            </w:pPr>
            <w:r w:rsidRPr="00D03186">
              <w:rPr>
                <w:b/>
                <w:bCs/>
              </w:rPr>
              <w:lastRenderedPageBreak/>
              <w:t>Sobre el contenido del Punto de Acuerdo</w:t>
            </w:r>
          </w:p>
          <w:p w14:paraId="16FF9114" w14:textId="77777777" w:rsidR="00D03186" w:rsidRPr="00D03186" w:rsidRDefault="00D03186" w:rsidP="00D03186">
            <w:pPr>
              <w:spacing w:after="60"/>
              <w:jc w:val="both"/>
            </w:pPr>
          </w:p>
          <w:p w14:paraId="30B105AE" w14:textId="31D913B2" w:rsidR="00D03186" w:rsidRPr="00D03186" w:rsidRDefault="00D03186" w:rsidP="00D03186">
            <w:pPr>
              <w:spacing w:after="60"/>
              <w:jc w:val="both"/>
            </w:pPr>
            <w:r w:rsidRPr="00D03186">
              <w:t>El exhorto planteado por el Congreso del Estado se enfoca principalmente en solicitar a la Secretaría de Gobernación del Gobierno Federal la revisión integral y atención puntual de las demandas expresadas por productores y transportistas, privilegiando el diálogo institucional y la construcción de acuerdos.</w:t>
            </w:r>
          </w:p>
          <w:p w14:paraId="20DA73F0" w14:textId="77777777" w:rsidR="00D03186" w:rsidRPr="00D03186" w:rsidRDefault="00D03186" w:rsidP="00D03186">
            <w:pPr>
              <w:spacing w:after="60"/>
              <w:jc w:val="both"/>
            </w:pPr>
          </w:p>
          <w:p w14:paraId="17A8D3D5" w14:textId="44BEFFCE" w:rsidR="00D03186" w:rsidRPr="00D03186" w:rsidRDefault="00D03186" w:rsidP="00D03186">
            <w:pPr>
              <w:spacing w:after="60"/>
              <w:jc w:val="both"/>
            </w:pPr>
            <w:r w:rsidRPr="00D03186">
              <w:t>Desde la perspectiva del Consejo Estatal Agroalimentario de Guanajuato, el contenido del Punto de Acuerdo resulta pertinente en virtud de que reconoce:</w:t>
            </w:r>
          </w:p>
          <w:p w14:paraId="0CC060E0" w14:textId="77777777" w:rsidR="00D03186" w:rsidRPr="00D03186" w:rsidRDefault="00D03186" w:rsidP="00D03186">
            <w:pPr>
              <w:spacing w:after="60"/>
              <w:jc w:val="both"/>
            </w:pPr>
          </w:p>
          <w:p w14:paraId="05350F15" w14:textId="77777777" w:rsidR="00D03186" w:rsidRPr="00D03186" w:rsidRDefault="00D03186" w:rsidP="00D03186">
            <w:pPr>
              <w:pStyle w:val="Prrafodelista"/>
              <w:numPr>
                <w:ilvl w:val="0"/>
                <w:numId w:val="49"/>
              </w:numPr>
              <w:spacing w:after="80"/>
              <w:jc w:val="both"/>
              <w:rPr>
                <w:sz w:val="24"/>
                <w:szCs w:val="24"/>
              </w:rPr>
            </w:pPr>
            <w:r w:rsidRPr="00D03186">
              <w:rPr>
                <w:sz w:val="24"/>
                <w:szCs w:val="24"/>
              </w:rPr>
              <w:t>La relevancia estratégica del campo y del transporte para el funcionamiento económico del país;</w:t>
            </w:r>
          </w:p>
          <w:p w14:paraId="5F9041EA" w14:textId="77777777" w:rsidR="00D03186" w:rsidRPr="00D03186" w:rsidRDefault="00D03186" w:rsidP="00D03186">
            <w:pPr>
              <w:pStyle w:val="Prrafodelista"/>
              <w:numPr>
                <w:ilvl w:val="0"/>
                <w:numId w:val="49"/>
              </w:numPr>
              <w:spacing w:after="80"/>
              <w:jc w:val="both"/>
              <w:rPr>
                <w:sz w:val="24"/>
                <w:szCs w:val="24"/>
              </w:rPr>
            </w:pPr>
            <w:r w:rsidRPr="00D03186">
              <w:rPr>
                <w:sz w:val="24"/>
                <w:szCs w:val="24"/>
              </w:rPr>
              <w:t>La necesidad de establecer mecanismos institucionales de diálogo y seguimiento;</w:t>
            </w:r>
          </w:p>
          <w:p w14:paraId="5A6FBB88" w14:textId="77777777" w:rsidR="00D03186" w:rsidRPr="00D03186" w:rsidRDefault="00D03186" w:rsidP="00D03186">
            <w:pPr>
              <w:pStyle w:val="Prrafodelista"/>
              <w:numPr>
                <w:ilvl w:val="0"/>
                <w:numId w:val="49"/>
              </w:numPr>
              <w:spacing w:after="80"/>
              <w:jc w:val="both"/>
              <w:rPr>
                <w:sz w:val="24"/>
                <w:szCs w:val="24"/>
              </w:rPr>
            </w:pPr>
            <w:r w:rsidRPr="00D03186">
              <w:rPr>
                <w:sz w:val="24"/>
                <w:szCs w:val="24"/>
              </w:rPr>
              <w:t>La importancia de generar respuestas técnicamente sustentadas y con capacidad resolutiva;</w:t>
            </w:r>
          </w:p>
          <w:p w14:paraId="0147C4A8" w14:textId="6BE8BB8B" w:rsidR="00D03186" w:rsidRPr="00D03186" w:rsidRDefault="00D03186" w:rsidP="00D03186">
            <w:pPr>
              <w:pStyle w:val="Prrafodelista"/>
              <w:numPr>
                <w:ilvl w:val="0"/>
                <w:numId w:val="49"/>
              </w:numPr>
              <w:spacing w:after="80"/>
              <w:jc w:val="both"/>
              <w:rPr>
                <w:sz w:val="24"/>
                <w:szCs w:val="24"/>
              </w:rPr>
            </w:pPr>
            <w:r w:rsidRPr="00D03186">
              <w:rPr>
                <w:sz w:val="24"/>
                <w:szCs w:val="24"/>
              </w:rPr>
              <w:t>Y la urgencia de atender problemáticas estructurales que impactan directamente la productividad, la seguridad alimentaria y la competitividad nacional.</w:t>
            </w:r>
          </w:p>
          <w:p w14:paraId="394D0605" w14:textId="77777777" w:rsidR="00D03186" w:rsidRPr="00D03186" w:rsidRDefault="00D03186" w:rsidP="00D03186">
            <w:pPr>
              <w:spacing w:after="80"/>
              <w:ind w:left="360"/>
              <w:jc w:val="both"/>
            </w:pPr>
          </w:p>
          <w:p w14:paraId="0D05A6BF" w14:textId="2CDAA6A2" w:rsidR="00D03186" w:rsidRPr="00D03186" w:rsidRDefault="00D03186" w:rsidP="00D03186">
            <w:pPr>
              <w:spacing w:after="80"/>
              <w:jc w:val="both"/>
            </w:pPr>
            <w:r w:rsidRPr="00D03186">
              <w:t>Asimismo, se considera acertado que el exhorto privilegie la coordinación interinstitucional entre dependencias federales, ya que la naturaleza de las demandas involucra aspectos fiscales, de seguridad, infraestructura, comercio exterior, financiamiento y política agroalimentaria.</w:t>
            </w:r>
          </w:p>
          <w:p w14:paraId="11F67587" w14:textId="77777777" w:rsidR="00D03186" w:rsidRPr="00D03186" w:rsidRDefault="00D03186" w:rsidP="00D03186">
            <w:pPr>
              <w:spacing w:after="80"/>
              <w:jc w:val="both"/>
            </w:pPr>
          </w:p>
          <w:p w14:paraId="06FCEDFE" w14:textId="77777777" w:rsidR="00D03186" w:rsidRDefault="00D03186" w:rsidP="00D03186">
            <w:pPr>
              <w:spacing w:after="80"/>
              <w:jc w:val="both"/>
              <w:rPr>
                <w:b/>
                <w:bCs/>
              </w:rPr>
            </w:pPr>
          </w:p>
          <w:p w14:paraId="125D496E" w14:textId="77777777" w:rsidR="00D03186" w:rsidRDefault="00D03186" w:rsidP="00D03186">
            <w:pPr>
              <w:spacing w:after="80"/>
              <w:jc w:val="both"/>
              <w:rPr>
                <w:b/>
                <w:bCs/>
              </w:rPr>
            </w:pPr>
          </w:p>
          <w:p w14:paraId="20E85E0E" w14:textId="1FD6C3A6" w:rsidR="00D03186" w:rsidRPr="00D03186" w:rsidRDefault="00D03186" w:rsidP="00D03186">
            <w:pPr>
              <w:spacing w:after="80"/>
              <w:jc w:val="both"/>
              <w:rPr>
                <w:b/>
                <w:bCs/>
              </w:rPr>
            </w:pPr>
            <w:r w:rsidRPr="00D03186">
              <w:rPr>
                <w:b/>
                <w:bCs/>
              </w:rPr>
              <w:lastRenderedPageBreak/>
              <w:t>Consideraciones Técnicas y Económicas</w:t>
            </w:r>
          </w:p>
          <w:p w14:paraId="2CE67355" w14:textId="2A88D652" w:rsidR="00D03186" w:rsidRDefault="00D03186" w:rsidP="00D03186">
            <w:pPr>
              <w:spacing w:after="80"/>
              <w:jc w:val="both"/>
            </w:pPr>
            <w:r w:rsidRPr="00D03186">
              <w:t>El Consejo considera importante señalar que los efectos derivados de interrupciones prolongadas en las cadenas logísticas generan impactos inmediatos en:</w:t>
            </w:r>
          </w:p>
          <w:p w14:paraId="4829DAF3" w14:textId="77777777" w:rsidR="00D03186" w:rsidRPr="00D03186" w:rsidRDefault="00D03186" w:rsidP="00D03186">
            <w:pPr>
              <w:spacing w:after="80"/>
              <w:jc w:val="both"/>
            </w:pPr>
          </w:p>
          <w:p w14:paraId="6187942D" w14:textId="77777777" w:rsidR="00D03186" w:rsidRPr="00D03186" w:rsidRDefault="00D03186" w:rsidP="00D03186">
            <w:pPr>
              <w:pStyle w:val="Prrafodelista"/>
              <w:numPr>
                <w:ilvl w:val="0"/>
                <w:numId w:val="48"/>
              </w:numPr>
              <w:spacing w:after="60"/>
              <w:jc w:val="both"/>
              <w:rPr>
                <w:sz w:val="24"/>
                <w:szCs w:val="24"/>
              </w:rPr>
            </w:pPr>
            <w:r w:rsidRPr="00D03186">
              <w:rPr>
                <w:sz w:val="24"/>
                <w:szCs w:val="24"/>
              </w:rPr>
              <w:t>El abasto de alimentos;</w:t>
            </w:r>
          </w:p>
          <w:p w14:paraId="294C76CA" w14:textId="77777777" w:rsidR="00D03186" w:rsidRPr="00D03186" w:rsidRDefault="00D03186" w:rsidP="00D03186">
            <w:pPr>
              <w:pStyle w:val="Prrafodelista"/>
              <w:numPr>
                <w:ilvl w:val="0"/>
                <w:numId w:val="48"/>
              </w:numPr>
              <w:spacing w:after="60"/>
              <w:jc w:val="both"/>
              <w:rPr>
                <w:sz w:val="24"/>
                <w:szCs w:val="24"/>
              </w:rPr>
            </w:pPr>
            <w:r w:rsidRPr="00D03186">
              <w:rPr>
                <w:sz w:val="24"/>
                <w:szCs w:val="24"/>
              </w:rPr>
              <w:t>La distribución de insumos agrícolas;</w:t>
            </w:r>
          </w:p>
          <w:p w14:paraId="7575E132" w14:textId="77777777" w:rsidR="00D03186" w:rsidRPr="00D03186" w:rsidRDefault="00D03186" w:rsidP="00D03186">
            <w:pPr>
              <w:pStyle w:val="Prrafodelista"/>
              <w:numPr>
                <w:ilvl w:val="0"/>
                <w:numId w:val="48"/>
              </w:numPr>
              <w:spacing w:after="60"/>
              <w:jc w:val="both"/>
              <w:rPr>
                <w:sz w:val="24"/>
                <w:szCs w:val="24"/>
              </w:rPr>
            </w:pPr>
            <w:r w:rsidRPr="00D03186">
              <w:rPr>
                <w:sz w:val="24"/>
                <w:szCs w:val="24"/>
              </w:rPr>
              <w:t>Los costos de operación;</w:t>
            </w:r>
          </w:p>
          <w:p w14:paraId="464D35BF" w14:textId="77777777" w:rsidR="00D03186" w:rsidRPr="00D03186" w:rsidRDefault="00D03186" w:rsidP="00D03186">
            <w:pPr>
              <w:pStyle w:val="Prrafodelista"/>
              <w:numPr>
                <w:ilvl w:val="0"/>
                <w:numId w:val="48"/>
              </w:numPr>
              <w:spacing w:after="60"/>
              <w:jc w:val="both"/>
              <w:rPr>
                <w:sz w:val="24"/>
                <w:szCs w:val="24"/>
              </w:rPr>
            </w:pPr>
            <w:r w:rsidRPr="00D03186">
              <w:rPr>
                <w:sz w:val="24"/>
                <w:szCs w:val="24"/>
              </w:rPr>
              <w:t>La exportación de productos perecederos;</w:t>
            </w:r>
          </w:p>
          <w:p w14:paraId="1593EA31" w14:textId="77777777" w:rsidR="00D03186" w:rsidRPr="00D03186" w:rsidRDefault="00D03186" w:rsidP="00D03186">
            <w:pPr>
              <w:pStyle w:val="Prrafodelista"/>
              <w:numPr>
                <w:ilvl w:val="0"/>
                <w:numId w:val="48"/>
              </w:numPr>
              <w:spacing w:after="60"/>
              <w:jc w:val="both"/>
              <w:rPr>
                <w:sz w:val="24"/>
                <w:szCs w:val="24"/>
              </w:rPr>
            </w:pPr>
            <w:r w:rsidRPr="00D03186">
              <w:rPr>
                <w:sz w:val="24"/>
                <w:szCs w:val="24"/>
              </w:rPr>
              <w:t>La estabilidad de precios;</w:t>
            </w:r>
          </w:p>
          <w:p w14:paraId="5A8B0C31" w14:textId="73C988D9" w:rsidR="00D03186" w:rsidRPr="00D03186" w:rsidRDefault="00D03186" w:rsidP="00D03186">
            <w:pPr>
              <w:pStyle w:val="Prrafodelista"/>
              <w:numPr>
                <w:ilvl w:val="0"/>
                <w:numId w:val="48"/>
              </w:numPr>
              <w:spacing w:after="60"/>
              <w:jc w:val="both"/>
              <w:rPr>
                <w:sz w:val="24"/>
                <w:szCs w:val="24"/>
              </w:rPr>
            </w:pPr>
            <w:r w:rsidRPr="00D03186">
              <w:rPr>
                <w:sz w:val="24"/>
                <w:szCs w:val="24"/>
              </w:rPr>
              <w:t>Y la competitividad de productores nacionales.</w:t>
            </w:r>
          </w:p>
          <w:p w14:paraId="253F75F8" w14:textId="77777777" w:rsidR="00D03186" w:rsidRPr="00D03186" w:rsidRDefault="00D03186" w:rsidP="00D03186">
            <w:pPr>
              <w:spacing w:after="60"/>
              <w:jc w:val="both"/>
            </w:pPr>
          </w:p>
          <w:p w14:paraId="6A66EB9C" w14:textId="61450F33" w:rsidR="00D03186" w:rsidRPr="00D03186" w:rsidRDefault="00D03186" w:rsidP="00D03186">
            <w:pPr>
              <w:spacing w:after="60"/>
              <w:jc w:val="both"/>
            </w:pPr>
            <w:r w:rsidRPr="00D03186">
              <w:t>Particularmente en entidades agroexportadoras como Guanajuato, la continuidad logística constituye un elemento indispensable para mantener la operación de cadenas productivas vinculadas al sector agrícola, pecuario, agroindustrial y de comercio exterior.</w:t>
            </w:r>
          </w:p>
          <w:p w14:paraId="1D4E0649" w14:textId="77777777" w:rsidR="00D03186" w:rsidRPr="00D03186" w:rsidRDefault="00D03186" w:rsidP="00D03186">
            <w:pPr>
              <w:spacing w:after="60"/>
              <w:jc w:val="both"/>
            </w:pPr>
          </w:p>
          <w:p w14:paraId="0C38CEFA" w14:textId="6F699209" w:rsidR="00D03186" w:rsidRPr="00D03186" w:rsidRDefault="00D03186" w:rsidP="00D03186">
            <w:pPr>
              <w:spacing w:after="60"/>
              <w:jc w:val="both"/>
            </w:pPr>
            <w:r w:rsidRPr="00D03186">
              <w:t>No obstante, también resulta fundamental reconocer que las afectaciones derivadas de bloqueos carreteros impactan a terceros, a la actividad económica y al derecho al libre tránsito, por lo que cualquier mecanismo de protesta debe privilegiar en todo momento el diálogo institucional, la legalidad y la construcción de soluciones por la vía democrática.</w:t>
            </w:r>
          </w:p>
          <w:p w14:paraId="223527BA" w14:textId="77777777" w:rsidR="00D03186" w:rsidRPr="00D03186" w:rsidRDefault="00D03186" w:rsidP="00D03186">
            <w:pPr>
              <w:spacing w:after="60"/>
              <w:jc w:val="both"/>
            </w:pPr>
          </w:p>
          <w:p w14:paraId="36ACAC62" w14:textId="0D1C841C" w:rsidR="00D03186" w:rsidRPr="00D03186" w:rsidRDefault="00D03186" w:rsidP="00D03186">
            <w:pPr>
              <w:spacing w:after="60"/>
              <w:jc w:val="both"/>
              <w:rPr>
                <w:b/>
                <w:bCs/>
              </w:rPr>
            </w:pPr>
            <w:r w:rsidRPr="00D03186">
              <w:rPr>
                <w:b/>
                <w:bCs/>
              </w:rPr>
              <w:t>Postura Institucional del Consejo</w:t>
            </w:r>
          </w:p>
          <w:p w14:paraId="36A4BA46" w14:textId="688ADC3B" w:rsidR="00D03186" w:rsidRPr="00D03186" w:rsidRDefault="00D03186" w:rsidP="00D03186">
            <w:pPr>
              <w:spacing w:after="60"/>
              <w:jc w:val="both"/>
            </w:pPr>
            <w:r w:rsidRPr="00D03186">
              <w:t>El Consejo Estatal Agroalimentario de Guanajuato considera indispensable avanzar hacia una política agroalimentaria nacional de largo plazo que permita fortalecer</w:t>
            </w:r>
          </w:p>
          <w:p w14:paraId="760302E8" w14:textId="77777777" w:rsidR="00D03186" w:rsidRPr="00D03186" w:rsidRDefault="00D03186" w:rsidP="00D03186">
            <w:pPr>
              <w:spacing w:after="60"/>
              <w:jc w:val="both"/>
            </w:pPr>
          </w:p>
          <w:p w14:paraId="1FF7E198" w14:textId="77777777" w:rsidR="00D03186" w:rsidRPr="00D03186" w:rsidRDefault="00D03186" w:rsidP="00D03186">
            <w:pPr>
              <w:pStyle w:val="Prrafodelista"/>
              <w:numPr>
                <w:ilvl w:val="0"/>
                <w:numId w:val="48"/>
              </w:numPr>
              <w:spacing w:after="60"/>
              <w:jc w:val="both"/>
              <w:rPr>
                <w:sz w:val="24"/>
                <w:szCs w:val="24"/>
              </w:rPr>
            </w:pPr>
            <w:r w:rsidRPr="00D03186">
              <w:rPr>
                <w:sz w:val="24"/>
                <w:szCs w:val="24"/>
              </w:rPr>
              <w:t>La productividad del campo mexicano;</w:t>
            </w:r>
          </w:p>
          <w:p w14:paraId="039650B9" w14:textId="77777777" w:rsidR="00D03186" w:rsidRPr="00D03186" w:rsidRDefault="00D03186" w:rsidP="00D03186">
            <w:pPr>
              <w:pStyle w:val="Prrafodelista"/>
              <w:numPr>
                <w:ilvl w:val="0"/>
                <w:numId w:val="48"/>
              </w:numPr>
              <w:spacing w:after="60"/>
              <w:jc w:val="both"/>
              <w:rPr>
                <w:sz w:val="24"/>
                <w:szCs w:val="24"/>
              </w:rPr>
            </w:pPr>
            <w:r w:rsidRPr="00D03186">
              <w:rPr>
                <w:sz w:val="24"/>
                <w:szCs w:val="24"/>
              </w:rPr>
              <w:t>La seguridad alimentaria;</w:t>
            </w:r>
          </w:p>
          <w:p w14:paraId="38A38E24" w14:textId="77777777" w:rsidR="00D03186" w:rsidRPr="00D03186" w:rsidRDefault="00D03186" w:rsidP="00D03186">
            <w:pPr>
              <w:pStyle w:val="Prrafodelista"/>
              <w:numPr>
                <w:ilvl w:val="0"/>
                <w:numId w:val="48"/>
              </w:numPr>
              <w:spacing w:after="60"/>
              <w:jc w:val="both"/>
              <w:rPr>
                <w:sz w:val="24"/>
                <w:szCs w:val="24"/>
              </w:rPr>
            </w:pPr>
            <w:r w:rsidRPr="00D03186">
              <w:rPr>
                <w:sz w:val="24"/>
                <w:szCs w:val="24"/>
              </w:rPr>
              <w:t>La infraestructura hidráulica y logística;</w:t>
            </w:r>
          </w:p>
          <w:p w14:paraId="7590D91C" w14:textId="77777777" w:rsidR="00D03186" w:rsidRPr="00D03186" w:rsidRDefault="00D03186" w:rsidP="00D03186">
            <w:pPr>
              <w:pStyle w:val="Prrafodelista"/>
              <w:numPr>
                <w:ilvl w:val="0"/>
                <w:numId w:val="48"/>
              </w:numPr>
              <w:spacing w:after="60"/>
              <w:jc w:val="both"/>
              <w:rPr>
                <w:sz w:val="24"/>
                <w:szCs w:val="24"/>
              </w:rPr>
            </w:pPr>
            <w:r w:rsidRPr="00D03186">
              <w:rPr>
                <w:sz w:val="24"/>
                <w:szCs w:val="24"/>
              </w:rPr>
              <w:t>El financiamiento rural;</w:t>
            </w:r>
          </w:p>
          <w:p w14:paraId="50E605CD" w14:textId="77777777" w:rsidR="00D03186" w:rsidRPr="00D03186" w:rsidRDefault="00D03186" w:rsidP="00D03186">
            <w:pPr>
              <w:pStyle w:val="Prrafodelista"/>
              <w:numPr>
                <w:ilvl w:val="0"/>
                <w:numId w:val="48"/>
              </w:numPr>
              <w:spacing w:after="60"/>
              <w:jc w:val="both"/>
              <w:rPr>
                <w:sz w:val="24"/>
                <w:szCs w:val="24"/>
              </w:rPr>
            </w:pPr>
            <w:r w:rsidRPr="00D03186">
              <w:rPr>
                <w:sz w:val="24"/>
                <w:szCs w:val="24"/>
              </w:rPr>
              <w:t>La tecnificación agrícola;</w:t>
            </w:r>
          </w:p>
          <w:p w14:paraId="3D34EDE5" w14:textId="77777777" w:rsidR="00D03186" w:rsidRPr="00D03186" w:rsidRDefault="00D03186" w:rsidP="00D03186">
            <w:pPr>
              <w:pStyle w:val="Prrafodelista"/>
              <w:numPr>
                <w:ilvl w:val="0"/>
                <w:numId w:val="48"/>
              </w:numPr>
              <w:spacing w:after="60"/>
              <w:jc w:val="both"/>
              <w:rPr>
                <w:sz w:val="24"/>
                <w:szCs w:val="24"/>
              </w:rPr>
            </w:pPr>
            <w:r w:rsidRPr="00D03186">
              <w:rPr>
                <w:sz w:val="24"/>
                <w:szCs w:val="24"/>
              </w:rPr>
              <w:t>La seguridad carretera;</w:t>
            </w:r>
          </w:p>
          <w:p w14:paraId="72AFDE0C" w14:textId="1E18EC7B" w:rsidR="00D03186" w:rsidRPr="00D03186" w:rsidRDefault="00D03186" w:rsidP="00D03186">
            <w:pPr>
              <w:pStyle w:val="Prrafodelista"/>
              <w:numPr>
                <w:ilvl w:val="0"/>
                <w:numId w:val="48"/>
              </w:numPr>
              <w:spacing w:after="60"/>
              <w:jc w:val="both"/>
              <w:rPr>
                <w:sz w:val="24"/>
                <w:szCs w:val="24"/>
              </w:rPr>
            </w:pPr>
            <w:r w:rsidRPr="00D03186">
              <w:rPr>
                <w:sz w:val="24"/>
                <w:szCs w:val="24"/>
              </w:rPr>
              <w:t>Y la competitividad internacional del sector.</w:t>
            </w:r>
          </w:p>
          <w:p w14:paraId="6FB51D1A" w14:textId="77777777" w:rsidR="00D03186" w:rsidRPr="00D03186" w:rsidRDefault="00D03186" w:rsidP="00D03186">
            <w:pPr>
              <w:spacing w:after="60"/>
              <w:jc w:val="both"/>
            </w:pPr>
          </w:p>
          <w:p w14:paraId="173A2F4D" w14:textId="44F4A1AE" w:rsidR="00D03186" w:rsidRPr="00D03186" w:rsidRDefault="00D03186" w:rsidP="00D03186">
            <w:pPr>
              <w:spacing w:after="60"/>
              <w:jc w:val="both"/>
            </w:pPr>
            <w:r w:rsidRPr="00D03186">
              <w:t>Asimismo, se estima necesario consolidar esquemas permanentes de coordinación entre productores, autoridades y organismos empresariales, que permitan anticipar conflictos y construir soluciones sostenibles mediante mecanismos técnicos y de concertación institucional.</w:t>
            </w:r>
          </w:p>
          <w:p w14:paraId="6ED495FB" w14:textId="77777777" w:rsidR="00D03186" w:rsidRPr="00D03186" w:rsidRDefault="00D03186" w:rsidP="00D03186">
            <w:pPr>
              <w:spacing w:after="60"/>
              <w:jc w:val="both"/>
            </w:pPr>
          </w:p>
          <w:p w14:paraId="1DBD1B7F" w14:textId="1D3C7BFE" w:rsidR="00D03186" w:rsidRPr="00D03186" w:rsidRDefault="00D03186" w:rsidP="00D03186">
            <w:pPr>
              <w:spacing w:after="60"/>
              <w:jc w:val="both"/>
              <w:rPr>
                <w:b/>
                <w:bCs/>
              </w:rPr>
            </w:pPr>
            <w:r w:rsidRPr="00D03186">
              <w:rPr>
                <w:b/>
                <w:bCs/>
              </w:rPr>
              <w:t>Conclusión</w:t>
            </w:r>
          </w:p>
          <w:p w14:paraId="3311E5F7" w14:textId="704125D9" w:rsidR="00D03186" w:rsidRPr="00D03186" w:rsidRDefault="00D03186" w:rsidP="00D03186">
            <w:pPr>
              <w:spacing w:after="60"/>
              <w:jc w:val="both"/>
            </w:pPr>
            <w:r w:rsidRPr="00D03186">
              <w:t>Por lo anteriormente expuesto, el Consejo Estatal Agroalimentario de Guanajuato considera que el Punto de Acuerdo objeto de análisis contiene planteamientos pertinentes orientados a promover el diálogo institucional y la atención integral de problemáticas que afectan de manera relevante a los sectores agroalimentario y de transporte. En consecuencia, se estima positiva la intención de exhortar al Gobierno Federal para fortalecer la coordinación institucional y generar respuestas oportunas, técnicamente sustentadas y con seguimiento verificable, privilegiando en todo momento la estabilidad productiva, la competitividad económica y el bienestar social.</w:t>
            </w:r>
          </w:p>
          <w:p w14:paraId="22AD3570" w14:textId="77777777" w:rsidR="00D03186" w:rsidRPr="00654A54" w:rsidRDefault="00D03186" w:rsidP="00B43A5C">
            <w:pPr>
              <w:spacing w:line="276" w:lineRule="auto"/>
              <w:jc w:val="both"/>
              <w:rPr>
                <w:bCs/>
                <w:lang w:val="es-MX"/>
              </w:rPr>
            </w:pPr>
          </w:p>
        </w:tc>
        <w:tc>
          <w:tcPr>
            <w:tcW w:w="4252" w:type="dxa"/>
          </w:tcPr>
          <w:p w14:paraId="69E7C720" w14:textId="77777777" w:rsidR="00D03186" w:rsidRDefault="00D03186" w:rsidP="0028571D">
            <w:pPr>
              <w:spacing w:line="276" w:lineRule="auto"/>
              <w:jc w:val="both"/>
              <w:rPr>
                <w:iCs/>
                <w:lang w:val="es-ES_tradnl"/>
              </w:rPr>
            </w:pPr>
          </w:p>
        </w:tc>
      </w:tr>
      <w:tr w:rsidR="00725E96" w:rsidRPr="0069542C" w14:paraId="4092FDE5" w14:textId="77777777" w:rsidTr="00583CBD">
        <w:trPr>
          <w:trHeight w:val="893"/>
        </w:trPr>
        <w:tc>
          <w:tcPr>
            <w:tcW w:w="6068" w:type="dxa"/>
          </w:tcPr>
          <w:p w14:paraId="6BA40792" w14:textId="77777777" w:rsidR="00725E96" w:rsidRPr="0069542C" w:rsidRDefault="00725E96" w:rsidP="00680CDC">
            <w:pPr>
              <w:spacing w:line="276" w:lineRule="auto"/>
              <w:jc w:val="both"/>
              <w:rPr>
                <w:bCs/>
              </w:rPr>
            </w:pPr>
          </w:p>
        </w:tc>
        <w:tc>
          <w:tcPr>
            <w:tcW w:w="7938" w:type="dxa"/>
          </w:tcPr>
          <w:p w14:paraId="4AA582D3" w14:textId="09E0FA87" w:rsidR="00725E96" w:rsidRDefault="00725E96" w:rsidP="00D03186">
            <w:pPr>
              <w:spacing w:line="276" w:lineRule="auto"/>
              <w:jc w:val="both"/>
              <w:rPr>
                <w:b/>
                <w:lang w:val="es-MX"/>
              </w:rPr>
            </w:pPr>
            <w:r>
              <w:rPr>
                <w:b/>
                <w:lang w:val="es-MX"/>
              </w:rPr>
              <w:t>Secretaría de Gob</w:t>
            </w:r>
            <w:r w:rsidR="00BC5ABB">
              <w:rPr>
                <w:b/>
                <w:lang w:val="es-MX"/>
              </w:rPr>
              <w:t>ierno</w:t>
            </w:r>
            <w:r>
              <w:rPr>
                <w:b/>
                <w:lang w:val="es-MX"/>
              </w:rPr>
              <w:t xml:space="preserve"> del Gobierno </w:t>
            </w:r>
            <w:r w:rsidR="00BC5ABB">
              <w:rPr>
                <w:b/>
                <w:lang w:val="es-MX"/>
              </w:rPr>
              <w:t>Federal</w:t>
            </w:r>
            <w:r>
              <w:rPr>
                <w:b/>
                <w:lang w:val="es-MX"/>
              </w:rPr>
              <w:t>.</w:t>
            </w:r>
          </w:p>
          <w:p w14:paraId="5355FCB6" w14:textId="77777777" w:rsidR="00725E96" w:rsidRPr="00725E96" w:rsidRDefault="00725E96" w:rsidP="00725E96">
            <w:pPr>
              <w:spacing w:line="276" w:lineRule="auto"/>
              <w:jc w:val="both"/>
              <w:rPr>
                <w:bCs/>
                <w:lang w:val="es-MX"/>
              </w:rPr>
            </w:pPr>
            <w:r w:rsidRPr="00725E96">
              <w:rPr>
                <w:bCs/>
                <w:lang w:val="es-MX"/>
              </w:rPr>
              <w:t>Me refiero al oficio número 7485 de fecha 22 de abril del año en curso, suscrito por la Dip. Rocío Cervantes Barba y el Dip. Roberto Carlos Terán Ramos, Presidenta y Secretario respectivamente de la Comisión de Desarrollo Rural y Fomento Agropecuario de esa Sexagésima Sexta Legislatura, mediante el cual informa que en dicha comisión se acordaron acciones para estudio y dictamen del punto de acuerdo relativo a realizar un respetuoso exhorto a la Secretaría de Gobernación para que, en el ámbito de sus atribuciones, coordine y articule a las dependencias competentes de la Administración Pública Federal, a efecto de revisar y evaluar de manera integral las demandas planteadas por los sectores del campo y del transporte, garantizando la emisión de respuestas puntuales, debidamente fundadas y de urgente atención, en consideración a la relevancia social y económica de dichos sectores como actividades estratégicas para el desarrollo del país, así como dar puntual seguimiento a los acuerdos que se asuman.</w:t>
            </w:r>
          </w:p>
          <w:p w14:paraId="5E51C09E" w14:textId="77777777" w:rsidR="00725E96" w:rsidRDefault="00725E96" w:rsidP="00725E96">
            <w:pPr>
              <w:spacing w:line="276" w:lineRule="auto"/>
              <w:jc w:val="both"/>
              <w:rPr>
                <w:b/>
                <w:lang w:val="es-MX"/>
              </w:rPr>
            </w:pPr>
          </w:p>
          <w:p w14:paraId="195A7B4D" w14:textId="76B26C08" w:rsidR="00725E96" w:rsidRPr="00725E96" w:rsidRDefault="00725E96" w:rsidP="00725E96">
            <w:pPr>
              <w:spacing w:line="276" w:lineRule="auto"/>
              <w:jc w:val="both"/>
              <w:rPr>
                <w:bCs/>
                <w:lang w:val="es-MX"/>
              </w:rPr>
            </w:pPr>
            <w:r w:rsidRPr="00725E96">
              <w:rPr>
                <w:bCs/>
                <w:lang w:val="es-MX"/>
              </w:rPr>
              <w:t>Al respecto, comunico a usted que dentro de las atribuciones conferid as a la Unidad de Enlace en el artículo 28 del Reglamento Interior de la Secretaría de Gobernación se encuentra la de: "Apoyar a la persona titular de la Secretaría en la conducción de las relaciones entre el Poder Ejecutivo Federal y el Congreso de la Unión, con sus Cámaras y Órganos, con la Comisión Permanente, así como con las legislaturas de fas entidades federativas, con motivo del desahogo de procedimientos legislativos".</w:t>
            </w:r>
          </w:p>
          <w:p w14:paraId="0A5A3556" w14:textId="77777777" w:rsidR="00725E96" w:rsidRPr="00725E96" w:rsidRDefault="00725E96" w:rsidP="00725E96">
            <w:pPr>
              <w:spacing w:line="276" w:lineRule="auto"/>
              <w:jc w:val="both"/>
              <w:rPr>
                <w:bCs/>
                <w:lang w:val="es-MX"/>
              </w:rPr>
            </w:pPr>
          </w:p>
          <w:p w14:paraId="0EC35B63" w14:textId="64EDA5DB" w:rsidR="00725E96" w:rsidRDefault="00725E96" w:rsidP="00725E96">
            <w:pPr>
              <w:spacing w:line="276" w:lineRule="auto"/>
              <w:jc w:val="both"/>
              <w:rPr>
                <w:b/>
                <w:lang w:val="es-MX"/>
              </w:rPr>
            </w:pPr>
            <w:r w:rsidRPr="00725E96">
              <w:rPr>
                <w:bCs/>
                <w:lang w:val="es-MX"/>
              </w:rPr>
              <w:t xml:space="preserve">En ese sentido, respecto a las proposiciones con punto de acuerdo, le informo que esta Unidad de Enlace para estar en posibilidad de requerir información a las dependencias y entidades de la Administración Pública Federal para su atención, </w:t>
            </w:r>
            <w:r w:rsidRPr="00725E96">
              <w:rPr>
                <w:bCs/>
                <w:lang w:val="es-MX"/>
              </w:rPr>
              <w:lastRenderedPageBreak/>
              <w:t>es necesario que dichas proposiciones estén aprobadas como Puntos de Acuerdo por el Pleno de la Legislatura requirente.</w:t>
            </w:r>
          </w:p>
        </w:tc>
        <w:tc>
          <w:tcPr>
            <w:tcW w:w="4252" w:type="dxa"/>
          </w:tcPr>
          <w:p w14:paraId="77959571" w14:textId="77777777" w:rsidR="00725E96" w:rsidRDefault="00725E96" w:rsidP="0028571D">
            <w:pPr>
              <w:spacing w:line="276" w:lineRule="auto"/>
              <w:jc w:val="both"/>
              <w:rPr>
                <w:iCs/>
                <w:lang w:val="es-ES_tradnl"/>
              </w:rPr>
            </w:pPr>
          </w:p>
        </w:tc>
      </w:tr>
      <w:tr w:rsidR="00725E96" w:rsidRPr="0069542C" w14:paraId="4B6BEBBB" w14:textId="77777777" w:rsidTr="00583CBD">
        <w:trPr>
          <w:trHeight w:val="893"/>
        </w:trPr>
        <w:tc>
          <w:tcPr>
            <w:tcW w:w="6068" w:type="dxa"/>
          </w:tcPr>
          <w:p w14:paraId="779BB178" w14:textId="77777777" w:rsidR="00725E96" w:rsidRPr="0069542C" w:rsidRDefault="00725E96" w:rsidP="00680CDC">
            <w:pPr>
              <w:spacing w:line="276" w:lineRule="auto"/>
              <w:jc w:val="both"/>
              <w:rPr>
                <w:bCs/>
              </w:rPr>
            </w:pPr>
          </w:p>
        </w:tc>
        <w:tc>
          <w:tcPr>
            <w:tcW w:w="7938" w:type="dxa"/>
          </w:tcPr>
          <w:p w14:paraId="5FC87758" w14:textId="77777777" w:rsidR="00725E96" w:rsidRDefault="00725E96" w:rsidP="00D03186">
            <w:pPr>
              <w:spacing w:line="276" w:lineRule="auto"/>
              <w:jc w:val="both"/>
              <w:rPr>
                <w:b/>
                <w:lang w:val="es-MX"/>
              </w:rPr>
            </w:pPr>
            <w:r>
              <w:rPr>
                <w:b/>
                <w:lang w:val="es-MX"/>
              </w:rPr>
              <w:t>Secretaría del Campo del Gobierno del Estado de Guanajuato.</w:t>
            </w:r>
          </w:p>
          <w:p w14:paraId="1E62034B" w14:textId="77777777" w:rsidR="00725E96" w:rsidRPr="00725E96" w:rsidRDefault="00725E96" w:rsidP="00725E96">
            <w:pPr>
              <w:spacing w:line="276" w:lineRule="auto"/>
              <w:jc w:val="both"/>
              <w:rPr>
                <w:bCs/>
                <w:lang w:val="es-MX"/>
              </w:rPr>
            </w:pPr>
            <w:r w:rsidRPr="00725E96">
              <w:rPr>
                <w:bCs/>
                <w:lang w:val="es-MX"/>
              </w:rPr>
              <w:t>Sin lugar a duda, los bloqueos en carreteras Federales y Estatales en diversos puntos del territorio Nacional, incluido Guanajuato, realizadas por agricultores y transportistas en meses anteriores, evidencio la insuficiente política pública para la debida atención de estos sectores de enorme importancia para la vida social y económica de nuestro país.</w:t>
            </w:r>
          </w:p>
          <w:p w14:paraId="797CFE23" w14:textId="77777777" w:rsidR="00725E96" w:rsidRPr="00725E96" w:rsidRDefault="00725E96" w:rsidP="00725E96">
            <w:pPr>
              <w:spacing w:line="276" w:lineRule="auto"/>
              <w:jc w:val="both"/>
              <w:rPr>
                <w:bCs/>
                <w:lang w:val="es-MX"/>
              </w:rPr>
            </w:pPr>
          </w:p>
          <w:p w14:paraId="04F369DE" w14:textId="77777777" w:rsidR="00725E96" w:rsidRPr="00725E96" w:rsidRDefault="00725E96" w:rsidP="00725E96">
            <w:pPr>
              <w:spacing w:line="276" w:lineRule="auto"/>
              <w:jc w:val="both"/>
              <w:rPr>
                <w:bCs/>
                <w:lang w:val="es-MX"/>
              </w:rPr>
            </w:pPr>
            <w:r w:rsidRPr="00725E96">
              <w:rPr>
                <w:bCs/>
                <w:lang w:val="es-MX"/>
              </w:rPr>
              <w:t>Tan importantes son estos sectores en nuestro país, que los bloqueos provocaron una ruptura en la cadena logística en el abasto de alimentos y proveeduría industrial en los mercados y centros de recepción; Sin omitir la perdida de mercancía perecedera, arrojando pérdidas millonarias en tan solo dos o tres días de cada bloqueo carretero que se llevó a cabo.</w:t>
            </w:r>
          </w:p>
          <w:p w14:paraId="092B775E" w14:textId="77777777" w:rsidR="00725E96" w:rsidRPr="00725E96" w:rsidRDefault="00725E96" w:rsidP="00725E96">
            <w:pPr>
              <w:spacing w:line="276" w:lineRule="auto"/>
              <w:jc w:val="both"/>
              <w:rPr>
                <w:bCs/>
                <w:lang w:val="es-MX"/>
              </w:rPr>
            </w:pPr>
          </w:p>
          <w:p w14:paraId="40AA9CF7" w14:textId="77777777" w:rsidR="00725E96" w:rsidRPr="00725E96" w:rsidRDefault="00725E96" w:rsidP="00725E96">
            <w:pPr>
              <w:spacing w:line="276" w:lineRule="auto"/>
              <w:jc w:val="both"/>
              <w:rPr>
                <w:bCs/>
                <w:lang w:val="es-MX"/>
              </w:rPr>
            </w:pPr>
            <w:r w:rsidRPr="00725E96">
              <w:rPr>
                <w:bCs/>
                <w:lang w:val="es-MX"/>
              </w:rPr>
              <w:t>Si bien es cierto que, la autoridad Federal (SEGOB y SADER), ha instalado diversas mesas de diálogo con Agricultores y Transportistas, en donde inclusive ha extendido la invitación a los Gobiernos Estatales, éstas no han sido suficientes para resolver las legítimas demandas de estos sectores.</w:t>
            </w:r>
          </w:p>
          <w:p w14:paraId="7F6877A7" w14:textId="77777777" w:rsidR="00725E96" w:rsidRPr="00725E96" w:rsidRDefault="00725E96" w:rsidP="00725E96">
            <w:pPr>
              <w:spacing w:line="276" w:lineRule="auto"/>
              <w:jc w:val="both"/>
              <w:rPr>
                <w:bCs/>
                <w:lang w:val="es-MX"/>
              </w:rPr>
            </w:pPr>
          </w:p>
          <w:p w14:paraId="198049E8" w14:textId="77777777" w:rsidR="00725E96" w:rsidRDefault="00725E96" w:rsidP="00725E96">
            <w:pPr>
              <w:spacing w:line="276" w:lineRule="auto"/>
              <w:jc w:val="both"/>
              <w:rPr>
                <w:b/>
                <w:lang w:val="es-MX"/>
              </w:rPr>
            </w:pPr>
            <w:r w:rsidRPr="00725E96">
              <w:rPr>
                <w:bCs/>
                <w:lang w:val="es-MX"/>
              </w:rPr>
              <w:t>Nuestra Gobernadora, así como los Gobernadores de Jalisco y Michoacán, preocupados y en solidaridad con los agricultores, acordaron aportar recursos en concurrencia con la Federación para realizar un pago mayor del Maíz Blanco por tonelada.</w:t>
            </w:r>
          </w:p>
          <w:p w14:paraId="38B95246" w14:textId="77777777" w:rsidR="00725E96" w:rsidRDefault="00725E96" w:rsidP="00725E96">
            <w:pPr>
              <w:spacing w:line="276" w:lineRule="auto"/>
              <w:jc w:val="both"/>
              <w:rPr>
                <w:b/>
                <w:lang w:val="es-MX"/>
              </w:rPr>
            </w:pPr>
          </w:p>
          <w:p w14:paraId="2CBAA980" w14:textId="3316E92B" w:rsidR="00725E96" w:rsidRPr="00BC5ABB" w:rsidRDefault="00725E96" w:rsidP="00725E96">
            <w:pPr>
              <w:spacing w:line="276" w:lineRule="auto"/>
              <w:jc w:val="both"/>
              <w:rPr>
                <w:bCs/>
                <w:lang w:val="es-MX"/>
              </w:rPr>
            </w:pPr>
            <w:r w:rsidRPr="00BC5ABB">
              <w:rPr>
                <w:bCs/>
                <w:lang w:val="es-MX"/>
              </w:rPr>
              <w:lastRenderedPageBreak/>
              <w:t>Lo anterior, solo es una de las más de quince demandas de los manifestantes que al día de hoy, no han ten ido respuesta o soluciones favorables y concretas; nos congratulamos que los escuchen y exista el diálogo, pero estos sectores necesitan respuestas a sus demandas respecto al precio del diésel; seguridad en carreteras con presencia permanente de la Guardia Nacional; el combate a los robos, extorsiones y violencia en el transporte de carga; apoyo a familias de operadores víctimas de la inseguridad; precios de garantía o precios justos para granos básicos (principalmente maíz blanco,</w:t>
            </w:r>
            <w:r w:rsidR="00BC5ABB">
              <w:rPr>
                <w:bCs/>
                <w:lang w:val="es-MX"/>
              </w:rPr>
              <w:t xml:space="preserve"> </w:t>
            </w:r>
            <w:r w:rsidRPr="00BC5ABB">
              <w:rPr>
                <w:bCs/>
                <w:lang w:val="es-MX"/>
              </w:rPr>
              <w:t>trigo y cebada); la detención de importaciones desleales de alimentos; retirar los granos básicos del T-MEC; el pago de apoyos pendientes desde el 2023 a los productores de trigo; condiciones dignas para producción y transporte; entre otros.</w:t>
            </w:r>
          </w:p>
          <w:p w14:paraId="372A235A" w14:textId="77777777" w:rsidR="00725E96" w:rsidRPr="00BC5ABB" w:rsidRDefault="00725E96" w:rsidP="00725E96">
            <w:pPr>
              <w:spacing w:line="276" w:lineRule="auto"/>
              <w:jc w:val="both"/>
              <w:rPr>
                <w:bCs/>
                <w:lang w:val="es-MX"/>
              </w:rPr>
            </w:pPr>
          </w:p>
          <w:p w14:paraId="2AF437F1" w14:textId="49143D22" w:rsidR="00725E96" w:rsidRDefault="00725E96" w:rsidP="00725E96">
            <w:pPr>
              <w:spacing w:line="276" w:lineRule="auto"/>
              <w:jc w:val="both"/>
              <w:rPr>
                <w:b/>
                <w:lang w:val="es-MX"/>
              </w:rPr>
            </w:pPr>
            <w:r w:rsidRPr="00BC5ABB">
              <w:rPr>
                <w:bCs/>
                <w:lang w:val="es-MX"/>
              </w:rPr>
              <w:t xml:space="preserve">En la Secretaría del Campo, estamos ciertos de que no se han atendido las demandas legítimas que orillaron a los Agricultores y Transportistas a manifestarse mediante los bloqueos carreteros, razón por la cual, consideramos </w:t>
            </w:r>
            <w:proofErr w:type="gramStart"/>
            <w:r w:rsidRPr="00BC5ABB">
              <w:rPr>
                <w:bCs/>
                <w:lang w:val="es-MX"/>
              </w:rPr>
              <w:t>que</w:t>
            </w:r>
            <w:proofErr w:type="gramEnd"/>
            <w:r w:rsidRPr="00BC5ABB">
              <w:rPr>
                <w:bCs/>
                <w:lang w:val="es-MX"/>
              </w:rPr>
              <w:t xml:space="preserve"> </w:t>
            </w:r>
            <w:proofErr w:type="gramStart"/>
            <w:r w:rsidRPr="00BC5ABB">
              <w:rPr>
                <w:bCs/>
                <w:lang w:val="es-MX"/>
              </w:rPr>
              <w:t>al día de hoy</w:t>
            </w:r>
            <w:proofErr w:type="gramEnd"/>
            <w:r w:rsidRPr="00BC5ABB">
              <w:rPr>
                <w:bCs/>
                <w:lang w:val="es-MX"/>
              </w:rPr>
              <w:t>, ésta LXVI Legislatura del Congreso del Estado de Guanajuato, no debe descartar emitir un acuerdo de manera favorable para enviar un respetuoso exhorto a la Secretaría de Gobernación del Gobierno Federal.</w:t>
            </w:r>
          </w:p>
        </w:tc>
        <w:tc>
          <w:tcPr>
            <w:tcW w:w="4252" w:type="dxa"/>
          </w:tcPr>
          <w:p w14:paraId="7612D46A" w14:textId="77777777" w:rsidR="00725E96" w:rsidRDefault="00725E96" w:rsidP="0028571D">
            <w:pPr>
              <w:spacing w:line="276" w:lineRule="auto"/>
              <w:jc w:val="both"/>
              <w:rPr>
                <w:iCs/>
                <w:lang w:val="es-ES_tradnl"/>
              </w:rPr>
            </w:pPr>
          </w:p>
        </w:tc>
      </w:tr>
    </w:tbl>
    <w:p w14:paraId="316AA1CB" w14:textId="77777777" w:rsidR="0076164F" w:rsidRPr="000F201D" w:rsidRDefault="0076164F">
      <w:pPr>
        <w:rPr>
          <w:rFonts w:ascii="Arial" w:hAnsi="Arial" w:cs="Arial"/>
          <w:sz w:val="20"/>
          <w:szCs w:val="20"/>
        </w:rPr>
      </w:pPr>
    </w:p>
    <w:sectPr w:rsidR="0076164F" w:rsidRPr="000F201D" w:rsidSect="007B1A02">
      <w:headerReference w:type="even" r:id="rId8"/>
      <w:headerReference w:type="default" r:id="rId9"/>
      <w:footerReference w:type="even" r:id="rId10"/>
      <w:footerReference w:type="default" r:id="rId11"/>
      <w:headerReference w:type="first" r:id="rId12"/>
      <w:pgSz w:w="20160" w:h="12240" w:orient="landscape" w:code="5"/>
      <w:pgMar w:top="1701" w:right="1310" w:bottom="1701" w:left="1758" w:header="720" w:footer="720" w:gutter="0"/>
      <w:paperSrc w:first="259" w:other="259"/>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5E4D31" w14:textId="77777777" w:rsidR="006713B1" w:rsidRDefault="006713B1" w:rsidP="008E1BA5">
      <w:r>
        <w:separator/>
      </w:r>
    </w:p>
  </w:endnote>
  <w:endnote w:type="continuationSeparator" w:id="0">
    <w:p w14:paraId="57573640" w14:textId="77777777" w:rsidR="006713B1" w:rsidRDefault="006713B1" w:rsidP="008E1B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DejaVu Sans">
    <w:charset w:val="00"/>
    <w:family w:val="swiss"/>
    <w:pitch w:val="variable"/>
    <w:sig w:usb0="E7002EFF" w:usb1="D200FDFF" w:usb2="0A246029" w:usb3="00000000" w:csb0="000001FF" w:csb1="00000000"/>
  </w:font>
  <w:font w:name="font291">
    <w:altName w:val="MS Gothic"/>
    <w:charset w:val="80"/>
    <w:family w:val="auto"/>
    <w:pitch w:val="variable"/>
  </w:font>
  <w:font w:name="Avant Garde">
    <w:altName w:val="Century Gothic"/>
    <w:panose1 w:val="00000000000000000000"/>
    <w:charset w:val="00"/>
    <w:family w:val="roman"/>
    <w:notTrueType/>
    <w:pitch w:val="default"/>
    <w:sig w:usb0="00000003" w:usb1="00000000" w:usb2="00000000" w:usb3="00000000" w:csb0="00000001" w:csb1="00000000"/>
  </w:font>
  <w:font w:name="Copperplate Gothic Bold">
    <w:panose1 w:val="020E0705020206020404"/>
    <w:charset w:val="00"/>
    <w:family w:val="swiss"/>
    <w:pitch w:val="variable"/>
    <w:sig w:usb0="00000003" w:usb1="00000000" w:usb2="00000000" w:usb3="00000000" w:csb0="00000001" w:csb1="00000000"/>
  </w:font>
  <w:font w:name="Biondi">
    <w:altName w:val="Calibri"/>
    <w:charset w:val="00"/>
    <w:family w:val="auto"/>
    <w:pitch w:val="default"/>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F7652" w14:textId="77777777" w:rsidR="00ED4AE6" w:rsidRDefault="00ED4AE6">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2</w:t>
    </w:r>
    <w:r>
      <w:rPr>
        <w:rStyle w:val="Nmerodepgina"/>
      </w:rPr>
      <w:fldChar w:fldCharType="end"/>
    </w:r>
  </w:p>
  <w:p w14:paraId="10BB1137" w14:textId="77777777" w:rsidR="00ED4AE6" w:rsidRDefault="00ED4AE6">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49A69" w14:textId="77777777" w:rsidR="00ED4AE6" w:rsidRDefault="00ED4AE6">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8C868F" w14:textId="77777777" w:rsidR="006713B1" w:rsidRDefault="006713B1" w:rsidP="008E1BA5">
      <w:r>
        <w:separator/>
      </w:r>
    </w:p>
  </w:footnote>
  <w:footnote w:type="continuationSeparator" w:id="0">
    <w:p w14:paraId="1ACB1F4D" w14:textId="77777777" w:rsidR="006713B1" w:rsidRDefault="006713B1" w:rsidP="008E1B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D3AC6" w14:textId="77777777" w:rsidR="00ED4AE6" w:rsidRDefault="00ED4AE6">
    <w:pPr>
      <w:pStyle w:val="Encabezad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2</w:t>
    </w:r>
    <w:r>
      <w:rPr>
        <w:rStyle w:val="Nmerodepgina"/>
      </w:rPr>
      <w:fldChar w:fldCharType="end"/>
    </w:r>
  </w:p>
  <w:p w14:paraId="55A47B85" w14:textId="77777777" w:rsidR="00ED4AE6" w:rsidRDefault="00ED4AE6">
    <w:pPr>
      <w:pStyle w:val="Encabezado"/>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536C5" w14:textId="77777777" w:rsidR="00ED4AE6" w:rsidRDefault="00ED4AE6" w:rsidP="002A4133">
    <w:pPr>
      <w:pStyle w:val="Encabezado"/>
      <w:framePr w:wrap="around" w:vAnchor="text" w:hAnchor="margin" w:xAlign="right" w:y="-325"/>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5</w:t>
    </w:r>
    <w:r>
      <w:rPr>
        <w:rStyle w:val="Nmerodepgina"/>
      </w:rPr>
      <w:fldChar w:fldCharType="end"/>
    </w:r>
  </w:p>
  <w:p w14:paraId="10F2FE02" w14:textId="77777777" w:rsidR="00ED4AE6" w:rsidRDefault="00ED4AE6">
    <w:pPr>
      <w:ind w:right="360"/>
      <w:jc w:val="right"/>
      <w:rPr>
        <w:rFonts w:ascii="Avant Garde" w:hAnsi="Avant Garde" w:cs="Arial"/>
        <w:i/>
        <w:iCs/>
        <w:sz w:val="18"/>
      </w:rPr>
    </w:pPr>
  </w:p>
  <w:tbl>
    <w:tblPr>
      <w:tblW w:w="18286" w:type="dxa"/>
      <w:tblInd w:w="-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096"/>
      <w:gridCol w:w="7938"/>
      <w:gridCol w:w="4252"/>
    </w:tblGrid>
    <w:tr w:rsidR="00E402DC" w:rsidRPr="00F7466B" w14:paraId="10B0C38F" w14:textId="77777777" w:rsidTr="00E402DC">
      <w:trPr>
        <w:trHeight w:val="678"/>
      </w:trPr>
      <w:tc>
        <w:tcPr>
          <w:tcW w:w="6096" w:type="dxa"/>
          <w:tcBorders>
            <w:top w:val="thinThickSmallGap" w:sz="24" w:space="0" w:color="auto"/>
            <w:left w:val="thinThickSmallGap" w:sz="24" w:space="0" w:color="auto"/>
            <w:bottom w:val="thinThickSmallGap" w:sz="24" w:space="0" w:color="auto"/>
            <w:right w:val="thickThinSmallGap" w:sz="24" w:space="0" w:color="auto"/>
          </w:tcBorders>
          <w:shd w:val="clear" w:color="auto" w:fill="E6E6E6"/>
          <w:vAlign w:val="center"/>
        </w:tcPr>
        <w:p w14:paraId="55074F6B" w14:textId="77777777" w:rsidR="00E402DC" w:rsidRPr="00840D67" w:rsidRDefault="00E402DC" w:rsidP="00E402DC">
          <w:pPr>
            <w:jc w:val="center"/>
            <w:rPr>
              <w:rFonts w:ascii="Copperplate Gothic Bold" w:hAnsi="Copperplate Gothic Bold"/>
              <w:b/>
              <w:sz w:val="22"/>
              <w:szCs w:val="22"/>
              <w:lang w:val="es-MX" w:eastAsia="en-US"/>
            </w:rPr>
          </w:pPr>
          <w:r>
            <w:rPr>
              <w:rFonts w:ascii="Copperplate Gothic Bold" w:hAnsi="Copperplate Gothic Bold"/>
              <w:b/>
            </w:rPr>
            <w:t xml:space="preserve">Acuerdos </w:t>
          </w:r>
        </w:p>
      </w:tc>
      <w:tc>
        <w:tcPr>
          <w:tcW w:w="7938" w:type="dxa"/>
          <w:tcBorders>
            <w:top w:val="thinThickSmallGap" w:sz="24" w:space="0" w:color="auto"/>
            <w:left w:val="thinThickSmallGap" w:sz="24" w:space="0" w:color="auto"/>
            <w:bottom w:val="thinThickSmallGap" w:sz="24" w:space="0" w:color="auto"/>
            <w:right w:val="thickThinSmallGap" w:sz="24" w:space="0" w:color="auto"/>
          </w:tcBorders>
          <w:shd w:val="clear" w:color="auto" w:fill="E6E6E6"/>
          <w:vAlign w:val="center"/>
        </w:tcPr>
        <w:p w14:paraId="147E9AA9" w14:textId="77777777" w:rsidR="00E402DC" w:rsidRPr="00840D67" w:rsidRDefault="00E402DC" w:rsidP="00E402DC">
          <w:pPr>
            <w:jc w:val="center"/>
            <w:rPr>
              <w:rFonts w:ascii="Copperplate Gothic Bold" w:hAnsi="Copperplate Gothic Bold"/>
              <w:b/>
            </w:rPr>
          </w:pPr>
          <w:r w:rsidRPr="00840D67">
            <w:rPr>
              <w:rFonts w:ascii="Copperplate Gothic Bold" w:hAnsi="Copperplate Gothic Bold"/>
              <w:b/>
            </w:rPr>
            <w:t xml:space="preserve">Opiniones de </w:t>
          </w:r>
          <w:r>
            <w:rPr>
              <w:rFonts w:ascii="Copperplate Gothic Bold" w:hAnsi="Copperplate Gothic Bold"/>
              <w:b/>
            </w:rPr>
            <w:t xml:space="preserve">particulares y </w:t>
          </w:r>
          <w:r w:rsidRPr="00840D67">
            <w:rPr>
              <w:rFonts w:ascii="Copperplate Gothic Bold" w:hAnsi="Copperplate Gothic Bold"/>
              <w:b/>
            </w:rPr>
            <w:t>las entidades consultadas</w:t>
          </w:r>
        </w:p>
      </w:tc>
      <w:tc>
        <w:tcPr>
          <w:tcW w:w="4252" w:type="dxa"/>
          <w:tcBorders>
            <w:top w:val="thinThickSmallGap" w:sz="24" w:space="0" w:color="auto"/>
            <w:left w:val="thinThickSmallGap" w:sz="24" w:space="0" w:color="auto"/>
            <w:bottom w:val="thinThickSmallGap" w:sz="24" w:space="0" w:color="auto"/>
            <w:right w:val="thickThinSmallGap" w:sz="24" w:space="0" w:color="auto"/>
          </w:tcBorders>
          <w:shd w:val="clear" w:color="auto" w:fill="E6E6E6"/>
          <w:vAlign w:val="center"/>
        </w:tcPr>
        <w:p w14:paraId="57FFF041" w14:textId="77777777" w:rsidR="00E402DC" w:rsidRPr="00840D67" w:rsidRDefault="00E402DC" w:rsidP="00E402DC">
          <w:pPr>
            <w:jc w:val="center"/>
            <w:rPr>
              <w:rFonts w:ascii="Copperplate Gothic Bold" w:hAnsi="Copperplate Gothic Bold"/>
              <w:b/>
            </w:rPr>
          </w:pPr>
          <w:r w:rsidRPr="00840D67">
            <w:rPr>
              <w:rFonts w:ascii="Copperplate Gothic Bold" w:hAnsi="Copperplate Gothic Bold"/>
              <w:b/>
            </w:rPr>
            <w:t>Observaciones de la mesa de trabajo</w:t>
          </w:r>
        </w:p>
      </w:tc>
    </w:tr>
  </w:tbl>
  <w:p w14:paraId="684B0589" w14:textId="77777777" w:rsidR="00ED4AE6" w:rsidRPr="002A4133" w:rsidRDefault="00ED4AE6">
    <w:pPr>
      <w:pStyle w:val="Encabezado"/>
      <w:ind w:right="360"/>
      <w:rPr>
        <w:sz w:val="12"/>
        <w:lang w:val="es-MX"/>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4976EA" w14:textId="2CDCDC22" w:rsidR="00ED4AE6" w:rsidRDefault="00454B92" w:rsidP="00E411A3">
    <w:pPr>
      <w:pStyle w:val="Encabezado"/>
    </w:pPr>
    <w:r>
      <w:rPr>
        <w:noProof/>
      </w:rPr>
      <mc:AlternateContent>
        <mc:Choice Requires="wps">
          <w:drawing>
            <wp:anchor distT="0" distB="0" distL="114300" distR="114300" simplePos="0" relativeHeight="251657216" behindDoc="0" locked="0" layoutInCell="1" allowOverlap="1" wp14:anchorId="73488C94" wp14:editId="2321212D">
              <wp:simplePos x="0" y="0"/>
              <wp:positionH relativeFrom="page">
                <wp:posOffset>2398542</wp:posOffset>
              </wp:positionH>
              <wp:positionV relativeFrom="paragraph">
                <wp:posOffset>-379828</wp:posOffset>
              </wp:positionV>
              <wp:extent cx="10107636" cy="661181"/>
              <wp:effectExtent l="0" t="0" r="65405" b="43815"/>
              <wp:wrapNone/>
              <wp:docPr id="21" name="Cuadro de texto 2" descr="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07636" cy="661181"/>
                      </a:xfrm>
                      <a:prstGeom prst="rect">
                        <a:avLst/>
                      </a:prstGeom>
                      <a:solidFill>
                        <a:schemeClr val="bg1"/>
                      </a:solidFill>
                      <a:ln w="12700">
                        <a:solidFill>
                          <a:srgbClr val="B6DDE8"/>
                        </a:solidFill>
                        <a:prstDash val="dash"/>
                        <a:miter lim="800000"/>
                        <a:headEnd/>
                        <a:tailEnd/>
                      </a:ln>
                      <a:effectLst>
                        <a:outerShdw dist="28398" dir="1593903" algn="ctr" rotWithShape="0">
                          <a:srgbClr val="868686"/>
                        </a:outerShdw>
                      </a:effectLst>
                    </wps:spPr>
                    <wps:txbx>
                      <w:txbxContent>
                        <w:p w14:paraId="5C12EA37" w14:textId="77777777" w:rsidR="00ED4AE6" w:rsidRPr="007F0CD2" w:rsidRDefault="00ED4AE6" w:rsidP="00E411A3">
                          <w:pPr>
                            <w:pStyle w:val="Ttulo2"/>
                            <w:rPr>
                              <w:rFonts w:ascii="Biondi" w:hAnsi="Biondi"/>
                              <w:bCs w:val="0"/>
                              <w:sz w:val="22"/>
                              <w:szCs w:val="22"/>
                            </w:rPr>
                          </w:pPr>
                          <w:r w:rsidRPr="007F0CD2">
                            <w:rPr>
                              <w:rFonts w:ascii="Biondi" w:hAnsi="Biondi"/>
                              <w:bCs w:val="0"/>
                              <w:sz w:val="22"/>
                              <w:szCs w:val="22"/>
                            </w:rPr>
                            <w:t xml:space="preserve">COMPARATIVO </w:t>
                          </w:r>
                        </w:p>
                        <w:p w14:paraId="5CB0365E" w14:textId="3478E900" w:rsidR="00CB466B" w:rsidRPr="007F0CD2" w:rsidRDefault="007E5B75" w:rsidP="00CB466B">
                          <w:pPr>
                            <w:pStyle w:val="Ttulo2"/>
                            <w:rPr>
                              <w:rFonts w:ascii="Biondi" w:hAnsi="Biondi"/>
                              <w:bCs w:val="0"/>
                              <w:sz w:val="22"/>
                              <w:szCs w:val="22"/>
                            </w:rPr>
                          </w:pPr>
                          <w:r w:rsidRPr="007F0CD2">
                            <w:rPr>
                              <w:rFonts w:ascii="Biondi" w:hAnsi="Biondi"/>
                              <w:bCs w:val="0"/>
                              <w:sz w:val="22"/>
                              <w:szCs w:val="22"/>
                            </w:rPr>
                            <w:t xml:space="preserve">Análisis de </w:t>
                          </w:r>
                          <w:r w:rsidR="00692473" w:rsidRPr="007F0CD2">
                            <w:rPr>
                              <w:rFonts w:ascii="Biondi" w:hAnsi="Biondi"/>
                              <w:bCs w:val="0"/>
                              <w:sz w:val="22"/>
                              <w:szCs w:val="22"/>
                            </w:rPr>
                            <w:t xml:space="preserve">la propuesta </w:t>
                          </w:r>
                          <w:r w:rsidR="00BE65FD" w:rsidRPr="007F0CD2">
                            <w:rPr>
                              <w:rFonts w:ascii="Biondi" w:hAnsi="Biondi"/>
                              <w:bCs w:val="0"/>
                              <w:sz w:val="22"/>
                              <w:szCs w:val="22"/>
                            </w:rPr>
                            <w:t xml:space="preserve">de punto de acuerdo </w:t>
                          </w:r>
                          <w:r w:rsidRPr="007F0CD2">
                            <w:rPr>
                              <w:rFonts w:ascii="Biondi" w:hAnsi="Biondi"/>
                              <w:bCs w:val="0"/>
                              <w:sz w:val="22"/>
                              <w:szCs w:val="22"/>
                            </w:rPr>
                            <w:t>formulad</w:t>
                          </w:r>
                          <w:r w:rsidR="00692473" w:rsidRPr="007F0CD2">
                            <w:rPr>
                              <w:rFonts w:ascii="Biondi" w:hAnsi="Biondi"/>
                              <w:bCs w:val="0"/>
                              <w:sz w:val="22"/>
                              <w:szCs w:val="22"/>
                            </w:rPr>
                            <w:t>o</w:t>
                          </w:r>
                          <w:r w:rsidRPr="007F0CD2">
                            <w:rPr>
                              <w:rFonts w:ascii="Biondi" w:hAnsi="Biondi"/>
                              <w:bCs w:val="0"/>
                              <w:sz w:val="22"/>
                              <w:szCs w:val="22"/>
                            </w:rPr>
                            <w:t xml:space="preserve"> por</w:t>
                          </w:r>
                          <w:r w:rsidR="008F70FE">
                            <w:rPr>
                              <w:rFonts w:ascii="Biondi" w:hAnsi="Biondi"/>
                              <w:bCs w:val="0"/>
                              <w:sz w:val="22"/>
                              <w:szCs w:val="22"/>
                            </w:rPr>
                            <w:t xml:space="preserve"> personas</w:t>
                          </w:r>
                          <w:r w:rsidR="00652173">
                            <w:rPr>
                              <w:rFonts w:ascii="Biondi" w:hAnsi="Biondi"/>
                              <w:bCs w:val="0"/>
                              <w:sz w:val="22"/>
                              <w:szCs w:val="22"/>
                            </w:rPr>
                            <w:t xml:space="preserve"> integrante</w:t>
                          </w:r>
                          <w:r w:rsidR="008F70FE">
                            <w:rPr>
                              <w:rFonts w:ascii="Biondi" w:hAnsi="Biondi"/>
                              <w:bCs w:val="0"/>
                              <w:sz w:val="22"/>
                              <w:szCs w:val="22"/>
                            </w:rPr>
                            <w:t>s</w:t>
                          </w:r>
                          <w:r w:rsidR="00652173">
                            <w:rPr>
                              <w:rFonts w:ascii="Biondi" w:hAnsi="Biondi"/>
                              <w:bCs w:val="0"/>
                              <w:sz w:val="22"/>
                              <w:szCs w:val="22"/>
                            </w:rPr>
                            <w:t xml:space="preserve"> del</w:t>
                          </w:r>
                          <w:r w:rsidRPr="007F0CD2">
                            <w:rPr>
                              <w:rFonts w:ascii="Biondi" w:hAnsi="Biondi"/>
                              <w:bCs w:val="0"/>
                              <w:sz w:val="22"/>
                              <w:szCs w:val="22"/>
                            </w:rPr>
                            <w:t xml:space="preserve"> Grupo Parlamentario del Par</w:t>
                          </w:r>
                          <w:r w:rsidR="00A1157E">
                            <w:rPr>
                              <w:rFonts w:ascii="Biondi" w:hAnsi="Biondi"/>
                              <w:bCs w:val="0"/>
                              <w:sz w:val="22"/>
                              <w:szCs w:val="22"/>
                            </w:rPr>
                            <w:t>tido</w:t>
                          </w:r>
                          <w:r w:rsidR="008F70FE">
                            <w:rPr>
                              <w:rFonts w:ascii="Biondi" w:hAnsi="Biondi"/>
                              <w:bCs w:val="0"/>
                              <w:sz w:val="22"/>
                              <w:szCs w:val="22"/>
                            </w:rPr>
                            <w:t xml:space="preserve"> Acción Nacional y de la Representación Parlamentaria del Partido de la Revolución Democrática en</w:t>
                          </w:r>
                          <w:r w:rsidRPr="007F0CD2">
                            <w:rPr>
                              <w:rFonts w:ascii="Biondi" w:hAnsi="Biondi"/>
                              <w:bCs w:val="0"/>
                              <w:sz w:val="22"/>
                              <w:szCs w:val="22"/>
                            </w:rPr>
                            <w:t xml:space="preserve"> materia d</w:t>
                          </w:r>
                          <w:r w:rsidR="00EF0E82">
                            <w:rPr>
                              <w:rFonts w:ascii="Biondi" w:hAnsi="Biondi"/>
                              <w:bCs w:val="0"/>
                              <w:sz w:val="22"/>
                              <w:szCs w:val="22"/>
                            </w:rPr>
                            <w:t>e bloqueos carreteros y demandas de los productores del campo</w:t>
                          </w:r>
                          <w:r w:rsidR="00454B92">
                            <w:rPr>
                              <w:rFonts w:ascii="Biondi" w:hAnsi="Biondi"/>
                              <w:bCs w:val="0"/>
                              <w:sz w:val="22"/>
                              <w:szCs w:val="22"/>
                            </w:rPr>
                            <w:t>.</w:t>
                          </w:r>
                          <w:r w:rsidR="00CB466B" w:rsidRPr="007F0CD2">
                            <w:rPr>
                              <w:rFonts w:ascii="Biondi" w:hAnsi="Biondi"/>
                              <w:bCs w:val="0"/>
                              <w:sz w:val="22"/>
                              <w:szCs w:val="22"/>
                            </w:rPr>
                            <w:t xml:space="preserve">  ELD </w:t>
                          </w:r>
                          <w:r w:rsidR="00EF0E82">
                            <w:rPr>
                              <w:rFonts w:ascii="Biondi" w:hAnsi="Biondi"/>
                              <w:bCs w:val="0"/>
                              <w:sz w:val="22"/>
                              <w:szCs w:val="22"/>
                            </w:rPr>
                            <w:t>323</w:t>
                          </w:r>
                          <w:r w:rsidR="00692473" w:rsidRPr="007F0CD2">
                            <w:rPr>
                              <w:rFonts w:ascii="Biondi" w:hAnsi="Biondi"/>
                              <w:bCs w:val="0"/>
                              <w:sz w:val="22"/>
                              <w:szCs w:val="22"/>
                            </w:rPr>
                            <w:t>/LXVI-PPA</w:t>
                          </w:r>
                        </w:p>
                        <w:p w14:paraId="6F228DAF" w14:textId="77777777" w:rsidR="00CB466B" w:rsidRPr="007F0CD2" w:rsidRDefault="00CB466B" w:rsidP="00CB466B">
                          <w:pPr>
                            <w:rPr>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3488C94" id="_x0000_t202" coordsize="21600,21600" o:spt="202" path="m,l,21600r21600,l21600,xe">
              <v:stroke joinstyle="miter"/>
              <v:path gradientshapeok="t" o:connecttype="rect"/>
            </v:shapetype>
            <v:shape id="Cuadro de texto 2" o:spid="_x0000_s1026" type="#_x0000_t202" alt="5%" style="position:absolute;margin-left:188.85pt;margin-top:-29.9pt;width:795.9pt;height:52.0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" fillcolor="white [3212]" strokecolor="#b6dde8" strokeweight="1pt">
              <v:stroke dashstyle="dash"/>
              <v:shadow on="t" color="#868686" offset=",1pt"/>
              <v:textbox>
                <w:txbxContent>
                  <w:p w14:paraId="5C12EA37" w14:textId="77777777" w:rsidR="00ED4AE6" w:rsidRPr="007F0CD2" w:rsidRDefault="00ED4AE6" w:rsidP="00E411A3">
                    <w:pPr>
                      <w:pStyle w:val="Ttulo2"/>
                      <w:rPr>
                        <w:rFonts w:ascii="Biondi" w:hAnsi="Biondi"/>
                        <w:bCs w:val="0"/>
                        <w:sz w:val="22"/>
                        <w:szCs w:val="22"/>
                      </w:rPr>
                    </w:pPr>
                    <w:r w:rsidRPr="007F0CD2">
                      <w:rPr>
                        <w:rFonts w:ascii="Biondi" w:hAnsi="Biondi"/>
                        <w:bCs w:val="0"/>
                        <w:sz w:val="22"/>
                        <w:szCs w:val="22"/>
                      </w:rPr>
                      <w:t xml:space="preserve">COMPARATIVO </w:t>
                    </w:r>
                  </w:p>
                  <w:p w14:paraId="5CB0365E" w14:textId="3478E900" w:rsidR="00CB466B" w:rsidRPr="007F0CD2" w:rsidRDefault="007E5B75" w:rsidP="00CB466B">
                    <w:pPr>
                      <w:pStyle w:val="Ttulo2"/>
                      <w:rPr>
                        <w:rFonts w:ascii="Biondi" w:hAnsi="Biondi"/>
                        <w:bCs w:val="0"/>
                        <w:sz w:val="22"/>
                        <w:szCs w:val="22"/>
                      </w:rPr>
                    </w:pPr>
                    <w:r w:rsidRPr="007F0CD2">
                      <w:rPr>
                        <w:rFonts w:ascii="Biondi" w:hAnsi="Biondi"/>
                        <w:bCs w:val="0"/>
                        <w:sz w:val="22"/>
                        <w:szCs w:val="22"/>
                      </w:rPr>
                      <w:t xml:space="preserve">Análisis de </w:t>
                    </w:r>
                    <w:r w:rsidR="00692473" w:rsidRPr="007F0CD2">
                      <w:rPr>
                        <w:rFonts w:ascii="Biondi" w:hAnsi="Biondi"/>
                        <w:bCs w:val="0"/>
                        <w:sz w:val="22"/>
                        <w:szCs w:val="22"/>
                      </w:rPr>
                      <w:t xml:space="preserve">la propuesta </w:t>
                    </w:r>
                    <w:r w:rsidR="00BE65FD" w:rsidRPr="007F0CD2">
                      <w:rPr>
                        <w:rFonts w:ascii="Biondi" w:hAnsi="Biondi"/>
                        <w:bCs w:val="0"/>
                        <w:sz w:val="22"/>
                        <w:szCs w:val="22"/>
                      </w:rPr>
                      <w:t xml:space="preserve">de punto de acuerdo </w:t>
                    </w:r>
                    <w:r w:rsidRPr="007F0CD2">
                      <w:rPr>
                        <w:rFonts w:ascii="Biondi" w:hAnsi="Biondi"/>
                        <w:bCs w:val="0"/>
                        <w:sz w:val="22"/>
                        <w:szCs w:val="22"/>
                      </w:rPr>
                      <w:t>formulad</w:t>
                    </w:r>
                    <w:r w:rsidR="00692473" w:rsidRPr="007F0CD2">
                      <w:rPr>
                        <w:rFonts w:ascii="Biondi" w:hAnsi="Biondi"/>
                        <w:bCs w:val="0"/>
                        <w:sz w:val="22"/>
                        <w:szCs w:val="22"/>
                      </w:rPr>
                      <w:t>o</w:t>
                    </w:r>
                    <w:r w:rsidRPr="007F0CD2">
                      <w:rPr>
                        <w:rFonts w:ascii="Biondi" w:hAnsi="Biondi"/>
                        <w:bCs w:val="0"/>
                        <w:sz w:val="22"/>
                        <w:szCs w:val="22"/>
                      </w:rPr>
                      <w:t xml:space="preserve"> por</w:t>
                    </w:r>
                    <w:r w:rsidR="008F70FE">
                      <w:rPr>
                        <w:rFonts w:ascii="Biondi" w:hAnsi="Biondi"/>
                        <w:bCs w:val="0"/>
                        <w:sz w:val="22"/>
                        <w:szCs w:val="22"/>
                      </w:rPr>
                      <w:t xml:space="preserve"> personas</w:t>
                    </w:r>
                    <w:r w:rsidR="00652173">
                      <w:rPr>
                        <w:rFonts w:ascii="Biondi" w:hAnsi="Biondi"/>
                        <w:bCs w:val="0"/>
                        <w:sz w:val="22"/>
                        <w:szCs w:val="22"/>
                      </w:rPr>
                      <w:t xml:space="preserve"> integrante</w:t>
                    </w:r>
                    <w:r w:rsidR="008F70FE">
                      <w:rPr>
                        <w:rFonts w:ascii="Biondi" w:hAnsi="Biondi"/>
                        <w:bCs w:val="0"/>
                        <w:sz w:val="22"/>
                        <w:szCs w:val="22"/>
                      </w:rPr>
                      <w:t>s</w:t>
                    </w:r>
                    <w:r w:rsidR="00652173">
                      <w:rPr>
                        <w:rFonts w:ascii="Biondi" w:hAnsi="Biondi"/>
                        <w:bCs w:val="0"/>
                        <w:sz w:val="22"/>
                        <w:szCs w:val="22"/>
                      </w:rPr>
                      <w:t xml:space="preserve"> del</w:t>
                    </w:r>
                    <w:r w:rsidRPr="007F0CD2">
                      <w:rPr>
                        <w:rFonts w:ascii="Biondi" w:hAnsi="Biondi"/>
                        <w:bCs w:val="0"/>
                        <w:sz w:val="22"/>
                        <w:szCs w:val="22"/>
                      </w:rPr>
                      <w:t xml:space="preserve"> Grupo Parlamentario del Par</w:t>
                    </w:r>
                    <w:r w:rsidR="00A1157E">
                      <w:rPr>
                        <w:rFonts w:ascii="Biondi" w:hAnsi="Biondi"/>
                        <w:bCs w:val="0"/>
                        <w:sz w:val="22"/>
                        <w:szCs w:val="22"/>
                      </w:rPr>
                      <w:t>tido</w:t>
                    </w:r>
                    <w:r w:rsidR="008F70FE">
                      <w:rPr>
                        <w:rFonts w:ascii="Biondi" w:hAnsi="Biondi"/>
                        <w:bCs w:val="0"/>
                        <w:sz w:val="22"/>
                        <w:szCs w:val="22"/>
                      </w:rPr>
                      <w:t xml:space="preserve"> Acción Nacional y de la Representación Parlamentaria del Partido de la Revolución Democrática en</w:t>
                    </w:r>
                    <w:r w:rsidRPr="007F0CD2">
                      <w:rPr>
                        <w:rFonts w:ascii="Biondi" w:hAnsi="Biondi"/>
                        <w:bCs w:val="0"/>
                        <w:sz w:val="22"/>
                        <w:szCs w:val="22"/>
                      </w:rPr>
                      <w:t xml:space="preserve"> materia d</w:t>
                    </w:r>
                    <w:r w:rsidR="00EF0E82">
                      <w:rPr>
                        <w:rFonts w:ascii="Biondi" w:hAnsi="Biondi"/>
                        <w:bCs w:val="0"/>
                        <w:sz w:val="22"/>
                        <w:szCs w:val="22"/>
                      </w:rPr>
                      <w:t>e bloqueos carreteros y demandas de los productores del campo</w:t>
                    </w:r>
                    <w:r w:rsidR="00454B92">
                      <w:rPr>
                        <w:rFonts w:ascii="Biondi" w:hAnsi="Biondi"/>
                        <w:bCs w:val="0"/>
                        <w:sz w:val="22"/>
                        <w:szCs w:val="22"/>
                      </w:rPr>
                      <w:t>.</w:t>
                    </w:r>
                    <w:r w:rsidR="00CB466B" w:rsidRPr="007F0CD2">
                      <w:rPr>
                        <w:rFonts w:ascii="Biondi" w:hAnsi="Biondi"/>
                        <w:bCs w:val="0"/>
                        <w:sz w:val="22"/>
                        <w:szCs w:val="22"/>
                      </w:rPr>
                      <w:t xml:space="preserve">  ELD </w:t>
                    </w:r>
                    <w:r w:rsidR="00EF0E82">
                      <w:rPr>
                        <w:rFonts w:ascii="Biondi" w:hAnsi="Biondi"/>
                        <w:bCs w:val="0"/>
                        <w:sz w:val="22"/>
                        <w:szCs w:val="22"/>
                      </w:rPr>
                      <w:t>323</w:t>
                    </w:r>
                    <w:r w:rsidR="00692473" w:rsidRPr="007F0CD2">
                      <w:rPr>
                        <w:rFonts w:ascii="Biondi" w:hAnsi="Biondi"/>
                        <w:bCs w:val="0"/>
                        <w:sz w:val="22"/>
                        <w:szCs w:val="22"/>
                      </w:rPr>
                      <w:t>/LXVI-PPA</w:t>
                    </w:r>
                  </w:p>
                  <w:p w14:paraId="6F228DAF" w14:textId="77777777" w:rsidR="00CB466B" w:rsidRPr="007F0CD2" w:rsidRDefault="00CB466B" w:rsidP="00CB466B">
                    <w:pPr>
                      <w:rPr>
                        <w:b/>
                      </w:rPr>
                    </w:pPr>
                  </w:p>
                </w:txbxContent>
              </v:textbox>
              <w10:wrap anchorx="page"/>
            </v:shape>
          </w:pict>
        </mc:Fallback>
      </mc:AlternateContent>
    </w:r>
    <w:r w:rsidR="00D916E3">
      <w:rPr>
        <w:noProof/>
      </w:rPr>
      <w:drawing>
        <wp:anchor distT="0" distB="0" distL="114300" distR="114300" simplePos="0" relativeHeight="251659264" behindDoc="0" locked="0" layoutInCell="1" allowOverlap="1" wp14:anchorId="02133B40" wp14:editId="074DCE77">
          <wp:simplePos x="0" y="0"/>
          <wp:positionH relativeFrom="column">
            <wp:posOffset>198120</wp:posOffset>
          </wp:positionH>
          <wp:positionV relativeFrom="paragraph">
            <wp:posOffset>-368300</wp:posOffset>
          </wp:positionV>
          <wp:extent cx="920750" cy="990600"/>
          <wp:effectExtent l="0" t="0" r="0" b="0"/>
          <wp:wrapSquare wrapText="bothSides"/>
          <wp:docPr id="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0750" cy="990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2639A9D" w14:textId="77777777" w:rsidR="00ED4AE6" w:rsidRDefault="00ED4AE6" w:rsidP="00E411A3">
    <w:pPr>
      <w:pStyle w:val="Encabezado"/>
    </w:pPr>
  </w:p>
  <w:p w14:paraId="222F6E4D" w14:textId="38A0177A" w:rsidR="00ED4AE6" w:rsidRPr="00A078B5" w:rsidRDefault="00ED4AE6" w:rsidP="00E411A3">
    <w:pPr>
      <w:pStyle w:val="Sinespaciado"/>
      <w:ind w:left="10065" w:hanging="1843"/>
      <w:jc w:val="right"/>
      <w:rPr>
        <w:rFonts w:ascii="Tahoma" w:hAnsi="Tahoma" w:cs="Tahoma"/>
        <w:b/>
        <w:i/>
        <w:lang w:val="es-MX"/>
      </w:rPr>
    </w:pPr>
    <w:r>
      <w:rPr>
        <w:rFonts w:ascii="Tahoma" w:hAnsi="Tahoma" w:cs="Tahoma"/>
        <w:b/>
        <w:i/>
        <w:lang w:val="es-MX"/>
      </w:rPr>
      <w:t>Secretaría Técnica / Comisión de</w:t>
    </w:r>
    <w:r w:rsidR="00454B92">
      <w:rPr>
        <w:rFonts w:ascii="Tahoma" w:hAnsi="Tahoma" w:cs="Tahoma"/>
        <w:b/>
        <w:i/>
        <w:lang w:val="es-MX"/>
      </w:rPr>
      <w:t xml:space="preserve"> Desarrollo Rural y Fomento</w:t>
    </w:r>
    <w:r w:rsidR="00692473">
      <w:rPr>
        <w:rFonts w:ascii="Tahoma" w:hAnsi="Tahoma" w:cs="Tahoma"/>
        <w:b/>
        <w:i/>
        <w:lang w:val="es-MX"/>
      </w:rPr>
      <w:t xml:space="preserve"> Agropecuario</w:t>
    </w:r>
  </w:p>
  <w:p w14:paraId="10A73DB7" w14:textId="06AB9E17" w:rsidR="00ED4AE6" w:rsidRPr="00A078B5" w:rsidRDefault="00ED4AE6" w:rsidP="00E411A3">
    <w:pPr>
      <w:pStyle w:val="Sinespaciado"/>
      <w:ind w:left="10065" w:hanging="426"/>
      <w:jc w:val="right"/>
      <w:rPr>
        <w:rFonts w:ascii="Tahoma" w:hAnsi="Tahoma" w:cs="Tahoma"/>
        <w:b/>
        <w:i/>
        <w:lang w:val="es-MX"/>
      </w:rPr>
    </w:pPr>
    <w:r w:rsidRPr="00A078B5">
      <w:rPr>
        <w:rFonts w:ascii="Tahoma" w:hAnsi="Tahoma" w:cs="Tahoma"/>
        <w:b/>
        <w:i/>
        <w:lang w:val="es-MX"/>
      </w:rPr>
      <w:t xml:space="preserve">Guanajuato, </w:t>
    </w:r>
    <w:proofErr w:type="spellStart"/>
    <w:r w:rsidRPr="00A078B5">
      <w:rPr>
        <w:rFonts w:ascii="Tahoma" w:hAnsi="Tahoma" w:cs="Tahoma"/>
        <w:b/>
        <w:i/>
        <w:lang w:val="es-MX"/>
      </w:rPr>
      <w:t>Gto</w:t>
    </w:r>
    <w:proofErr w:type="spellEnd"/>
    <w:r w:rsidRPr="00A078B5">
      <w:rPr>
        <w:rFonts w:ascii="Tahoma" w:hAnsi="Tahoma" w:cs="Tahoma"/>
        <w:b/>
        <w:i/>
        <w:lang w:val="es-MX"/>
      </w:rPr>
      <w:t xml:space="preserve">., </w:t>
    </w:r>
    <w:r w:rsidR="00C15823">
      <w:rPr>
        <w:rFonts w:ascii="Tahoma" w:hAnsi="Tahoma" w:cs="Tahoma"/>
        <w:b/>
        <w:i/>
        <w:lang w:val="es-MX"/>
      </w:rPr>
      <w:t xml:space="preserve">23 </w:t>
    </w:r>
    <w:r w:rsidR="00866DDC" w:rsidRPr="00866DDC">
      <w:rPr>
        <w:rFonts w:ascii="Tahoma" w:hAnsi="Tahoma" w:cs="Tahoma"/>
        <w:b/>
        <w:i/>
        <w:lang w:val="es-MX"/>
      </w:rPr>
      <w:t>de</w:t>
    </w:r>
    <w:r w:rsidR="00F6663D">
      <w:rPr>
        <w:rFonts w:ascii="Tahoma" w:hAnsi="Tahoma" w:cs="Tahoma"/>
        <w:b/>
        <w:i/>
        <w:lang w:val="es-MX"/>
      </w:rPr>
      <w:t xml:space="preserve"> julio</w:t>
    </w:r>
    <w:r w:rsidR="00934979">
      <w:rPr>
        <w:rFonts w:ascii="Tahoma" w:hAnsi="Tahoma" w:cs="Tahoma"/>
        <w:b/>
        <w:i/>
        <w:lang w:val="es-MX"/>
      </w:rPr>
      <w:t xml:space="preserve"> </w:t>
    </w:r>
    <w:r w:rsidR="00C15823">
      <w:rPr>
        <w:rFonts w:ascii="Tahoma" w:hAnsi="Tahoma" w:cs="Tahoma"/>
        <w:b/>
        <w:i/>
        <w:lang w:val="es-MX"/>
      </w:rPr>
      <w:t xml:space="preserve">de </w:t>
    </w:r>
    <w:r w:rsidRPr="00866DDC">
      <w:rPr>
        <w:rFonts w:ascii="Tahoma" w:hAnsi="Tahoma" w:cs="Tahoma"/>
        <w:b/>
        <w:i/>
        <w:lang w:val="es-MX"/>
      </w:rPr>
      <w:t>20</w:t>
    </w:r>
    <w:r w:rsidR="0028571D" w:rsidRPr="00866DDC">
      <w:rPr>
        <w:rFonts w:ascii="Tahoma" w:hAnsi="Tahoma" w:cs="Tahoma"/>
        <w:b/>
        <w:i/>
        <w:lang w:val="es-MX"/>
      </w:rPr>
      <w:t>2</w:t>
    </w:r>
    <w:r w:rsidR="00CC2BFB">
      <w:rPr>
        <w:rFonts w:ascii="Tahoma" w:hAnsi="Tahoma" w:cs="Tahoma"/>
        <w:b/>
        <w:i/>
        <w:lang w:val="es-MX"/>
      </w:rPr>
      <w:t>6</w:t>
    </w:r>
  </w:p>
  <w:p w14:paraId="7AF762BA" w14:textId="77777777" w:rsidR="00ED4AE6" w:rsidRDefault="00ED4AE6" w:rsidP="00E411A3">
    <w:pPr>
      <w:pStyle w:val="Encabezado"/>
    </w:pPr>
  </w:p>
  <w:tbl>
    <w:tblPr>
      <w:tblW w:w="18286" w:type="dxa"/>
      <w:tblInd w:w="-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096"/>
      <w:gridCol w:w="7938"/>
      <w:gridCol w:w="4252"/>
    </w:tblGrid>
    <w:tr w:rsidR="007451A0" w:rsidRPr="00F7466B" w14:paraId="58628C4D" w14:textId="77777777" w:rsidTr="00583CBD">
      <w:trPr>
        <w:trHeight w:val="678"/>
      </w:trPr>
      <w:tc>
        <w:tcPr>
          <w:tcW w:w="6096" w:type="dxa"/>
          <w:tcBorders>
            <w:top w:val="thinThickSmallGap" w:sz="24" w:space="0" w:color="auto"/>
            <w:left w:val="thinThickSmallGap" w:sz="24" w:space="0" w:color="auto"/>
            <w:bottom w:val="thinThickSmallGap" w:sz="24" w:space="0" w:color="auto"/>
            <w:right w:val="thickThinSmallGap" w:sz="24" w:space="0" w:color="auto"/>
          </w:tcBorders>
          <w:shd w:val="clear" w:color="auto" w:fill="E6E6E6"/>
          <w:vAlign w:val="center"/>
        </w:tcPr>
        <w:p w14:paraId="7F93842F" w14:textId="77777777" w:rsidR="007451A0" w:rsidRPr="00840D67" w:rsidRDefault="00A61C08" w:rsidP="00E411A3">
          <w:pPr>
            <w:jc w:val="center"/>
            <w:rPr>
              <w:rFonts w:ascii="Copperplate Gothic Bold" w:hAnsi="Copperplate Gothic Bold"/>
              <w:b/>
            </w:rPr>
          </w:pPr>
          <w:r>
            <w:rPr>
              <w:rFonts w:ascii="Copperplate Gothic Bold" w:hAnsi="Copperplate Gothic Bold"/>
              <w:b/>
            </w:rPr>
            <w:t xml:space="preserve">Acuerdos </w:t>
          </w:r>
        </w:p>
      </w:tc>
      <w:tc>
        <w:tcPr>
          <w:tcW w:w="7938" w:type="dxa"/>
          <w:tcBorders>
            <w:top w:val="thinThickSmallGap" w:sz="24" w:space="0" w:color="auto"/>
            <w:left w:val="thinThickSmallGap" w:sz="24" w:space="0" w:color="auto"/>
            <w:bottom w:val="thinThickSmallGap" w:sz="24" w:space="0" w:color="auto"/>
            <w:right w:val="thickThinSmallGap" w:sz="24" w:space="0" w:color="auto"/>
          </w:tcBorders>
          <w:shd w:val="clear" w:color="auto" w:fill="E6E6E6"/>
          <w:vAlign w:val="center"/>
        </w:tcPr>
        <w:p w14:paraId="594300C6" w14:textId="77777777" w:rsidR="007451A0" w:rsidRPr="00840D67" w:rsidRDefault="007451A0" w:rsidP="00E411A3">
          <w:pPr>
            <w:jc w:val="center"/>
            <w:rPr>
              <w:rFonts w:ascii="Copperplate Gothic Bold" w:hAnsi="Copperplate Gothic Bold"/>
              <w:b/>
            </w:rPr>
          </w:pPr>
          <w:r w:rsidRPr="00840D67">
            <w:rPr>
              <w:rFonts w:ascii="Copperplate Gothic Bold" w:hAnsi="Copperplate Gothic Bold"/>
              <w:b/>
            </w:rPr>
            <w:t xml:space="preserve">Opiniones de </w:t>
          </w:r>
          <w:r>
            <w:rPr>
              <w:rFonts w:ascii="Copperplate Gothic Bold" w:hAnsi="Copperplate Gothic Bold"/>
              <w:b/>
            </w:rPr>
            <w:t xml:space="preserve">particulares y </w:t>
          </w:r>
          <w:r w:rsidRPr="00840D67">
            <w:rPr>
              <w:rFonts w:ascii="Copperplate Gothic Bold" w:hAnsi="Copperplate Gothic Bold"/>
              <w:b/>
            </w:rPr>
            <w:t>las entidades consultadas</w:t>
          </w:r>
        </w:p>
      </w:tc>
      <w:tc>
        <w:tcPr>
          <w:tcW w:w="4252" w:type="dxa"/>
          <w:tcBorders>
            <w:top w:val="thinThickSmallGap" w:sz="24" w:space="0" w:color="auto"/>
            <w:left w:val="thinThickSmallGap" w:sz="24" w:space="0" w:color="auto"/>
            <w:bottom w:val="thinThickSmallGap" w:sz="24" w:space="0" w:color="auto"/>
            <w:right w:val="thickThinSmallGap" w:sz="24" w:space="0" w:color="auto"/>
          </w:tcBorders>
          <w:shd w:val="clear" w:color="auto" w:fill="E6E6E6"/>
          <w:vAlign w:val="center"/>
        </w:tcPr>
        <w:p w14:paraId="7A8195F3" w14:textId="77777777" w:rsidR="007451A0" w:rsidRPr="00840D67" w:rsidRDefault="007451A0" w:rsidP="00E411A3">
          <w:pPr>
            <w:jc w:val="center"/>
            <w:rPr>
              <w:rFonts w:ascii="Copperplate Gothic Bold" w:hAnsi="Copperplate Gothic Bold"/>
              <w:b/>
            </w:rPr>
          </w:pPr>
          <w:r w:rsidRPr="00840D67">
            <w:rPr>
              <w:rFonts w:ascii="Copperplate Gothic Bold" w:hAnsi="Copperplate Gothic Bold"/>
              <w:b/>
            </w:rPr>
            <w:t>Observaciones de la mesa de trabajo</w:t>
          </w:r>
        </w:p>
      </w:tc>
    </w:tr>
  </w:tbl>
  <w:p w14:paraId="57AD5E15" w14:textId="77777777" w:rsidR="00ED4AE6" w:rsidRPr="002A4133" w:rsidRDefault="00ED4AE6">
    <w:pPr>
      <w:pStyle w:val="Encabezado"/>
      <w:jc w:val="right"/>
      <w:rPr>
        <w:rFonts w:ascii="Avant Garde" w:hAnsi="Avant Garde"/>
        <w:b/>
        <w:bCs/>
        <w:i/>
        <w:iCs/>
        <w:sz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DB9C5E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15CA8D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A71FB23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CD0E4070"/>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D6DF47C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E457C52E"/>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E9CD482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F80EF69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032D15F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0494F4BE"/>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0A1167B7"/>
    <w:multiLevelType w:val="hybridMultilevel"/>
    <w:tmpl w:val="073E471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0B348EB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0EAD24A9"/>
    <w:multiLevelType w:val="hybridMultilevel"/>
    <w:tmpl w:val="8EDAE8D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11BD407A"/>
    <w:multiLevelType w:val="hybridMultilevel"/>
    <w:tmpl w:val="AD704B3C"/>
    <w:lvl w:ilvl="0" w:tplc="C40233E8">
      <w:start w:val="1"/>
      <w:numFmt w:val="decimal"/>
      <w:lvlText w:val="%1."/>
      <w:lvlJc w:val="left"/>
      <w:pPr>
        <w:ind w:left="720" w:hanging="360"/>
      </w:pPr>
    </w:lvl>
    <w:lvl w:ilvl="1" w:tplc="A8F2DB38">
      <w:numFmt w:val="decimal"/>
      <w:lvlText w:val=""/>
      <w:lvlJc w:val="left"/>
    </w:lvl>
    <w:lvl w:ilvl="2" w:tplc="6FB4CEA6">
      <w:numFmt w:val="decimal"/>
      <w:lvlText w:val=""/>
      <w:lvlJc w:val="left"/>
    </w:lvl>
    <w:lvl w:ilvl="3" w:tplc="6152081A">
      <w:numFmt w:val="decimal"/>
      <w:lvlText w:val=""/>
      <w:lvlJc w:val="left"/>
    </w:lvl>
    <w:lvl w:ilvl="4" w:tplc="52420578">
      <w:numFmt w:val="decimal"/>
      <w:lvlText w:val=""/>
      <w:lvlJc w:val="left"/>
    </w:lvl>
    <w:lvl w:ilvl="5" w:tplc="42AAE4EA">
      <w:numFmt w:val="decimal"/>
      <w:lvlText w:val=""/>
      <w:lvlJc w:val="left"/>
    </w:lvl>
    <w:lvl w:ilvl="6" w:tplc="64BCDC96">
      <w:numFmt w:val="decimal"/>
      <w:lvlText w:val=""/>
      <w:lvlJc w:val="left"/>
    </w:lvl>
    <w:lvl w:ilvl="7" w:tplc="0DB06E00">
      <w:numFmt w:val="decimal"/>
      <w:lvlText w:val=""/>
      <w:lvlJc w:val="left"/>
    </w:lvl>
    <w:lvl w:ilvl="8" w:tplc="7B668AF2">
      <w:numFmt w:val="decimal"/>
      <w:lvlText w:val=""/>
      <w:lvlJc w:val="left"/>
    </w:lvl>
  </w:abstractNum>
  <w:abstractNum w:abstractNumId="14" w15:restartNumberingAfterBreak="0">
    <w:nsid w:val="18035A95"/>
    <w:multiLevelType w:val="hybridMultilevel"/>
    <w:tmpl w:val="9D7C11DC"/>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18343F7F"/>
    <w:multiLevelType w:val="hybridMultilevel"/>
    <w:tmpl w:val="335E24A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18EB27C2"/>
    <w:multiLevelType w:val="hybridMultilevel"/>
    <w:tmpl w:val="0A3AC33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219E645A"/>
    <w:multiLevelType w:val="hybridMultilevel"/>
    <w:tmpl w:val="5882EB6C"/>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18" w15:restartNumberingAfterBreak="0">
    <w:nsid w:val="23355823"/>
    <w:multiLevelType w:val="hybridMultilevel"/>
    <w:tmpl w:val="FE92E956"/>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26217044"/>
    <w:multiLevelType w:val="hybridMultilevel"/>
    <w:tmpl w:val="EAA0BE30"/>
    <w:lvl w:ilvl="0" w:tplc="880CC700">
      <w:start w:val="1"/>
      <w:numFmt w:val="low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296825BB"/>
    <w:multiLevelType w:val="hybridMultilevel"/>
    <w:tmpl w:val="6824A04E"/>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2A3871B2"/>
    <w:multiLevelType w:val="hybridMultilevel"/>
    <w:tmpl w:val="6016B5E6"/>
    <w:lvl w:ilvl="0" w:tplc="EB747804">
      <w:start w:val="1"/>
      <w:numFmt w:val="upperRoman"/>
      <w:lvlText w:val="%1."/>
      <w:lvlJc w:val="left"/>
      <w:pPr>
        <w:ind w:left="1080" w:hanging="720"/>
      </w:pPr>
      <w:rPr>
        <w:rFonts w:hint="default"/>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2EB05C25"/>
    <w:multiLevelType w:val="hybridMultilevel"/>
    <w:tmpl w:val="73DE9B4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323D540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359C802F"/>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37AD1992"/>
    <w:multiLevelType w:val="hybridMultilevel"/>
    <w:tmpl w:val="5B543D76"/>
    <w:lvl w:ilvl="0" w:tplc="34CA98F4">
      <w:start w:val="1"/>
      <w:numFmt w:val="bullet"/>
      <w:lvlText w:val="•"/>
      <w:lvlJc w:val="left"/>
      <w:pPr>
        <w:ind w:left="720" w:hanging="360"/>
      </w:pPr>
    </w:lvl>
    <w:lvl w:ilvl="1" w:tplc="66402722">
      <w:numFmt w:val="decimal"/>
      <w:lvlText w:val=""/>
      <w:lvlJc w:val="left"/>
    </w:lvl>
    <w:lvl w:ilvl="2" w:tplc="9BACC386">
      <w:numFmt w:val="decimal"/>
      <w:lvlText w:val=""/>
      <w:lvlJc w:val="left"/>
    </w:lvl>
    <w:lvl w:ilvl="3" w:tplc="72BC1440">
      <w:numFmt w:val="decimal"/>
      <w:lvlText w:val=""/>
      <w:lvlJc w:val="left"/>
    </w:lvl>
    <w:lvl w:ilvl="4" w:tplc="5CC21946">
      <w:numFmt w:val="decimal"/>
      <w:lvlText w:val=""/>
      <w:lvlJc w:val="left"/>
    </w:lvl>
    <w:lvl w:ilvl="5" w:tplc="F20428DE">
      <w:numFmt w:val="decimal"/>
      <w:lvlText w:val=""/>
      <w:lvlJc w:val="left"/>
    </w:lvl>
    <w:lvl w:ilvl="6" w:tplc="1B947B98">
      <w:numFmt w:val="decimal"/>
      <w:lvlText w:val=""/>
      <w:lvlJc w:val="left"/>
    </w:lvl>
    <w:lvl w:ilvl="7" w:tplc="E6E6B8AC">
      <w:numFmt w:val="decimal"/>
      <w:lvlText w:val=""/>
      <w:lvlJc w:val="left"/>
    </w:lvl>
    <w:lvl w:ilvl="8" w:tplc="2430BA72">
      <w:numFmt w:val="decimal"/>
      <w:lvlText w:val=""/>
      <w:lvlJc w:val="left"/>
    </w:lvl>
  </w:abstractNum>
  <w:abstractNum w:abstractNumId="26" w15:restartNumberingAfterBreak="0">
    <w:nsid w:val="399B380E"/>
    <w:multiLevelType w:val="hybridMultilevel"/>
    <w:tmpl w:val="3B5215B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15:restartNumberingAfterBreak="0">
    <w:nsid w:val="3F125624"/>
    <w:multiLevelType w:val="hybridMultilevel"/>
    <w:tmpl w:val="BE6CA55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8" w15:restartNumberingAfterBreak="0">
    <w:nsid w:val="47554C73"/>
    <w:multiLevelType w:val="hybridMultilevel"/>
    <w:tmpl w:val="FEACAD78"/>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4866422A"/>
    <w:multiLevelType w:val="hybridMultilevel"/>
    <w:tmpl w:val="262CDEBE"/>
    <w:lvl w:ilvl="0" w:tplc="080A0013">
      <w:start w:val="1"/>
      <w:numFmt w:val="upperRoman"/>
      <w:lvlText w:val="%1."/>
      <w:lvlJc w:val="right"/>
      <w:pPr>
        <w:ind w:left="780" w:hanging="360"/>
      </w:pPr>
    </w:lvl>
    <w:lvl w:ilvl="1" w:tplc="080A0019" w:tentative="1">
      <w:start w:val="1"/>
      <w:numFmt w:val="lowerLetter"/>
      <w:lvlText w:val="%2."/>
      <w:lvlJc w:val="left"/>
      <w:pPr>
        <w:ind w:left="1500" w:hanging="360"/>
      </w:pPr>
    </w:lvl>
    <w:lvl w:ilvl="2" w:tplc="080A001B" w:tentative="1">
      <w:start w:val="1"/>
      <w:numFmt w:val="lowerRoman"/>
      <w:lvlText w:val="%3."/>
      <w:lvlJc w:val="right"/>
      <w:pPr>
        <w:ind w:left="2220" w:hanging="180"/>
      </w:pPr>
    </w:lvl>
    <w:lvl w:ilvl="3" w:tplc="080A000F" w:tentative="1">
      <w:start w:val="1"/>
      <w:numFmt w:val="decimal"/>
      <w:lvlText w:val="%4."/>
      <w:lvlJc w:val="left"/>
      <w:pPr>
        <w:ind w:left="2940" w:hanging="360"/>
      </w:pPr>
    </w:lvl>
    <w:lvl w:ilvl="4" w:tplc="080A0019" w:tentative="1">
      <w:start w:val="1"/>
      <w:numFmt w:val="lowerLetter"/>
      <w:lvlText w:val="%5."/>
      <w:lvlJc w:val="left"/>
      <w:pPr>
        <w:ind w:left="3660" w:hanging="360"/>
      </w:pPr>
    </w:lvl>
    <w:lvl w:ilvl="5" w:tplc="080A001B" w:tentative="1">
      <w:start w:val="1"/>
      <w:numFmt w:val="lowerRoman"/>
      <w:lvlText w:val="%6."/>
      <w:lvlJc w:val="right"/>
      <w:pPr>
        <w:ind w:left="4380" w:hanging="180"/>
      </w:pPr>
    </w:lvl>
    <w:lvl w:ilvl="6" w:tplc="080A000F" w:tentative="1">
      <w:start w:val="1"/>
      <w:numFmt w:val="decimal"/>
      <w:lvlText w:val="%7."/>
      <w:lvlJc w:val="left"/>
      <w:pPr>
        <w:ind w:left="5100" w:hanging="360"/>
      </w:pPr>
    </w:lvl>
    <w:lvl w:ilvl="7" w:tplc="080A0019" w:tentative="1">
      <w:start w:val="1"/>
      <w:numFmt w:val="lowerLetter"/>
      <w:lvlText w:val="%8."/>
      <w:lvlJc w:val="left"/>
      <w:pPr>
        <w:ind w:left="5820" w:hanging="360"/>
      </w:pPr>
    </w:lvl>
    <w:lvl w:ilvl="8" w:tplc="080A001B" w:tentative="1">
      <w:start w:val="1"/>
      <w:numFmt w:val="lowerRoman"/>
      <w:lvlText w:val="%9."/>
      <w:lvlJc w:val="right"/>
      <w:pPr>
        <w:ind w:left="6540" w:hanging="180"/>
      </w:pPr>
    </w:lvl>
  </w:abstractNum>
  <w:abstractNum w:abstractNumId="30" w15:restartNumberingAfterBreak="0">
    <w:nsid w:val="48A533C6"/>
    <w:multiLevelType w:val="hybridMultilevel"/>
    <w:tmpl w:val="EA6606A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1" w15:restartNumberingAfterBreak="0">
    <w:nsid w:val="49201445"/>
    <w:multiLevelType w:val="hybridMultilevel"/>
    <w:tmpl w:val="AAECAEC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2" w15:restartNumberingAfterBreak="0">
    <w:nsid w:val="4B3E5018"/>
    <w:multiLevelType w:val="hybridMultilevel"/>
    <w:tmpl w:val="8746040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3" w15:restartNumberingAfterBreak="0">
    <w:nsid w:val="568EE88E"/>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15:restartNumberingAfterBreak="0">
    <w:nsid w:val="5E681764"/>
    <w:multiLevelType w:val="hybridMultilevel"/>
    <w:tmpl w:val="46F48104"/>
    <w:lvl w:ilvl="0" w:tplc="D7D488F6">
      <w:start w:val="1"/>
      <w:numFmt w:val="lowerLetter"/>
      <w:lvlText w:val="%1)"/>
      <w:lvlJc w:val="left"/>
      <w:pPr>
        <w:ind w:left="720" w:hanging="360"/>
      </w:pPr>
      <w:rPr>
        <w:rFonts w:hint="default"/>
        <w:b/>
        <w:bCs w:val="0"/>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0">
    <w:nsid w:val="5F24327A"/>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6" w15:restartNumberingAfterBreak="0">
    <w:nsid w:val="60793EDC"/>
    <w:multiLevelType w:val="hybridMultilevel"/>
    <w:tmpl w:val="B6A0C75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7" w15:restartNumberingAfterBreak="0">
    <w:nsid w:val="60D96EDF"/>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8" w15:restartNumberingAfterBreak="0">
    <w:nsid w:val="62534F5F"/>
    <w:multiLevelType w:val="hybridMultilevel"/>
    <w:tmpl w:val="4824F0E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9" w15:restartNumberingAfterBreak="0">
    <w:nsid w:val="62EFDE2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0" w15:restartNumberingAfterBreak="0">
    <w:nsid w:val="644749A7"/>
    <w:multiLevelType w:val="hybridMultilevel"/>
    <w:tmpl w:val="8A960FBC"/>
    <w:lvl w:ilvl="0" w:tplc="FB8608EA">
      <w:start w:val="1"/>
      <w:numFmt w:val="bullet"/>
      <w:lvlText w:val="•"/>
      <w:lvlJc w:val="left"/>
      <w:pPr>
        <w:ind w:left="720" w:hanging="360"/>
      </w:pPr>
    </w:lvl>
    <w:lvl w:ilvl="1" w:tplc="74FC4A3A">
      <w:numFmt w:val="decimal"/>
      <w:lvlText w:val=""/>
      <w:lvlJc w:val="left"/>
    </w:lvl>
    <w:lvl w:ilvl="2" w:tplc="E0CA35CC">
      <w:numFmt w:val="decimal"/>
      <w:lvlText w:val=""/>
      <w:lvlJc w:val="left"/>
    </w:lvl>
    <w:lvl w:ilvl="3" w:tplc="3AE0F574">
      <w:numFmt w:val="decimal"/>
      <w:lvlText w:val=""/>
      <w:lvlJc w:val="left"/>
    </w:lvl>
    <w:lvl w:ilvl="4" w:tplc="FF5C2136">
      <w:numFmt w:val="decimal"/>
      <w:lvlText w:val=""/>
      <w:lvlJc w:val="left"/>
    </w:lvl>
    <w:lvl w:ilvl="5" w:tplc="734217A2">
      <w:numFmt w:val="decimal"/>
      <w:lvlText w:val=""/>
      <w:lvlJc w:val="left"/>
    </w:lvl>
    <w:lvl w:ilvl="6" w:tplc="FA285A7C">
      <w:numFmt w:val="decimal"/>
      <w:lvlText w:val=""/>
      <w:lvlJc w:val="left"/>
    </w:lvl>
    <w:lvl w:ilvl="7" w:tplc="E25474E4">
      <w:numFmt w:val="decimal"/>
      <w:lvlText w:val=""/>
      <w:lvlJc w:val="left"/>
    </w:lvl>
    <w:lvl w:ilvl="8" w:tplc="AEE4CC26">
      <w:numFmt w:val="decimal"/>
      <w:lvlText w:val=""/>
      <w:lvlJc w:val="left"/>
    </w:lvl>
  </w:abstractNum>
  <w:abstractNum w:abstractNumId="41" w15:restartNumberingAfterBreak="0">
    <w:nsid w:val="647C23A8"/>
    <w:multiLevelType w:val="hybridMultilevel"/>
    <w:tmpl w:val="2A50A6A0"/>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64D16824"/>
    <w:multiLevelType w:val="hybridMultilevel"/>
    <w:tmpl w:val="1A8480F0"/>
    <w:lvl w:ilvl="0" w:tplc="3A5C30DE">
      <w:start w:val="1"/>
      <w:numFmt w:val="low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6EEBD7E7"/>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4" w15:restartNumberingAfterBreak="0">
    <w:nsid w:val="734B7D4A"/>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5" w15:restartNumberingAfterBreak="0">
    <w:nsid w:val="74A25FD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6" w15:restartNumberingAfterBreak="0">
    <w:nsid w:val="7A8636E7"/>
    <w:multiLevelType w:val="hybridMultilevel"/>
    <w:tmpl w:val="026EB60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7" w15:restartNumberingAfterBreak="0">
    <w:nsid w:val="7D2D0499"/>
    <w:multiLevelType w:val="hybridMultilevel"/>
    <w:tmpl w:val="1502575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8" w15:restartNumberingAfterBreak="0">
    <w:nsid w:val="7FC743C9"/>
    <w:multiLevelType w:val="hybridMultilevel"/>
    <w:tmpl w:val="962A5B9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402607804">
    <w:abstractNumId w:val="26"/>
  </w:num>
  <w:num w:numId="2" w16cid:durableId="693266890">
    <w:abstractNumId w:val="27"/>
  </w:num>
  <w:num w:numId="3" w16cid:durableId="486825460">
    <w:abstractNumId w:val="16"/>
  </w:num>
  <w:num w:numId="4" w16cid:durableId="1702047356">
    <w:abstractNumId w:val="10"/>
  </w:num>
  <w:num w:numId="5" w16cid:durableId="788625027">
    <w:abstractNumId w:val="31"/>
  </w:num>
  <w:num w:numId="6" w16cid:durableId="285355750">
    <w:abstractNumId w:val="46"/>
  </w:num>
  <w:num w:numId="7" w16cid:durableId="1748304413">
    <w:abstractNumId w:val="29"/>
  </w:num>
  <w:num w:numId="8" w16cid:durableId="1826897107">
    <w:abstractNumId w:val="22"/>
  </w:num>
  <w:num w:numId="9" w16cid:durableId="1629358306">
    <w:abstractNumId w:val="37"/>
  </w:num>
  <w:num w:numId="10" w16cid:durableId="339431831">
    <w:abstractNumId w:val="44"/>
  </w:num>
  <w:num w:numId="11" w16cid:durableId="658074972">
    <w:abstractNumId w:val="5"/>
  </w:num>
  <w:num w:numId="12" w16cid:durableId="1393961219">
    <w:abstractNumId w:val="3"/>
  </w:num>
  <w:num w:numId="13" w16cid:durableId="123431472">
    <w:abstractNumId w:val="9"/>
  </w:num>
  <w:num w:numId="14" w16cid:durableId="996147364">
    <w:abstractNumId w:val="24"/>
  </w:num>
  <w:num w:numId="15" w16cid:durableId="133836508">
    <w:abstractNumId w:val="35"/>
  </w:num>
  <w:num w:numId="16" w16cid:durableId="1926182908">
    <w:abstractNumId w:val="33"/>
  </w:num>
  <w:num w:numId="17" w16cid:durableId="987437981">
    <w:abstractNumId w:val="42"/>
  </w:num>
  <w:num w:numId="18" w16cid:durableId="586964145">
    <w:abstractNumId w:val="19"/>
  </w:num>
  <w:num w:numId="19" w16cid:durableId="987980292">
    <w:abstractNumId w:val="43"/>
  </w:num>
  <w:num w:numId="20" w16cid:durableId="95297640">
    <w:abstractNumId w:val="18"/>
  </w:num>
  <w:num w:numId="21" w16cid:durableId="1122964175">
    <w:abstractNumId w:val="20"/>
  </w:num>
  <w:num w:numId="22" w16cid:durableId="1912344963">
    <w:abstractNumId w:val="41"/>
  </w:num>
  <w:num w:numId="23" w16cid:durableId="1153330763">
    <w:abstractNumId w:val="28"/>
  </w:num>
  <w:num w:numId="24" w16cid:durableId="435098919">
    <w:abstractNumId w:val="34"/>
  </w:num>
  <w:num w:numId="25" w16cid:durableId="1200237544">
    <w:abstractNumId w:val="17"/>
  </w:num>
  <w:num w:numId="26" w16cid:durableId="399787702">
    <w:abstractNumId w:val="47"/>
  </w:num>
  <w:num w:numId="27" w16cid:durableId="321128346">
    <w:abstractNumId w:val="38"/>
  </w:num>
  <w:num w:numId="28" w16cid:durableId="1608728745">
    <w:abstractNumId w:val="30"/>
  </w:num>
  <w:num w:numId="29" w16cid:durableId="277642009">
    <w:abstractNumId w:val="1"/>
  </w:num>
  <w:num w:numId="30" w16cid:durableId="1713189531">
    <w:abstractNumId w:val="23"/>
  </w:num>
  <w:num w:numId="31" w16cid:durableId="1299412983">
    <w:abstractNumId w:val="7"/>
  </w:num>
  <w:num w:numId="32" w16cid:durableId="1073821387">
    <w:abstractNumId w:val="11"/>
  </w:num>
  <w:num w:numId="33" w16cid:durableId="53895780">
    <w:abstractNumId w:val="8"/>
  </w:num>
  <w:num w:numId="34" w16cid:durableId="1429697658">
    <w:abstractNumId w:val="2"/>
  </w:num>
  <w:num w:numId="35" w16cid:durableId="8222339">
    <w:abstractNumId w:val="32"/>
  </w:num>
  <w:num w:numId="36" w16cid:durableId="1121924458">
    <w:abstractNumId w:val="6"/>
  </w:num>
  <w:num w:numId="37" w16cid:durableId="1846091579">
    <w:abstractNumId w:val="0"/>
  </w:num>
  <w:num w:numId="38" w16cid:durableId="1258557702">
    <w:abstractNumId w:val="39"/>
  </w:num>
  <w:num w:numId="39" w16cid:durableId="384137076">
    <w:abstractNumId w:val="45"/>
  </w:num>
  <w:num w:numId="40" w16cid:durableId="50424065">
    <w:abstractNumId w:val="4"/>
  </w:num>
  <w:num w:numId="41" w16cid:durableId="607390270">
    <w:abstractNumId w:val="21"/>
  </w:num>
  <w:num w:numId="42" w16cid:durableId="261619787">
    <w:abstractNumId w:val="36"/>
  </w:num>
  <w:num w:numId="43" w16cid:durableId="332883511">
    <w:abstractNumId w:val="14"/>
  </w:num>
  <w:num w:numId="44" w16cid:durableId="787817044">
    <w:abstractNumId w:val="15"/>
  </w:num>
  <w:num w:numId="45" w16cid:durableId="34817331">
    <w:abstractNumId w:val="48"/>
  </w:num>
  <w:num w:numId="46" w16cid:durableId="1764375370">
    <w:abstractNumId w:val="12"/>
  </w:num>
  <w:num w:numId="47" w16cid:durableId="1539271709">
    <w:abstractNumId w:val="25"/>
    <w:lvlOverride w:ilvl="0">
      <w:startOverride w:val="1"/>
    </w:lvlOverride>
  </w:num>
  <w:num w:numId="48" w16cid:durableId="1035228000">
    <w:abstractNumId w:val="40"/>
    <w:lvlOverride w:ilvl="0">
      <w:startOverride w:val="1"/>
    </w:lvlOverride>
  </w:num>
  <w:num w:numId="49" w16cid:durableId="622462447">
    <w:abstractNumId w:val="1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68DC"/>
    <w:rsid w:val="000014E3"/>
    <w:rsid w:val="00002A6D"/>
    <w:rsid w:val="00005439"/>
    <w:rsid w:val="00005DA2"/>
    <w:rsid w:val="00012C61"/>
    <w:rsid w:val="00012DA4"/>
    <w:rsid w:val="000218FC"/>
    <w:rsid w:val="00024642"/>
    <w:rsid w:val="000248F8"/>
    <w:rsid w:val="000346C5"/>
    <w:rsid w:val="00042E46"/>
    <w:rsid w:val="00043D2A"/>
    <w:rsid w:val="000458B6"/>
    <w:rsid w:val="000533D3"/>
    <w:rsid w:val="0005424F"/>
    <w:rsid w:val="00054335"/>
    <w:rsid w:val="00054ACB"/>
    <w:rsid w:val="00055AE4"/>
    <w:rsid w:val="00055C46"/>
    <w:rsid w:val="00057B0F"/>
    <w:rsid w:val="00060802"/>
    <w:rsid w:val="0006198F"/>
    <w:rsid w:val="00063234"/>
    <w:rsid w:val="0006407D"/>
    <w:rsid w:val="00065B48"/>
    <w:rsid w:val="00066F1D"/>
    <w:rsid w:val="00071900"/>
    <w:rsid w:val="00071B7E"/>
    <w:rsid w:val="000932E0"/>
    <w:rsid w:val="0009446D"/>
    <w:rsid w:val="000A35BD"/>
    <w:rsid w:val="000A3800"/>
    <w:rsid w:val="000A5107"/>
    <w:rsid w:val="000A572A"/>
    <w:rsid w:val="000A5757"/>
    <w:rsid w:val="000A609C"/>
    <w:rsid w:val="000A6A82"/>
    <w:rsid w:val="000A6BD8"/>
    <w:rsid w:val="000B2D5E"/>
    <w:rsid w:val="000B5811"/>
    <w:rsid w:val="000C008C"/>
    <w:rsid w:val="000C2C34"/>
    <w:rsid w:val="000C372D"/>
    <w:rsid w:val="000C3EE7"/>
    <w:rsid w:val="000C41A5"/>
    <w:rsid w:val="000C54A4"/>
    <w:rsid w:val="000D2178"/>
    <w:rsid w:val="000D338C"/>
    <w:rsid w:val="000D37C4"/>
    <w:rsid w:val="000E1145"/>
    <w:rsid w:val="000E1A98"/>
    <w:rsid w:val="000E4262"/>
    <w:rsid w:val="000E57D9"/>
    <w:rsid w:val="000E7B3A"/>
    <w:rsid w:val="000F0126"/>
    <w:rsid w:val="000F1717"/>
    <w:rsid w:val="000F201D"/>
    <w:rsid w:val="000F29A1"/>
    <w:rsid w:val="000F7093"/>
    <w:rsid w:val="001041B5"/>
    <w:rsid w:val="00105F85"/>
    <w:rsid w:val="00113911"/>
    <w:rsid w:val="0011491F"/>
    <w:rsid w:val="00116297"/>
    <w:rsid w:val="00117517"/>
    <w:rsid w:val="001211E5"/>
    <w:rsid w:val="00122363"/>
    <w:rsid w:val="00122F63"/>
    <w:rsid w:val="00124C82"/>
    <w:rsid w:val="0012586D"/>
    <w:rsid w:val="00130D7F"/>
    <w:rsid w:val="00131763"/>
    <w:rsid w:val="00133FF9"/>
    <w:rsid w:val="00134EFE"/>
    <w:rsid w:val="00136575"/>
    <w:rsid w:val="001373AC"/>
    <w:rsid w:val="00145D3F"/>
    <w:rsid w:val="001502DE"/>
    <w:rsid w:val="0015087F"/>
    <w:rsid w:val="00152AE3"/>
    <w:rsid w:val="00152DA4"/>
    <w:rsid w:val="00152E27"/>
    <w:rsid w:val="00154198"/>
    <w:rsid w:val="001541F0"/>
    <w:rsid w:val="00155004"/>
    <w:rsid w:val="0015618A"/>
    <w:rsid w:val="0016008F"/>
    <w:rsid w:val="0016591B"/>
    <w:rsid w:val="00166B4E"/>
    <w:rsid w:val="00167464"/>
    <w:rsid w:val="001705EE"/>
    <w:rsid w:val="00171483"/>
    <w:rsid w:val="00175894"/>
    <w:rsid w:val="001776F9"/>
    <w:rsid w:val="001830E1"/>
    <w:rsid w:val="0018490B"/>
    <w:rsid w:val="00186475"/>
    <w:rsid w:val="001907E5"/>
    <w:rsid w:val="00190C56"/>
    <w:rsid w:val="00193A5C"/>
    <w:rsid w:val="001A1855"/>
    <w:rsid w:val="001A3F8E"/>
    <w:rsid w:val="001B0C31"/>
    <w:rsid w:val="001B52A2"/>
    <w:rsid w:val="001B5613"/>
    <w:rsid w:val="001B58D3"/>
    <w:rsid w:val="001B6572"/>
    <w:rsid w:val="001B7150"/>
    <w:rsid w:val="001C2E99"/>
    <w:rsid w:val="001C6AE5"/>
    <w:rsid w:val="001D057B"/>
    <w:rsid w:val="001D17AE"/>
    <w:rsid w:val="001D1D3D"/>
    <w:rsid w:val="001D24B1"/>
    <w:rsid w:val="001D2C9B"/>
    <w:rsid w:val="001D6F3C"/>
    <w:rsid w:val="001E0C6F"/>
    <w:rsid w:val="001E2175"/>
    <w:rsid w:val="001E3463"/>
    <w:rsid w:val="001E788A"/>
    <w:rsid w:val="001F2A0D"/>
    <w:rsid w:val="001F4FDB"/>
    <w:rsid w:val="001F7923"/>
    <w:rsid w:val="00201E41"/>
    <w:rsid w:val="00201E71"/>
    <w:rsid w:val="002026AA"/>
    <w:rsid w:val="00202AEF"/>
    <w:rsid w:val="0020377E"/>
    <w:rsid w:val="00205F67"/>
    <w:rsid w:val="00205FEA"/>
    <w:rsid w:val="002107EA"/>
    <w:rsid w:val="00212CA6"/>
    <w:rsid w:val="00213DD8"/>
    <w:rsid w:val="00215D48"/>
    <w:rsid w:val="00216987"/>
    <w:rsid w:val="00221755"/>
    <w:rsid w:val="002223D8"/>
    <w:rsid w:val="00230449"/>
    <w:rsid w:val="00231FAF"/>
    <w:rsid w:val="002334BE"/>
    <w:rsid w:val="0023374D"/>
    <w:rsid w:val="00233A04"/>
    <w:rsid w:val="00234FB2"/>
    <w:rsid w:val="00237F1A"/>
    <w:rsid w:val="00241796"/>
    <w:rsid w:val="00245E91"/>
    <w:rsid w:val="00250910"/>
    <w:rsid w:val="00253560"/>
    <w:rsid w:val="00254089"/>
    <w:rsid w:val="00257199"/>
    <w:rsid w:val="0026060D"/>
    <w:rsid w:val="00263D9A"/>
    <w:rsid w:val="00267038"/>
    <w:rsid w:val="0027045F"/>
    <w:rsid w:val="00272612"/>
    <w:rsid w:val="00280BA8"/>
    <w:rsid w:val="00281A04"/>
    <w:rsid w:val="002825E3"/>
    <w:rsid w:val="0028571D"/>
    <w:rsid w:val="00286254"/>
    <w:rsid w:val="00287089"/>
    <w:rsid w:val="002874C5"/>
    <w:rsid w:val="0028781B"/>
    <w:rsid w:val="00292985"/>
    <w:rsid w:val="00292E5D"/>
    <w:rsid w:val="002971F9"/>
    <w:rsid w:val="00297702"/>
    <w:rsid w:val="002A1A70"/>
    <w:rsid w:val="002A4133"/>
    <w:rsid w:val="002B0233"/>
    <w:rsid w:val="002B3214"/>
    <w:rsid w:val="002B3F9E"/>
    <w:rsid w:val="002B650E"/>
    <w:rsid w:val="002B6676"/>
    <w:rsid w:val="002C3E97"/>
    <w:rsid w:val="002C4184"/>
    <w:rsid w:val="002C5A17"/>
    <w:rsid w:val="002C5F97"/>
    <w:rsid w:val="002C7E55"/>
    <w:rsid w:val="002D5259"/>
    <w:rsid w:val="002D6BAE"/>
    <w:rsid w:val="002E0916"/>
    <w:rsid w:val="002E1EDA"/>
    <w:rsid w:val="002E2AAB"/>
    <w:rsid w:val="002E339C"/>
    <w:rsid w:val="002E5C78"/>
    <w:rsid w:val="002F0E85"/>
    <w:rsid w:val="002F3887"/>
    <w:rsid w:val="002F3B2D"/>
    <w:rsid w:val="002F3EC3"/>
    <w:rsid w:val="002F4861"/>
    <w:rsid w:val="003019B6"/>
    <w:rsid w:val="00303986"/>
    <w:rsid w:val="00307DBD"/>
    <w:rsid w:val="003125E3"/>
    <w:rsid w:val="00312BD8"/>
    <w:rsid w:val="003144AC"/>
    <w:rsid w:val="00314E34"/>
    <w:rsid w:val="0031781F"/>
    <w:rsid w:val="00317BBD"/>
    <w:rsid w:val="00321B11"/>
    <w:rsid w:val="00323A20"/>
    <w:rsid w:val="00323D4A"/>
    <w:rsid w:val="00324FB3"/>
    <w:rsid w:val="00331033"/>
    <w:rsid w:val="00331368"/>
    <w:rsid w:val="0033466C"/>
    <w:rsid w:val="003348A1"/>
    <w:rsid w:val="00337AAE"/>
    <w:rsid w:val="00340BF4"/>
    <w:rsid w:val="00340C54"/>
    <w:rsid w:val="0034640A"/>
    <w:rsid w:val="00347DB9"/>
    <w:rsid w:val="00352CCF"/>
    <w:rsid w:val="003576B9"/>
    <w:rsid w:val="003615DE"/>
    <w:rsid w:val="003654F8"/>
    <w:rsid w:val="00365D40"/>
    <w:rsid w:val="00366217"/>
    <w:rsid w:val="00367430"/>
    <w:rsid w:val="00370D21"/>
    <w:rsid w:val="003729C4"/>
    <w:rsid w:val="00373293"/>
    <w:rsid w:val="003759A0"/>
    <w:rsid w:val="00376D1C"/>
    <w:rsid w:val="00380A21"/>
    <w:rsid w:val="003812B6"/>
    <w:rsid w:val="00385FBC"/>
    <w:rsid w:val="00386E71"/>
    <w:rsid w:val="0038714F"/>
    <w:rsid w:val="00392D4F"/>
    <w:rsid w:val="00393141"/>
    <w:rsid w:val="003933FC"/>
    <w:rsid w:val="003947CB"/>
    <w:rsid w:val="00396FB6"/>
    <w:rsid w:val="003A0B2D"/>
    <w:rsid w:val="003A2113"/>
    <w:rsid w:val="003A331C"/>
    <w:rsid w:val="003B3B9B"/>
    <w:rsid w:val="003B7C20"/>
    <w:rsid w:val="003C0745"/>
    <w:rsid w:val="003C276C"/>
    <w:rsid w:val="003C3F3A"/>
    <w:rsid w:val="003C4675"/>
    <w:rsid w:val="003D0A7E"/>
    <w:rsid w:val="003D16E3"/>
    <w:rsid w:val="003D2B5F"/>
    <w:rsid w:val="003D382C"/>
    <w:rsid w:val="003D450D"/>
    <w:rsid w:val="003D79D1"/>
    <w:rsid w:val="003E00B2"/>
    <w:rsid w:val="003E63BC"/>
    <w:rsid w:val="003F12B7"/>
    <w:rsid w:val="003F30EE"/>
    <w:rsid w:val="003F385E"/>
    <w:rsid w:val="003F4DCF"/>
    <w:rsid w:val="003F7364"/>
    <w:rsid w:val="003F7A6A"/>
    <w:rsid w:val="0040185D"/>
    <w:rsid w:val="004025B9"/>
    <w:rsid w:val="00405D22"/>
    <w:rsid w:val="0041075C"/>
    <w:rsid w:val="004112DA"/>
    <w:rsid w:val="00411E63"/>
    <w:rsid w:val="00411EDD"/>
    <w:rsid w:val="00412243"/>
    <w:rsid w:val="00414A8F"/>
    <w:rsid w:val="00415BF6"/>
    <w:rsid w:val="00426336"/>
    <w:rsid w:val="00426A11"/>
    <w:rsid w:val="0043051F"/>
    <w:rsid w:val="004311E9"/>
    <w:rsid w:val="00431B19"/>
    <w:rsid w:val="00442803"/>
    <w:rsid w:val="00442B7E"/>
    <w:rsid w:val="00444539"/>
    <w:rsid w:val="004448FB"/>
    <w:rsid w:val="00445A45"/>
    <w:rsid w:val="00447DD9"/>
    <w:rsid w:val="00451AFA"/>
    <w:rsid w:val="00454B92"/>
    <w:rsid w:val="00455BCA"/>
    <w:rsid w:val="00457D5B"/>
    <w:rsid w:val="004607AF"/>
    <w:rsid w:val="0046216E"/>
    <w:rsid w:val="00462518"/>
    <w:rsid w:val="004635CF"/>
    <w:rsid w:val="00467454"/>
    <w:rsid w:val="00471B1F"/>
    <w:rsid w:val="004746C2"/>
    <w:rsid w:val="00476630"/>
    <w:rsid w:val="00480900"/>
    <w:rsid w:val="0048273D"/>
    <w:rsid w:val="00485784"/>
    <w:rsid w:val="00490433"/>
    <w:rsid w:val="004911C3"/>
    <w:rsid w:val="004916E8"/>
    <w:rsid w:val="0049218B"/>
    <w:rsid w:val="00496D07"/>
    <w:rsid w:val="004A0131"/>
    <w:rsid w:val="004A0496"/>
    <w:rsid w:val="004A081D"/>
    <w:rsid w:val="004A1713"/>
    <w:rsid w:val="004A40AC"/>
    <w:rsid w:val="004A4572"/>
    <w:rsid w:val="004A5925"/>
    <w:rsid w:val="004A6B3E"/>
    <w:rsid w:val="004A6BAE"/>
    <w:rsid w:val="004A6DCD"/>
    <w:rsid w:val="004B1BB2"/>
    <w:rsid w:val="004B41BD"/>
    <w:rsid w:val="004B6BF8"/>
    <w:rsid w:val="004C0FC1"/>
    <w:rsid w:val="004C1672"/>
    <w:rsid w:val="004C73E3"/>
    <w:rsid w:val="004D19CD"/>
    <w:rsid w:val="004D5543"/>
    <w:rsid w:val="004E285D"/>
    <w:rsid w:val="004E29C7"/>
    <w:rsid w:val="004E365F"/>
    <w:rsid w:val="004E4797"/>
    <w:rsid w:val="004E66D4"/>
    <w:rsid w:val="004E6C56"/>
    <w:rsid w:val="004E758C"/>
    <w:rsid w:val="004F049A"/>
    <w:rsid w:val="004F190C"/>
    <w:rsid w:val="004F2148"/>
    <w:rsid w:val="004F3355"/>
    <w:rsid w:val="004F3E9A"/>
    <w:rsid w:val="00500A48"/>
    <w:rsid w:val="00500AEE"/>
    <w:rsid w:val="00504CD3"/>
    <w:rsid w:val="00505763"/>
    <w:rsid w:val="0051350E"/>
    <w:rsid w:val="00514AE6"/>
    <w:rsid w:val="00515031"/>
    <w:rsid w:val="00517AD8"/>
    <w:rsid w:val="00524B54"/>
    <w:rsid w:val="00524DA2"/>
    <w:rsid w:val="00524F36"/>
    <w:rsid w:val="00530BDF"/>
    <w:rsid w:val="00533FE2"/>
    <w:rsid w:val="00534C27"/>
    <w:rsid w:val="005365D1"/>
    <w:rsid w:val="005411E1"/>
    <w:rsid w:val="00544E93"/>
    <w:rsid w:val="00545FF0"/>
    <w:rsid w:val="0054641A"/>
    <w:rsid w:val="00551F31"/>
    <w:rsid w:val="00557778"/>
    <w:rsid w:val="00562582"/>
    <w:rsid w:val="00571C02"/>
    <w:rsid w:val="005816BA"/>
    <w:rsid w:val="005838CD"/>
    <w:rsid w:val="00583CBD"/>
    <w:rsid w:val="00585DCC"/>
    <w:rsid w:val="0059049B"/>
    <w:rsid w:val="0059458A"/>
    <w:rsid w:val="00596FEC"/>
    <w:rsid w:val="00597E73"/>
    <w:rsid w:val="005A59FD"/>
    <w:rsid w:val="005B0928"/>
    <w:rsid w:val="005B1A3F"/>
    <w:rsid w:val="005B4F89"/>
    <w:rsid w:val="005B7959"/>
    <w:rsid w:val="005C3747"/>
    <w:rsid w:val="005C43BE"/>
    <w:rsid w:val="005C4A59"/>
    <w:rsid w:val="005C5508"/>
    <w:rsid w:val="005C6A1D"/>
    <w:rsid w:val="005C6B05"/>
    <w:rsid w:val="005D1305"/>
    <w:rsid w:val="005D2FAF"/>
    <w:rsid w:val="005D353D"/>
    <w:rsid w:val="005D5AB9"/>
    <w:rsid w:val="005D777A"/>
    <w:rsid w:val="005E57CD"/>
    <w:rsid w:val="005E5CA8"/>
    <w:rsid w:val="005E6920"/>
    <w:rsid w:val="005F13A5"/>
    <w:rsid w:val="005F27BB"/>
    <w:rsid w:val="005F33F6"/>
    <w:rsid w:val="005F67D1"/>
    <w:rsid w:val="005F6DB8"/>
    <w:rsid w:val="006051B3"/>
    <w:rsid w:val="006110AF"/>
    <w:rsid w:val="00611AD8"/>
    <w:rsid w:val="006137D5"/>
    <w:rsid w:val="006139C6"/>
    <w:rsid w:val="00613EAA"/>
    <w:rsid w:val="00616F29"/>
    <w:rsid w:val="00617836"/>
    <w:rsid w:val="00617CEC"/>
    <w:rsid w:val="00622196"/>
    <w:rsid w:val="00624DBB"/>
    <w:rsid w:val="006268FC"/>
    <w:rsid w:val="00627B9E"/>
    <w:rsid w:val="00633B82"/>
    <w:rsid w:val="006371BD"/>
    <w:rsid w:val="00641E07"/>
    <w:rsid w:val="00642E6B"/>
    <w:rsid w:val="00644486"/>
    <w:rsid w:val="0064646B"/>
    <w:rsid w:val="00647D01"/>
    <w:rsid w:val="006504C1"/>
    <w:rsid w:val="00651671"/>
    <w:rsid w:val="00652173"/>
    <w:rsid w:val="00654A54"/>
    <w:rsid w:val="00654A8E"/>
    <w:rsid w:val="00660FC2"/>
    <w:rsid w:val="006630B2"/>
    <w:rsid w:val="00663521"/>
    <w:rsid w:val="006643A1"/>
    <w:rsid w:val="006650D6"/>
    <w:rsid w:val="006663E0"/>
    <w:rsid w:val="006713B1"/>
    <w:rsid w:val="00672716"/>
    <w:rsid w:val="0067360C"/>
    <w:rsid w:val="006754B1"/>
    <w:rsid w:val="00675557"/>
    <w:rsid w:val="006768D0"/>
    <w:rsid w:val="00680CDC"/>
    <w:rsid w:val="00682304"/>
    <w:rsid w:val="00683662"/>
    <w:rsid w:val="00687E09"/>
    <w:rsid w:val="00692473"/>
    <w:rsid w:val="00692C82"/>
    <w:rsid w:val="0069542C"/>
    <w:rsid w:val="006A125E"/>
    <w:rsid w:val="006A4EB4"/>
    <w:rsid w:val="006A632B"/>
    <w:rsid w:val="006A6AC6"/>
    <w:rsid w:val="006B01C2"/>
    <w:rsid w:val="006B6BEE"/>
    <w:rsid w:val="006C03D4"/>
    <w:rsid w:val="006C1E6B"/>
    <w:rsid w:val="006C4748"/>
    <w:rsid w:val="006C4C8C"/>
    <w:rsid w:val="006C515A"/>
    <w:rsid w:val="006C5193"/>
    <w:rsid w:val="006C69E2"/>
    <w:rsid w:val="006C6FED"/>
    <w:rsid w:val="006C7F54"/>
    <w:rsid w:val="006D01C4"/>
    <w:rsid w:val="006D6A13"/>
    <w:rsid w:val="006D7C1E"/>
    <w:rsid w:val="006E407D"/>
    <w:rsid w:val="006E4145"/>
    <w:rsid w:val="006F019A"/>
    <w:rsid w:val="006F0EC3"/>
    <w:rsid w:val="006F1201"/>
    <w:rsid w:val="006F4286"/>
    <w:rsid w:val="0070328D"/>
    <w:rsid w:val="00706BAD"/>
    <w:rsid w:val="00710E78"/>
    <w:rsid w:val="00716016"/>
    <w:rsid w:val="0071647D"/>
    <w:rsid w:val="00717AD5"/>
    <w:rsid w:val="00721CA4"/>
    <w:rsid w:val="00724B66"/>
    <w:rsid w:val="00725E96"/>
    <w:rsid w:val="00725FA4"/>
    <w:rsid w:val="00727D87"/>
    <w:rsid w:val="0073489E"/>
    <w:rsid w:val="007353BA"/>
    <w:rsid w:val="007359C2"/>
    <w:rsid w:val="00740600"/>
    <w:rsid w:val="00743D78"/>
    <w:rsid w:val="007451A0"/>
    <w:rsid w:val="007529C0"/>
    <w:rsid w:val="00753D99"/>
    <w:rsid w:val="007541C6"/>
    <w:rsid w:val="00757828"/>
    <w:rsid w:val="007614FD"/>
    <w:rsid w:val="0076164F"/>
    <w:rsid w:val="00763B32"/>
    <w:rsid w:val="00763CEF"/>
    <w:rsid w:val="00765422"/>
    <w:rsid w:val="007675BA"/>
    <w:rsid w:val="007705CF"/>
    <w:rsid w:val="00771983"/>
    <w:rsid w:val="00774BE8"/>
    <w:rsid w:val="007758AF"/>
    <w:rsid w:val="0077624C"/>
    <w:rsid w:val="00776603"/>
    <w:rsid w:val="007804A1"/>
    <w:rsid w:val="00781E27"/>
    <w:rsid w:val="00785714"/>
    <w:rsid w:val="00791252"/>
    <w:rsid w:val="00791C94"/>
    <w:rsid w:val="0079445A"/>
    <w:rsid w:val="007950F6"/>
    <w:rsid w:val="00796940"/>
    <w:rsid w:val="007A0792"/>
    <w:rsid w:val="007A465B"/>
    <w:rsid w:val="007A62E6"/>
    <w:rsid w:val="007A688E"/>
    <w:rsid w:val="007B0C5D"/>
    <w:rsid w:val="007B0F1D"/>
    <w:rsid w:val="007B1A02"/>
    <w:rsid w:val="007B2D8F"/>
    <w:rsid w:val="007B3B96"/>
    <w:rsid w:val="007C161B"/>
    <w:rsid w:val="007C6F43"/>
    <w:rsid w:val="007D2702"/>
    <w:rsid w:val="007D3154"/>
    <w:rsid w:val="007D5734"/>
    <w:rsid w:val="007D6522"/>
    <w:rsid w:val="007D6CA4"/>
    <w:rsid w:val="007E182A"/>
    <w:rsid w:val="007E5B75"/>
    <w:rsid w:val="007E6C5B"/>
    <w:rsid w:val="007F0CD2"/>
    <w:rsid w:val="007F2208"/>
    <w:rsid w:val="007F300F"/>
    <w:rsid w:val="007F534F"/>
    <w:rsid w:val="00802260"/>
    <w:rsid w:val="00806454"/>
    <w:rsid w:val="00807D91"/>
    <w:rsid w:val="00814E41"/>
    <w:rsid w:val="008158BD"/>
    <w:rsid w:val="008228F5"/>
    <w:rsid w:val="008230E9"/>
    <w:rsid w:val="00827D40"/>
    <w:rsid w:val="00830349"/>
    <w:rsid w:val="00830696"/>
    <w:rsid w:val="00843A46"/>
    <w:rsid w:val="00846E3F"/>
    <w:rsid w:val="0085165C"/>
    <w:rsid w:val="008517D9"/>
    <w:rsid w:val="00852313"/>
    <w:rsid w:val="008533A6"/>
    <w:rsid w:val="00857E48"/>
    <w:rsid w:val="00861473"/>
    <w:rsid w:val="00861EA5"/>
    <w:rsid w:val="008625A6"/>
    <w:rsid w:val="00863194"/>
    <w:rsid w:val="008648D5"/>
    <w:rsid w:val="00866DDC"/>
    <w:rsid w:val="00873C35"/>
    <w:rsid w:val="008755F2"/>
    <w:rsid w:val="00876274"/>
    <w:rsid w:val="0087719F"/>
    <w:rsid w:val="00880B7B"/>
    <w:rsid w:val="00885070"/>
    <w:rsid w:val="0088556F"/>
    <w:rsid w:val="00885B0B"/>
    <w:rsid w:val="00886149"/>
    <w:rsid w:val="0089687F"/>
    <w:rsid w:val="00897313"/>
    <w:rsid w:val="008A070E"/>
    <w:rsid w:val="008A0C41"/>
    <w:rsid w:val="008A1A0F"/>
    <w:rsid w:val="008A1F56"/>
    <w:rsid w:val="008A4DF5"/>
    <w:rsid w:val="008A5836"/>
    <w:rsid w:val="008A60A0"/>
    <w:rsid w:val="008B0580"/>
    <w:rsid w:val="008B0854"/>
    <w:rsid w:val="008B0871"/>
    <w:rsid w:val="008B205D"/>
    <w:rsid w:val="008B240E"/>
    <w:rsid w:val="008B31DB"/>
    <w:rsid w:val="008C6D30"/>
    <w:rsid w:val="008C7970"/>
    <w:rsid w:val="008C79F3"/>
    <w:rsid w:val="008D349F"/>
    <w:rsid w:val="008D55F4"/>
    <w:rsid w:val="008D621D"/>
    <w:rsid w:val="008E1479"/>
    <w:rsid w:val="008E1BA5"/>
    <w:rsid w:val="008F0D63"/>
    <w:rsid w:val="008F12E4"/>
    <w:rsid w:val="008F3A8D"/>
    <w:rsid w:val="008F3B4D"/>
    <w:rsid w:val="008F70FE"/>
    <w:rsid w:val="008F77D8"/>
    <w:rsid w:val="008F7A54"/>
    <w:rsid w:val="008F7D13"/>
    <w:rsid w:val="00902178"/>
    <w:rsid w:val="00902D07"/>
    <w:rsid w:val="00905DB3"/>
    <w:rsid w:val="00907B63"/>
    <w:rsid w:val="009123FC"/>
    <w:rsid w:val="00916456"/>
    <w:rsid w:val="0092356B"/>
    <w:rsid w:val="0092463D"/>
    <w:rsid w:val="00930168"/>
    <w:rsid w:val="00931BF8"/>
    <w:rsid w:val="0093210E"/>
    <w:rsid w:val="009325F9"/>
    <w:rsid w:val="00932BA9"/>
    <w:rsid w:val="00933C84"/>
    <w:rsid w:val="00934979"/>
    <w:rsid w:val="00935171"/>
    <w:rsid w:val="0093606B"/>
    <w:rsid w:val="009369E1"/>
    <w:rsid w:val="009376E9"/>
    <w:rsid w:val="009428D9"/>
    <w:rsid w:val="00943EBD"/>
    <w:rsid w:val="009453BD"/>
    <w:rsid w:val="0094553E"/>
    <w:rsid w:val="009512D0"/>
    <w:rsid w:val="00951585"/>
    <w:rsid w:val="00953971"/>
    <w:rsid w:val="00954128"/>
    <w:rsid w:val="00955591"/>
    <w:rsid w:val="0095585C"/>
    <w:rsid w:val="00957D53"/>
    <w:rsid w:val="009649AC"/>
    <w:rsid w:val="00964E34"/>
    <w:rsid w:val="009677F5"/>
    <w:rsid w:val="0097227D"/>
    <w:rsid w:val="00977C3F"/>
    <w:rsid w:val="009832CB"/>
    <w:rsid w:val="00990353"/>
    <w:rsid w:val="0099117D"/>
    <w:rsid w:val="009945A7"/>
    <w:rsid w:val="009A1E1F"/>
    <w:rsid w:val="009A24DE"/>
    <w:rsid w:val="009A492C"/>
    <w:rsid w:val="009A56B3"/>
    <w:rsid w:val="009B044C"/>
    <w:rsid w:val="009B3BF6"/>
    <w:rsid w:val="009B4401"/>
    <w:rsid w:val="009B4461"/>
    <w:rsid w:val="009B51A0"/>
    <w:rsid w:val="009B567F"/>
    <w:rsid w:val="009B7201"/>
    <w:rsid w:val="009B7BB5"/>
    <w:rsid w:val="009B7DA2"/>
    <w:rsid w:val="009C30B7"/>
    <w:rsid w:val="009C4145"/>
    <w:rsid w:val="009C5755"/>
    <w:rsid w:val="009C6F45"/>
    <w:rsid w:val="009D03F6"/>
    <w:rsid w:val="009D17CF"/>
    <w:rsid w:val="009D2287"/>
    <w:rsid w:val="009D22B4"/>
    <w:rsid w:val="009D2760"/>
    <w:rsid w:val="009D5C6D"/>
    <w:rsid w:val="009D7FF3"/>
    <w:rsid w:val="009E198C"/>
    <w:rsid w:val="009E1F83"/>
    <w:rsid w:val="009E4918"/>
    <w:rsid w:val="009E669D"/>
    <w:rsid w:val="009E67C1"/>
    <w:rsid w:val="009E6956"/>
    <w:rsid w:val="009E7EFB"/>
    <w:rsid w:val="009F2865"/>
    <w:rsid w:val="009F3AEC"/>
    <w:rsid w:val="00A0032D"/>
    <w:rsid w:val="00A01A01"/>
    <w:rsid w:val="00A02B1C"/>
    <w:rsid w:val="00A036B8"/>
    <w:rsid w:val="00A071DE"/>
    <w:rsid w:val="00A1157E"/>
    <w:rsid w:val="00A156D0"/>
    <w:rsid w:val="00A15D49"/>
    <w:rsid w:val="00A166C1"/>
    <w:rsid w:val="00A16FC2"/>
    <w:rsid w:val="00A17091"/>
    <w:rsid w:val="00A17288"/>
    <w:rsid w:val="00A25EC6"/>
    <w:rsid w:val="00A26502"/>
    <w:rsid w:val="00A27057"/>
    <w:rsid w:val="00A31F10"/>
    <w:rsid w:val="00A321B6"/>
    <w:rsid w:val="00A33A9B"/>
    <w:rsid w:val="00A42024"/>
    <w:rsid w:val="00A43E1D"/>
    <w:rsid w:val="00A52B41"/>
    <w:rsid w:val="00A52F33"/>
    <w:rsid w:val="00A54C82"/>
    <w:rsid w:val="00A603D8"/>
    <w:rsid w:val="00A6089A"/>
    <w:rsid w:val="00A614EC"/>
    <w:rsid w:val="00A61C08"/>
    <w:rsid w:val="00A62846"/>
    <w:rsid w:val="00A63AFE"/>
    <w:rsid w:val="00A656C3"/>
    <w:rsid w:val="00A721FF"/>
    <w:rsid w:val="00A72F01"/>
    <w:rsid w:val="00A73835"/>
    <w:rsid w:val="00A75AC8"/>
    <w:rsid w:val="00A81F61"/>
    <w:rsid w:val="00A83090"/>
    <w:rsid w:val="00A84AB4"/>
    <w:rsid w:val="00A852FA"/>
    <w:rsid w:val="00A8536E"/>
    <w:rsid w:val="00A86C15"/>
    <w:rsid w:val="00A908F8"/>
    <w:rsid w:val="00A94E14"/>
    <w:rsid w:val="00A95599"/>
    <w:rsid w:val="00A95F16"/>
    <w:rsid w:val="00A96561"/>
    <w:rsid w:val="00A978E1"/>
    <w:rsid w:val="00AA1350"/>
    <w:rsid w:val="00AA29F4"/>
    <w:rsid w:val="00AA4DB1"/>
    <w:rsid w:val="00AB0C7D"/>
    <w:rsid w:val="00AB0FE7"/>
    <w:rsid w:val="00AB1B46"/>
    <w:rsid w:val="00AB218D"/>
    <w:rsid w:val="00AB2966"/>
    <w:rsid w:val="00AC2F56"/>
    <w:rsid w:val="00AC390C"/>
    <w:rsid w:val="00AC6EF4"/>
    <w:rsid w:val="00AC70E2"/>
    <w:rsid w:val="00AC776A"/>
    <w:rsid w:val="00AD03A2"/>
    <w:rsid w:val="00AD044C"/>
    <w:rsid w:val="00AD4A3C"/>
    <w:rsid w:val="00AD601E"/>
    <w:rsid w:val="00AE2929"/>
    <w:rsid w:val="00AE3B75"/>
    <w:rsid w:val="00AF280B"/>
    <w:rsid w:val="00AF49C6"/>
    <w:rsid w:val="00AF775F"/>
    <w:rsid w:val="00B0048B"/>
    <w:rsid w:val="00B030D7"/>
    <w:rsid w:val="00B12267"/>
    <w:rsid w:val="00B12773"/>
    <w:rsid w:val="00B14BFC"/>
    <w:rsid w:val="00B24516"/>
    <w:rsid w:val="00B26987"/>
    <w:rsid w:val="00B30E01"/>
    <w:rsid w:val="00B32550"/>
    <w:rsid w:val="00B34979"/>
    <w:rsid w:val="00B35DDF"/>
    <w:rsid w:val="00B40824"/>
    <w:rsid w:val="00B4280B"/>
    <w:rsid w:val="00B43A5C"/>
    <w:rsid w:val="00B444F7"/>
    <w:rsid w:val="00B4590D"/>
    <w:rsid w:val="00B462F5"/>
    <w:rsid w:val="00B46EF4"/>
    <w:rsid w:val="00B50950"/>
    <w:rsid w:val="00B53971"/>
    <w:rsid w:val="00B5417A"/>
    <w:rsid w:val="00B54AF1"/>
    <w:rsid w:val="00B55217"/>
    <w:rsid w:val="00B557D4"/>
    <w:rsid w:val="00B62854"/>
    <w:rsid w:val="00B64E0F"/>
    <w:rsid w:val="00B651FD"/>
    <w:rsid w:val="00B6527C"/>
    <w:rsid w:val="00B65465"/>
    <w:rsid w:val="00B6723B"/>
    <w:rsid w:val="00B71FD1"/>
    <w:rsid w:val="00B72483"/>
    <w:rsid w:val="00B730B5"/>
    <w:rsid w:val="00B735C6"/>
    <w:rsid w:val="00B7607F"/>
    <w:rsid w:val="00B76330"/>
    <w:rsid w:val="00B76758"/>
    <w:rsid w:val="00B77F3B"/>
    <w:rsid w:val="00B825AA"/>
    <w:rsid w:val="00B8289E"/>
    <w:rsid w:val="00B83890"/>
    <w:rsid w:val="00B851DC"/>
    <w:rsid w:val="00B9640D"/>
    <w:rsid w:val="00B96723"/>
    <w:rsid w:val="00B9714B"/>
    <w:rsid w:val="00B9791F"/>
    <w:rsid w:val="00BA012E"/>
    <w:rsid w:val="00BA4387"/>
    <w:rsid w:val="00BA4578"/>
    <w:rsid w:val="00BA5708"/>
    <w:rsid w:val="00BA6C75"/>
    <w:rsid w:val="00BA7B9C"/>
    <w:rsid w:val="00BB0A7F"/>
    <w:rsid w:val="00BB526D"/>
    <w:rsid w:val="00BC4FF8"/>
    <w:rsid w:val="00BC5ABB"/>
    <w:rsid w:val="00BC707D"/>
    <w:rsid w:val="00BC7B87"/>
    <w:rsid w:val="00BD263E"/>
    <w:rsid w:val="00BD2E30"/>
    <w:rsid w:val="00BE14C1"/>
    <w:rsid w:val="00BE4453"/>
    <w:rsid w:val="00BE4CD4"/>
    <w:rsid w:val="00BE5912"/>
    <w:rsid w:val="00BE6237"/>
    <w:rsid w:val="00BE65FD"/>
    <w:rsid w:val="00BF134E"/>
    <w:rsid w:val="00BF1673"/>
    <w:rsid w:val="00BF4C94"/>
    <w:rsid w:val="00C0066F"/>
    <w:rsid w:val="00C012BE"/>
    <w:rsid w:val="00C02931"/>
    <w:rsid w:val="00C02AE5"/>
    <w:rsid w:val="00C1267D"/>
    <w:rsid w:val="00C14120"/>
    <w:rsid w:val="00C15823"/>
    <w:rsid w:val="00C20D21"/>
    <w:rsid w:val="00C225EF"/>
    <w:rsid w:val="00C228A9"/>
    <w:rsid w:val="00C2397E"/>
    <w:rsid w:val="00C24126"/>
    <w:rsid w:val="00C2703A"/>
    <w:rsid w:val="00C27B6F"/>
    <w:rsid w:val="00C328BE"/>
    <w:rsid w:val="00C33D16"/>
    <w:rsid w:val="00C33D9B"/>
    <w:rsid w:val="00C34B5B"/>
    <w:rsid w:val="00C34E5C"/>
    <w:rsid w:val="00C35E80"/>
    <w:rsid w:val="00C3602A"/>
    <w:rsid w:val="00C4015F"/>
    <w:rsid w:val="00C41F70"/>
    <w:rsid w:val="00C43423"/>
    <w:rsid w:val="00C450D2"/>
    <w:rsid w:val="00C467F6"/>
    <w:rsid w:val="00C473A5"/>
    <w:rsid w:val="00C47824"/>
    <w:rsid w:val="00C5366F"/>
    <w:rsid w:val="00C54FC4"/>
    <w:rsid w:val="00C558F6"/>
    <w:rsid w:val="00C567C5"/>
    <w:rsid w:val="00C57F8B"/>
    <w:rsid w:val="00C6394D"/>
    <w:rsid w:val="00C64244"/>
    <w:rsid w:val="00C65FA2"/>
    <w:rsid w:val="00C669AC"/>
    <w:rsid w:val="00C67FCC"/>
    <w:rsid w:val="00C7124B"/>
    <w:rsid w:val="00C729C1"/>
    <w:rsid w:val="00C72EB7"/>
    <w:rsid w:val="00C747D8"/>
    <w:rsid w:val="00C74AB3"/>
    <w:rsid w:val="00C74D34"/>
    <w:rsid w:val="00C75E27"/>
    <w:rsid w:val="00C762DB"/>
    <w:rsid w:val="00C765D1"/>
    <w:rsid w:val="00C80EAC"/>
    <w:rsid w:val="00C848F5"/>
    <w:rsid w:val="00C8684A"/>
    <w:rsid w:val="00C87516"/>
    <w:rsid w:val="00CA0293"/>
    <w:rsid w:val="00CA5B16"/>
    <w:rsid w:val="00CB4507"/>
    <w:rsid w:val="00CB466B"/>
    <w:rsid w:val="00CB6D3F"/>
    <w:rsid w:val="00CC07E9"/>
    <w:rsid w:val="00CC2BFB"/>
    <w:rsid w:val="00CC2F8F"/>
    <w:rsid w:val="00CC3355"/>
    <w:rsid w:val="00CC5BB2"/>
    <w:rsid w:val="00CC7731"/>
    <w:rsid w:val="00CD0623"/>
    <w:rsid w:val="00CD0B21"/>
    <w:rsid w:val="00CD2300"/>
    <w:rsid w:val="00CD3559"/>
    <w:rsid w:val="00CD5A06"/>
    <w:rsid w:val="00CD5D07"/>
    <w:rsid w:val="00CD77E0"/>
    <w:rsid w:val="00CF039C"/>
    <w:rsid w:val="00CF03BB"/>
    <w:rsid w:val="00CF23C1"/>
    <w:rsid w:val="00CF3326"/>
    <w:rsid w:val="00CF444A"/>
    <w:rsid w:val="00CF5D0F"/>
    <w:rsid w:val="00D000F8"/>
    <w:rsid w:val="00D00990"/>
    <w:rsid w:val="00D03186"/>
    <w:rsid w:val="00D04C2D"/>
    <w:rsid w:val="00D056A1"/>
    <w:rsid w:val="00D10E8F"/>
    <w:rsid w:val="00D14B49"/>
    <w:rsid w:val="00D14D4F"/>
    <w:rsid w:val="00D14F72"/>
    <w:rsid w:val="00D20065"/>
    <w:rsid w:val="00D21DB6"/>
    <w:rsid w:val="00D2360C"/>
    <w:rsid w:val="00D23753"/>
    <w:rsid w:val="00D25C88"/>
    <w:rsid w:val="00D260E3"/>
    <w:rsid w:val="00D26D11"/>
    <w:rsid w:val="00D33310"/>
    <w:rsid w:val="00D34F56"/>
    <w:rsid w:val="00D37E4A"/>
    <w:rsid w:val="00D40875"/>
    <w:rsid w:val="00D41237"/>
    <w:rsid w:val="00D42E18"/>
    <w:rsid w:val="00D4405C"/>
    <w:rsid w:val="00D473A5"/>
    <w:rsid w:val="00D47711"/>
    <w:rsid w:val="00D47BE2"/>
    <w:rsid w:val="00D50623"/>
    <w:rsid w:val="00D5274D"/>
    <w:rsid w:val="00D568DC"/>
    <w:rsid w:val="00D61F43"/>
    <w:rsid w:val="00D61F90"/>
    <w:rsid w:val="00D633BE"/>
    <w:rsid w:val="00D63611"/>
    <w:rsid w:val="00D64F1C"/>
    <w:rsid w:val="00D71858"/>
    <w:rsid w:val="00D72850"/>
    <w:rsid w:val="00D73487"/>
    <w:rsid w:val="00D740D9"/>
    <w:rsid w:val="00D8014F"/>
    <w:rsid w:val="00D80E72"/>
    <w:rsid w:val="00D814C2"/>
    <w:rsid w:val="00D835F5"/>
    <w:rsid w:val="00D84AD7"/>
    <w:rsid w:val="00D84C17"/>
    <w:rsid w:val="00D866E1"/>
    <w:rsid w:val="00D8779C"/>
    <w:rsid w:val="00D914BD"/>
    <w:rsid w:val="00D916E3"/>
    <w:rsid w:val="00D9292D"/>
    <w:rsid w:val="00D93505"/>
    <w:rsid w:val="00D96EC8"/>
    <w:rsid w:val="00DA1415"/>
    <w:rsid w:val="00DA2EE5"/>
    <w:rsid w:val="00DA5957"/>
    <w:rsid w:val="00DB0000"/>
    <w:rsid w:val="00DB68B6"/>
    <w:rsid w:val="00DB7A15"/>
    <w:rsid w:val="00DC20F6"/>
    <w:rsid w:val="00DC6959"/>
    <w:rsid w:val="00DC6E56"/>
    <w:rsid w:val="00DC78B2"/>
    <w:rsid w:val="00DC791A"/>
    <w:rsid w:val="00DD03AF"/>
    <w:rsid w:val="00DD1AD4"/>
    <w:rsid w:val="00DD291B"/>
    <w:rsid w:val="00DD60C5"/>
    <w:rsid w:val="00DE01B5"/>
    <w:rsid w:val="00DE0EAB"/>
    <w:rsid w:val="00DE249E"/>
    <w:rsid w:val="00DE36D3"/>
    <w:rsid w:val="00DE3A19"/>
    <w:rsid w:val="00DE3E6F"/>
    <w:rsid w:val="00DF1892"/>
    <w:rsid w:val="00DF3650"/>
    <w:rsid w:val="00DF5D90"/>
    <w:rsid w:val="00DF7DB6"/>
    <w:rsid w:val="00E02227"/>
    <w:rsid w:val="00E14B6C"/>
    <w:rsid w:val="00E1614B"/>
    <w:rsid w:val="00E175FB"/>
    <w:rsid w:val="00E17824"/>
    <w:rsid w:val="00E17997"/>
    <w:rsid w:val="00E223F0"/>
    <w:rsid w:val="00E23187"/>
    <w:rsid w:val="00E24B47"/>
    <w:rsid w:val="00E24CF4"/>
    <w:rsid w:val="00E25E66"/>
    <w:rsid w:val="00E263DA"/>
    <w:rsid w:val="00E268D0"/>
    <w:rsid w:val="00E27242"/>
    <w:rsid w:val="00E30589"/>
    <w:rsid w:val="00E3139C"/>
    <w:rsid w:val="00E3199E"/>
    <w:rsid w:val="00E33527"/>
    <w:rsid w:val="00E3648A"/>
    <w:rsid w:val="00E36B4B"/>
    <w:rsid w:val="00E402DC"/>
    <w:rsid w:val="00E411A3"/>
    <w:rsid w:val="00E41D72"/>
    <w:rsid w:val="00E4240D"/>
    <w:rsid w:val="00E43001"/>
    <w:rsid w:val="00E441D6"/>
    <w:rsid w:val="00E4452F"/>
    <w:rsid w:val="00E445BF"/>
    <w:rsid w:val="00E45629"/>
    <w:rsid w:val="00E46813"/>
    <w:rsid w:val="00E46C2A"/>
    <w:rsid w:val="00E5492E"/>
    <w:rsid w:val="00E54E11"/>
    <w:rsid w:val="00E55D95"/>
    <w:rsid w:val="00E6042F"/>
    <w:rsid w:val="00E60A1E"/>
    <w:rsid w:val="00E62929"/>
    <w:rsid w:val="00E62ED6"/>
    <w:rsid w:val="00E66191"/>
    <w:rsid w:val="00E66DF4"/>
    <w:rsid w:val="00E70A56"/>
    <w:rsid w:val="00E73FF6"/>
    <w:rsid w:val="00E74912"/>
    <w:rsid w:val="00E74CA0"/>
    <w:rsid w:val="00E750D7"/>
    <w:rsid w:val="00E80523"/>
    <w:rsid w:val="00E83B83"/>
    <w:rsid w:val="00E85DEC"/>
    <w:rsid w:val="00E90B58"/>
    <w:rsid w:val="00EA1D8F"/>
    <w:rsid w:val="00EA4508"/>
    <w:rsid w:val="00EB13E8"/>
    <w:rsid w:val="00EB4BFB"/>
    <w:rsid w:val="00EC1FCF"/>
    <w:rsid w:val="00EC5F5A"/>
    <w:rsid w:val="00EC614A"/>
    <w:rsid w:val="00ED20B8"/>
    <w:rsid w:val="00ED270D"/>
    <w:rsid w:val="00ED3C5F"/>
    <w:rsid w:val="00ED45A8"/>
    <w:rsid w:val="00ED4AE6"/>
    <w:rsid w:val="00ED4BDB"/>
    <w:rsid w:val="00EE0100"/>
    <w:rsid w:val="00EE2BB7"/>
    <w:rsid w:val="00EE5701"/>
    <w:rsid w:val="00EE6287"/>
    <w:rsid w:val="00EF0020"/>
    <w:rsid w:val="00EF0E82"/>
    <w:rsid w:val="00EF12AF"/>
    <w:rsid w:val="00EF2EFE"/>
    <w:rsid w:val="00EF4C32"/>
    <w:rsid w:val="00EF56FD"/>
    <w:rsid w:val="00EF78CD"/>
    <w:rsid w:val="00F001D2"/>
    <w:rsid w:val="00F003F0"/>
    <w:rsid w:val="00F007F1"/>
    <w:rsid w:val="00F02FA9"/>
    <w:rsid w:val="00F033FB"/>
    <w:rsid w:val="00F04B24"/>
    <w:rsid w:val="00F04E5D"/>
    <w:rsid w:val="00F111C9"/>
    <w:rsid w:val="00F17BD3"/>
    <w:rsid w:val="00F2311F"/>
    <w:rsid w:val="00F23B80"/>
    <w:rsid w:val="00F24370"/>
    <w:rsid w:val="00F27B6C"/>
    <w:rsid w:val="00F337DD"/>
    <w:rsid w:val="00F353B5"/>
    <w:rsid w:val="00F368FD"/>
    <w:rsid w:val="00F37B49"/>
    <w:rsid w:val="00F40898"/>
    <w:rsid w:val="00F441F0"/>
    <w:rsid w:val="00F461E0"/>
    <w:rsid w:val="00F47F49"/>
    <w:rsid w:val="00F5174D"/>
    <w:rsid w:val="00F52652"/>
    <w:rsid w:val="00F5378A"/>
    <w:rsid w:val="00F551A9"/>
    <w:rsid w:val="00F56196"/>
    <w:rsid w:val="00F563A7"/>
    <w:rsid w:val="00F57D0F"/>
    <w:rsid w:val="00F60005"/>
    <w:rsid w:val="00F6663D"/>
    <w:rsid w:val="00F66CFE"/>
    <w:rsid w:val="00F671D8"/>
    <w:rsid w:val="00F704CA"/>
    <w:rsid w:val="00F73375"/>
    <w:rsid w:val="00F769D6"/>
    <w:rsid w:val="00F80C80"/>
    <w:rsid w:val="00F80F8E"/>
    <w:rsid w:val="00F82C2A"/>
    <w:rsid w:val="00F870F1"/>
    <w:rsid w:val="00F90DBB"/>
    <w:rsid w:val="00F92270"/>
    <w:rsid w:val="00F9455F"/>
    <w:rsid w:val="00F9545D"/>
    <w:rsid w:val="00FA19FC"/>
    <w:rsid w:val="00FA28CC"/>
    <w:rsid w:val="00FA3941"/>
    <w:rsid w:val="00FA4DFC"/>
    <w:rsid w:val="00FA76BD"/>
    <w:rsid w:val="00FB0580"/>
    <w:rsid w:val="00FB061C"/>
    <w:rsid w:val="00FB27AB"/>
    <w:rsid w:val="00FB34C7"/>
    <w:rsid w:val="00FB6214"/>
    <w:rsid w:val="00FB6F9D"/>
    <w:rsid w:val="00FB7B85"/>
    <w:rsid w:val="00FB7F5A"/>
    <w:rsid w:val="00FC19C3"/>
    <w:rsid w:val="00FC632C"/>
    <w:rsid w:val="00FD277B"/>
    <w:rsid w:val="00FD5426"/>
    <w:rsid w:val="00FE04C9"/>
    <w:rsid w:val="00FE2FC0"/>
    <w:rsid w:val="00FE474B"/>
    <w:rsid w:val="00FE538D"/>
    <w:rsid w:val="00FF24B8"/>
    <w:rsid w:val="00FF6DE6"/>
    <w:rsid w:val="00FF7513"/>
    <w:rsid w:val="00FF7F1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D47B8D"/>
  <w15:chartTrackingRefBased/>
  <w15:docId w15:val="{3375FD53-B9C3-4E1A-8755-B2AF829BFD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68DC"/>
    <w:rPr>
      <w:rFonts w:ascii="Times New Roman" w:eastAsia="Times New Roman" w:hAnsi="Times New Roman"/>
      <w:sz w:val="24"/>
      <w:szCs w:val="24"/>
      <w:lang w:val="es-ES" w:eastAsia="es-ES"/>
    </w:rPr>
  </w:style>
  <w:style w:type="paragraph" w:styleId="Ttulo2">
    <w:name w:val="heading 2"/>
    <w:basedOn w:val="Normal"/>
    <w:next w:val="Normal"/>
    <w:link w:val="Ttulo2Car"/>
    <w:qFormat/>
    <w:rsid w:val="00D568DC"/>
    <w:pPr>
      <w:keepNext/>
      <w:jc w:val="center"/>
      <w:outlineLvl w:val="1"/>
    </w:pPr>
    <w:rPr>
      <w:b/>
      <w:bCs/>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link w:val="Ttulo2"/>
    <w:rsid w:val="00D568DC"/>
    <w:rPr>
      <w:rFonts w:ascii="Times New Roman" w:eastAsia="Times New Roman" w:hAnsi="Times New Roman" w:cs="Times New Roman"/>
      <w:b/>
      <w:bCs/>
      <w:sz w:val="28"/>
      <w:szCs w:val="28"/>
      <w:lang w:val="es-ES" w:eastAsia="es-ES"/>
    </w:rPr>
  </w:style>
  <w:style w:type="paragraph" w:styleId="Textoindependiente">
    <w:name w:val="Body Text"/>
    <w:basedOn w:val="Normal"/>
    <w:link w:val="TextoindependienteCar"/>
    <w:rsid w:val="00D568DC"/>
    <w:pPr>
      <w:widowControl w:val="0"/>
      <w:autoSpaceDE w:val="0"/>
      <w:autoSpaceDN w:val="0"/>
      <w:adjustRightInd w:val="0"/>
      <w:jc w:val="both"/>
    </w:pPr>
    <w:rPr>
      <w:sz w:val="28"/>
      <w:szCs w:val="28"/>
    </w:rPr>
  </w:style>
  <w:style w:type="character" w:customStyle="1" w:styleId="TextoindependienteCar">
    <w:name w:val="Texto independiente Car"/>
    <w:link w:val="Textoindependiente"/>
    <w:rsid w:val="00D568DC"/>
    <w:rPr>
      <w:rFonts w:ascii="Times New Roman" w:eastAsia="Times New Roman" w:hAnsi="Times New Roman" w:cs="Times New Roman"/>
      <w:sz w:val="28"/>
      <w:szCs w:val="28"/>
      <w:lang w:val="es-ES" w:eastAsia="es-ES"/>
    </w:rPr>
  </w:style>
  <w:style w:type="paragraph" w:styleId="Encabezado">
    <w:name w:val="header"/>
    <w:basedOn w:val="Normal"/>
    <w:link w:val="EncabezadoCar"/>
    <w:uiPriority w:val="99"/>
    <w:rsid w:val="00D568DC"/>
    <w:pPr>
      <w:tabs>
        <w:tab w:val="center" w:pos="4419"/>
        <w:tab w:val="right" w:pos="8838"/>
      </w:tabs>
    </w:pPr>
  </w:style>
  <w:style w:type="character" w:customStyle="1" w:styleId="EncabezadoCar">
    <w:name w:val="Encabezado Car"/>
    <w:link w:val="Encabezado"/>
    <w:uiPriority w:val="99"/>
    <w:rsid w:val="00D568DC"/>
    <w:rPr>
      <w:rFonts w:ascii="Times New Roman" w:eastAsia="Times New Roman" w:hAnsi="Times New Roman" w:cs="Times New Roman"/>
      <w:sz w:val="24"/>
      <w:szCs w:val="24"/>
      <w:lang w:val="es-ES" w:eastAsia="es-ES"/>
    </w:rPr>
  </w:style>
  <w:style w:type="character" w:styleId="Nmerodepgina">
    <w:name w:val="page number"/>
    <w:rsid w:val="00D568DC"/>
  </w:style>
  <w:style w:type="paragraph" w:styleId="Piedepgina">
    <w:name w:val="footer"/>
    <w:basedOn w:val="Normal"/>
    <w:link w:val="PiedepginaCar"/>
    <w:rsid w:val="00D568DC"/>
    <w:pPr>
      <w:tabs>
        <w:tab w:val="center" w:pos="4419"/>
        <w:tab w:val="right" w:pos="8838"/>
      </w:tabs>
    </w:pPr>
  </w:style>
  <w:style w:type="character" w:customStyle="1" w:styleId="PiedepginaCar">
    <w:name w:val="Pie de página Car"/>
    <w:link w:val="Piedepgina"/>
    <w:rsid w:val="00D568DC"/>
    <w:rPr>
      <w:rFonts w:ascii="Times New Roman" w:eastAsia="Times New Roman" w:hAnsi="Times New Roman" w:cs="Times New Roman"/>
      <w:sz w:val="24"/>
      <w:szCs w:val="24"/>
      <w:lang w:val="es-ES" w:eastAsia="es-ES"/>
    </w:rPr>
  </w:style>
  <w:style w:type="paragraph" w:styleId="Sinespaciado">
    <w:name w:val="No Spacing"/>
    <w:uiPriority w:val="1"/>
    <w:qFormat/>
    <w:rsid w:val="00D568DC"/>
    <w:pPr>
      <w:widowControl w:val="0"/>
      <w:autoSpaceDE w:val="0"/>
      <w:autoSpaceDN w:val="0"/>
      <w:adjustRightInd w:val="0"/>
    </w:pPr>
    <w:rPr>
      <w:rFonts w:ascii="Times New Roman" w:eastAsia="Times New Roman" w:hAnsi="Times New Roman"/>
      <w:lang w:val="en-US"/>
    </w:rPr>
  </w:style>
  <w:style w:type="table" w:styleId="Tablaconcuadrcula">
    <w:name w:val="Table Grid"/>
    <w:basedOn w:val="Tablanormal"/>
    <w:uiPriority w:val="39"/>
    <w:rsid w:val="00D568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642E6B"/>
    <w:rPr>
      <w:rFonts w:ascii="Segoe UI" w:hAnsi="Segoe UI" w:cs="Segoe UI"/>
      <w:sz w:val="18"/>
      <w:szCs w:val="18"/>
    </w:rPr>
  </w:style>
  <w:style w:type="character" w:customStyle="1" w:styleId="TextodegloboCar">
    <w:name w:val="Texto de globo Car"/>
    <w:link w:val="Textodeglobo"/>
    <w:uiPriority w:val="99"/>
    <w:semiHidden/>
    <w:rsid w:val="00642E6B"/>
    <w:rPr>
      <w:rFonts w:ascii="Segoe UI" w:eastAsia="Times New Roman" w:hAnsi="Segoe UI" w:cs="Segoe UI"/>
      <w:sz w:val="18"/>
      <w:szCs w:val="18"/>
      <w:lang w:val="es-ES" w:eastAsia="es-ES"/>
    </w:rPr>
  </w:style>
  <w:style w:type="paragraph" w:customStyle="1" w:styleId="WW-Textoindependiente2">
    <w:name w:val="WW-Texto independiente 2"/>
    <w:basedOn w:val="Normal"/>
    <w:rsid w:val="00280BA8"/>
    <w:pPr>
      <w:suppressAutoHyphens/>
      <w:jc w:val="both"/>
    </w:pPr>
    <w:rPr>
      <w:rFonts w:ascii="Arial" w:hAnsi="Arial"/>
      <w:sz w:val="20"/>
      <w:szCs w:val="20"/>
      <w:lang w:val="en-US" w:eastAsia="es-MX"/>
    </w:rPr>
  </w:style>
  <w:style w:type="paragraph" w:styleId="NormalWeb">
    <w:name w:val="Normal (Web)"/>
    <w:basedOn w:val="Normal"/>
    <w:uiPriority w:val="99"/>
    <w:unhideWhenUsed/>
    <w:rsid w:val="008D55F4"/>
    <w:pPr>
      <w:spacing w:before="100" w:beforeAutospacing="1" w:after="100" w:afterAutospacing="1"/>
    </w:pPr>
    <w:rPr>
      <w:lang w:val="es-MX" w:eastAsia="es-MX"/>
    </w:rPr>
  </w:style>
  <w:style w:type="character" w:customStyle="1" w:styleId="negritas">
    <w:name w:val="negritas"/>
    <w:rsid w:val="008D55F4"/>
  </w:style>
  <w:style w:type="paragraph" w:styleId="Prrafodelista">
    <w:name w:val="List Paragraph"/>
    <w:basedOn w:val="Normal"/>
    <w:qFormat/>
    <w:rsid w:val="00A25EC6"/>
    <w:pPr>
      <w:ind w:left="708"/>
    </w:pPr>
    <w:rPr>
      <w:sz w:val="20"/>
      <w:szCs w:val="20"/>
    </w:rPr>
  </w:style>
  <w:style w:type="paragraph" w:customStyle="1" w:styleId="Cuadrculamedia21">
    <w:name w:val="Cuadrícula media 21"/>
    <w:qFormat/>
    <w:rsid w:val="00A25EC6"/>
    <w:pPr>
      <w:suppressAutoHyphens/>
    </w:pPr>
    <w:rPr>
      <w:rFonts w:eastAsia="DejaVu Sans" w:cs="font291"/>
      <w:kern w:val="1"/>
      <w:sz w:val="22"/>
      <w:szCs w:val="22"/>
      <w:lang w:val="es-ES" w:eastAsia="ar-SA"/>
    </w:rPr>
  </w:style>
  <w:style w:type="paragraph" w:customStyle="1" w:styleId="Default">
    <w:name w:val="Default"/>
    <w:rsid w:val="00A25EC6"/>
    <w:pPr>
      <w:autoSpaceDE w:val="0"/>
      <w:autoSpaceDN w:val="0"/>
      <w:adjustRightInd w:val="0"/>
    </w:pPr>
    <w:rPr>
      <w:rFonts w:ascii="Arial" w:hAnsi="Arial" w:cs="Arial"/>
      <w:color w:val="000000"/>
      <w:sz w:val="24"/>
      <w:szCs w:val="24"/>
      <w:lang w:eastAsia="en-US"/>
    </w:rPr>
  </w:style>
  <w:style w:type="paragraph" w:customStyle="1" w:styleId="Texto">
    <w:name w:val="Texto"/>
    <w:basedOn w:val="Normal"/>
    <w:link w:val="TextoCar"/>
    <w:rsid w:val="00A721FF"/>
    <w:pPr>
      <w:spacing w:after="101" w:line="216" w:lineRule="exact"/>
      <w:ind w:firstLine="288"/>
      <w:jc w:val="both"/>
    </w:pPr>
    <w:rPr>
      <w:rFonts w:ascii="Arial" w:hAnsi="Arial"/>
      <w:sz w:val="18"/>
      <w:szCs w:val="20"/>
    </w:rPr>
  </w:style>
  <w:style w:type="character" w:customStyle="1" w:styleId="TextoCar">
    <w:name w:val="Texto Car"/>
    <w:link w:val="Texto"/>
    <w:locked/>
    <w:rsid w:val="00A721FF"/>
    <w:rPr>
      <w:rFonts w:ascii="Arial" w:eastAsia="Times New Roman" w:hAnsi="Arial"/>
      <w:sz w:val="18"/>
      <w:lang w:val="es-ES" w:eastAsia="es-ES"/>
    </w:rPr>
  </w:style>
  <w:style w:type="paragraph" w:styleId="Textoindependiente3">
    <w:name w:val="Body Text 3"/>
    <w:basedOn w:val="Normal"/>
    <w:link w:val="Textoindependiente3Car"/>
    <w:uiPriority w:val="99"/>
    <w:semiHidden/>
    <w:unhideWhenUsed/>
    <w:rsid w:val="00167464"/>
    <w:pPr>
      <w:spacing w:after="120"/>
    </w:pPr>
    <w:rPr>
      <w:sz w:val="16"/>
      <w:szCs w:val="16"/>
    </w:rPr>
  </w:style>
  <w:style w:type="character" w:customStyle="1" w:styleId="Textoindependiente3Car">
    <w:name w:val="Texto independiente 3 Car"/>
    <w:link w:val="Textoindependiente3"/>
    <w:uiPriority w:val="99"/>
    <w:rsid w:val="00167464"/>
    <w:rPr>
      <w:rFonts w:ascii="Times New Roman" w:eastAsia="Times New Roman" w:hAnsi="Times New Roman"/>
      <w:sz w:val="16"/>
      <w:szCs w:val="16"/>
      <w:lang w:val="es-ES" w:eastAsia="es-ES"/>
    </w:rPr>
  </w:style>
  <w:style w:type="paragraph" w:styleId="Sangra2detindependiente">
    <w:name w:val="Body Text Indent 2"/>
    <w:basedOn w:val="Normal"/>
    <w:link w:val="Sangra2detindependienteCar"/>
    <w:uiPriority w:val="99"/>
    <w:semiHidden/>
    <w:unhideWhenUsed/>
    <w:rsid w:val="00C72EB7"/>
    <w:pPr>
      <w:spacing w:after="120" w:line="480" w:lineRule="auto"/>
      <w:ind w:left="283"/>
    </w:pPr>
  </w:style>
  <w:style w:type="character" w:customStyle="1" w:styleId="Sangra2detindependienteCar">
    <w:name w:val="Sangría 2 de t. independiente Car"/>
    <w:link w:val="Sangra2detindependiente"/>
    <w:uiPriority w:val="99"/>
    <w:semiHidden/>
    <w:rsid w:val="00C72EB7"/>
    <w:rPr>
      <w:rFonts w:ascii="Times New Roman" w:eastAsia="Times New Roman" w:hAnsi="Times New Roman"/>
      <w:sz w:val="24"/>
      <w:szCs w:val="24"/>
      <w:lang w:val="es-ES" w:eastAsia="es-ES"/>
    </w:rPr>
  </w:style>
  <w:style w:type="paragraph" w:customStyle="1" w:styleId="CENTRAR">
    <w:name w:val="CENTRAR"/>
    <w:basedOn w:val="Normal"/>
    <w:rsid w:val="002C4184"/>
    <w:pPr>
      <w:jc w:val="center"/>
    </w:pPr>
    <w:rPr>
      <w:rFonts w:ascii="Arial" w:hAnsi="Arial"/>
      <w:b/>
      <w:caps/>
      <w:sz w:val="20"/>
      <w:szCs w:val="20"/>
      <w:lang w:val="en-US"/>
    </w:rPr>
  </w:style>
  <w:style w:type="paragraph" w:customStyle="1" w:styleId="yiv0087518457msonormal">
    <w:name w:val="yiv0087518457msonormal"/>
    <w:basedOn w:val="Normal"/>
    <w:rsid w:val="008C6D30"/>
    <w:pPr>
      <w:spacing w:before="100" w:beforeAutospacing="1" w:after="100" w:afterAutospacing="1"/>
    </w:pPr>
    <w:rPr>
      <w:rFonts w:ascii="Calibri" w:eastAsia="Calibri" w:hAnsi="Calibri" w:cs="Calibri"/>
      <w:sz w:val="22"/>
      <w:szCs w:val="22"/>
      <w:lang w:val="es-MX" w:eastAsia="es-MX"/>
    </w:rPr>
  </w:style>
  <w:style w:type="paragraph" w:styleId="Textonotapie">
    <w:name w:val="footnote text"/>
    <w:basedOn w:val="Normal"/>
    <w:link w:val="TextonotapieCar"/>
    <w:uiPriority w:val="99"/>
    <w:semiHidden/>
    <w:unhideWhenUsed/>
    <w:rsid w:val="004B41BD"/>
    <w:rPr>
      <w:sz w:val="20"/>
      <w:szCs w:val="20"/>
    </w:rPr>
  </w:style>
  <w:style w:type="character" w:customStyle="1" w:styleId="TextonotapieCar">
    <w:name w:val="Texto nota pie Car"/>
    <w:link w:val="Textonotapie"/>
    <w:uiPriority w:val="99"/>
    <w:semiHidden/>
    <w:rsid w:val="004B41BD"/>
    <w:rPr>
      <w:rFonts w:ascii="Times New Roman" w:eastAsia="Times New Roman" w:hAnsi="Times New Roman"/>
      <w:lang w:val="es-ES" w:eastAsia="es-ES"/>
    </w:rPr>
  </w:style>
  <w:style w:type="character" w:styleId="Refdenotaalpie">
    <w:name w:val="footnote reference"/>
    <w:uiPriority w:val="99"/>
    <w:semiHidden/>
    <w:unhideWhenUsed/>
    <w:rsid w:val="004B41B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363812">
      <w:bodyDiv w:val="1"/>
      <w:marLeft w:val="0"/>
      <w:marRight w:val="0"/>
      <w:marTop w:val="0"/>
      <w:marBottom w:val="0"/>
      <w:divBdr>
        <w:top w:val="none" w:sz="0" w:space="0" w:color="auto"/>
        <w:left w:val="none" w:sz="0" w:space="0" w:color="auto"/>
        <w:bottom w:val="none" w:sz="0" w:space="0" w:color="auto"/>
        <w:right w:val="none" w:sz="0" w:space="0" w:color="auto"/>
      </w:divBdr>
    </w:div>
    <w:div w:id="181944537">
      <w:bodyDiv w:val="1"/>
      <w:marLeft w:val="0"/>
      <w:marRight w:val="0"/>
      <w:marTop w:val="0"/>
      <w:marBottom w:val="0"/>
      <w:divBdr>
        <w:top w:val="none" w:sz="0" w:space="0" w:color="auto"/>
        <w:left w:val="none" w:sz="0" w:space="0" w:color="auto"/>
        <w:bottom w:val="none" w:sz="0" w:space="0" w:color="auto"/>
        <w:right w:val="none" w:sz="0" w:space="0" w:color="auto"/>
      </w:divBdr>
    </w:div>
    <w:div w:id="192891834">
      <w:bodyDiv w:val="1"/>
      <w:marLeft w:val="0"/>
      <w:marRight w:val="0"/>
      <w:marTop w:val="0"/>
      <w:marBottom w:val="0"/>
      <w:divBdr>
        <w:top w:val="none" w:sz="0" w:space="0" w:color="auto"/>
        <w:left w:val="none" w:sz="0" w:space="0" w:color="auto"/>
        <w:bottom w:val="none" w:sz="0" w:space="0" w:color="auto"/>
        <w:right w:val="none" w:sz="0" w:space="0" w:color="auto"/>
      </w:divBdr>
    </w:div>
    <w:div w:id="324163280">
      <w:bodyDiv w:val="1"/>
      <w:marLeft w:val="0"/>
      <w:marRight w:val="0"/>
      <w:marTop w:val="0"/>
      <w:marBottom w:val="0"/>
      <w:divBdr>
        <w:top w:val="none" w:sz="0" w:space="0" w:color="auto"/>
        <w:left w:val="none" w:sz="0" w:space="0" w:color="auto"/>
        <w:bottom w:val="none" w:sz="0" w:space="0" w:color="auto"/>
        <w:right w:val="none" w:sz="0" w:space="0" w:color="auto"/>
      </w:divBdr>
    </w:div>
    <w:div w:id="471488092">
      <w:bodyDiv w:val="1"/>
      <w:marLeft w:val="0"/>
      <w:marRight w:val="0"/>
      <w:marTop w:val="0"/>
      <w:marBottom w:val="0"/>
      <w:divBdr>
        <w:top w:val="none" w:sz="0" w:space="0" w:color="auto"/>
        <w:left w:val="none" w:sz="0" w:space="0" w:color="auto"/>
        <w:bottom w:val="none" w:sz="0" w:space="0" w:color="auto"/>
        <w:right w:val="none" w:sz="0" w:space="0" w:color="auto"/>
      </w:divBdr>
    </w:div>
    <w:div w:id="880047574">
      <w:bodyDiv w:val="1"/>
      <w:marLeft w:val="0"/>
      <w:marRight w:val="0"/>
      <w:marTop w:val="0"/>
      <w:marBottom w:val="0"/>
      <w:divBdr>
        <w:top w:val="none" w:sz="0" w:space="0" w:color="auto"/>
        <w:left w:val="none" w:sz="0" w:space="0" w:color="auto"/>
        <w:bottom w:val="none" w:sz="0" w:space="0" w:color="auto"/>
        <w:right w:val="none" w:sz="0" w:space="0" w:color="auto"/>
      </w:divBdr>
    </w:div>
    <w:div w:id="1283998996">
      <w:bodyDiv w:val="1"/>
      <w:marLeft w:val="0"/>
      <w:marRight w:val="0"/>
      <w:marTop w:val="0"/>
      <w:marBottom w:val="0"/>
      <w:divBdr>
        <w:top w:val="none" w:sz="0" w:space="0" w:color="auto"/>
        <w:left w:val="none" w:sz="0" w:space="0" w:color="auto"/>
        <w:bottom w:val="none" w:sz="0" w:space="0" w:color="auto"/>
        <w:right w:val="none" w:sz="0" w:space="0" w:color="auto"/>
      </w:divBdr>
    </w:div>
    <w:div w:id="1325234802">
      <w:bodyDiv w:val="1"/>
      <w:marLeft w:val="0"/>
      <w:marRight w:val="0"/>
      <w:marTop w:val="0"/>
      <w:marBottom w:val="0"/>
      <w:divBdr>
        <w:top w:val="none" w:sz="0" w:space="0" w:color="auto"/>
        <w:left w:val="none" w:sz="0" w:space="0" w:color="auto"/>
        <w:bottom w:val="none" w:sz="0" w:space="0" w:color="auto"/>
        <w:right w:val="none" w:sz="0" w:space="0" w:color="auto"/>
      </w:divBdr>
    </w:div>
    <w:div w:id="1346327438">
      <w:bodyDiv w:val="1"/>
      <w:marLeft w:val="0"/>
      <w:marRight w:val="0"/>
      <w:marTop w:val="0"/>
      <w:marBottom w:val="0"/>
      <w:divBdr>
        <w:top w:val="none" w:sz="0" w:space="0" w:color="auto"/>
        <w:left w:val="none" w:sz="0" w:space="0" w:color="auto"/>
        <w:bottom w:val="none" w:sz="0" w:space="0" w:color="auto"/>
        <w:right w:val="none" w:sz="0" w:space="0" w:color="auto"/>
      </w:divBdr>
    </w:div>
    <w:div w:id="1696232920">
      <w:bodyDiv w:val="1"/>
      <w:marLeft w:val="0"/>
      <w:marRight w:val="0"/>
      <w:marTop w:val="0"/>
      <w:marBottom w:val="0"/>
      <w:divBdr>
        <w:top w:val="none" w:sz="0" w:space="0" w:color="auto"/>
        <w:left w:val="none" w:sz="0" w:space="0" w:color="auto"/>
        <w:bottom w:val="none" w:sz="0" w:space="0" w:color="auto"/>
        <w:right w:val="none" w:sz="0" w:space="0" w:color="auto"/>
      </w:divBdr>
    </w:div>
    <w:div w:id="1822387820">
      <w:bodyDiv w:val="1"/>
      <w:marLeft w:val="0"/>
      <w:marRight w:val="0"/>
      <w:marTop w:val="0"/>
      <w:marBottom w:val="0"/>
      <w:divBdr>
        <w:top w:val="none" w:sz="0" w:space="0" w:color="auto"/>
        <w:left w:val="none" w:sz="0" w:space="0" w:color="auto"/>
        <w:bottom w:val="none" w:sz="0" w:space="0" w:color="auto"/>
        <w:right w:val="none" w:sz="0" w:space="0" w:color="auto"/>
      </w:divBdr>
    </w:div>
    <w:div w:id="2030567513">
      <w:bodyDiv w:val="1"/>
      <w:marLeft w:val="0"/>
      <w:marRight w:val="0"/>
      <w:marTop w:val="0"/>
      <w:marBottom w:val="0"/>
      <w:divBdr>
        <w:top w:val="none" w:sz="0" w:space="0" w:color="auto"/>
        <w:left w:val="none" w:sz="0" w:space="0" w:color="auto"/>
        <w:bottom w:val="none" w:sz="0" w:space="0" w:color="auto"/>
        <w:right w:val="none" w:sz="0" w:space="0" w:color="auto"/>
      </w:divBdr>
    </w:div>
    <w:div w:id="2054039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CD827D-9471-4398-9264-D549E6FCBF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921</TotalTime>
  <Pages>14</Pages>
  <Words>2898</Words>
  <Characters>15940</Characters>
  <Application>Microsoft Office Word</Application>
  <DocSecurity>0</DocSecurity>
  <Lines>132</Lines>
  <Paragraphs>37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18801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Martha Sánchez Aguilera</dc:creator>
  <cp:keywords/>
  <dc:description/>
  <cp:lastModifiedBy>Nabor Said Centeno Díaz</cp:lastModifiedBy>
  <cp:revision>39</cp:revision>
  <cp:lastPrinted>2016-09-06T15:47:00Z</cp:lastPrinted>
  <dcterms:created xsi:type="dcterms:W3CDTF">2025-02-20T22:25:00Z</dcterms:created>
  <dcterms:modified xsi:type="dcterms:W3CDTF">2026-07-18T00:41:00Z</dcterms:modified>
</cp:coreProperties>
</file>