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C99C" w14:textId="77777777" w:rsidR="00DF789D" w:rsidRPr="00B33511" w:rsidRDefault="00DF789D" w:rsidP="00E0751D">
      <w:pPr>
        <w:spacing w:after="0" w:line="240" w:lineRule="auto"/>
        <w:rPr>
          <w:rFonts w:ascii="Maiandra GD" w:hAnsi="Maiandra GD"/>
        </w:rPr>
      </w:pPr>
    </w:p>
    <w:p w14:paraId="5EDF7889" w14:textId="7BF35ECF" w:rsidR="00E0751D" w:rsidRPr="00B33511" w:rsidRDefault="00E0751D" w:rsidP="0012031E">
      <w:pPr>
        <w:spacing w:after="0" w:line="240" w:lineRule="auto"/>
        <w:jc w:val="center"/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</w:pPr>
      <w:r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NOTAS DE DI</w:t>
      </w:r>
      <w:r w:rsidR="00144AD3"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S</w:t>
      </w:r>
      <w:r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CIPLINA FINANCIERA</w:t>
      </w:r>
    </w:p>
    <w:p w14:paraId="3E2017BB" w14:textId="204E2DF9" w:rsidR="00E0751D" w:rsidRPr="00B33511" w:rsidRDefault="00E0751D" w:rsidP="00E0751D">
      <w:pPr>
        <w:spacing w:after="0" w:line="240" w:lineRule="auto"/>
        <w:rPr>
          <w:rFonts w:ascii="Maiandra GD" w:hAnsi="Maiandra GD"/>
        </w:rPr>
      </w:pPr>
    </w:p>
    <w:p w14:paraId="4B00C8CC" w14:textId="4328173B" w:rsidR="00B85584" w:rsidRPr="00B33511" w:rsidRDefault="00B85584" w:rsidP="00121E35">
      <w:pPr>
        <w:spacing w:after="0" w:line="240" w:lineRule="auto"/>
        <w:ind w:left="1134"/>
        <w:rPr>
          <w:rFonts w:ascii="Maiandra GD" w:hAnsi="Maiandra GD"/>
        </w:rPr>
      </w:pPr>
    </w:p>
    <w:p w14:paraId="4138ED3C" w14:textId="312C2DA2" w:rsidR="00E0751D" w:rsidRPr="00B33511" w:rsidRDefault="00E0751D" w:rsidP="008026ED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Maiandra GD" w:hAnsi="Maiandra GD" w:cs="Arial"/>
          <w:b/>
        </w:rPr>
      </w:pPr>
      <w:r w:rsidRPr="00B33511">
        <w:rPr>
          <w:rFonts w:ascii="Maiandra GD" w:hAnsi="Maiandra GD" w:cs="Arial"/>
          <w:b/>
        </w:rPr>
        <w:t>Balance Presupuestario de Recursos Disponibles Negativo</w:t>
      </w:r>
    </w:p>
    <w:p w14:paraId="3FF1ED44" w14:textId="6C7AF0F1" w:rsidR="00F02C6B" w:rsidRPr="00B33511" w:rsidRDefault="00F02C6B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3F2814B5" w14:textId="09F0EF1C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Se informará:</w:t>
      </w:r>
    </w:p>
    <w:p w14:paraId="7FAF36C5" w14:textId="1DF355C8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a) Acciones para recuperar el Balance Presupuestario de Recursos Disponibles Sostenible</w:t>
      </w:r>
      <w:r w:rsidR="0012031E" w:rsidRPr="00B33511">
        <w:rPr>
          <w:rFonts w:ascii="Maiandra GD" w:hAnsi="Maiandra GD" w:cs="Arial"/>
        </w:rPr>
        <w:t>.</w:t>
      </w:r>
    </w:p>
    <w:p w14:paraId="7FD52DA8" w14:textId="2907B380" w:rsidR="00272582" w:rsidRPr="00B33511" w:rsidRDefault="00272582" w:rsidP="00272582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</w:p>
    <w:p w14:paraId="668B0513" w14:textId="47E62010" w:rsidR="000751CB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No Aplica debido a que, el Poder Legislativo tiene un Balance Presupuestario de Recursos Disponibles Sostenible.</w:t>
      </w:r>
    </w:p>
    <w:p w14:paraId="74E28D0F" w14:textId="47B2DE5B" w:rsidR="00272582" w:rsidRPr="00B33511" w:rsidRDefault="00272582" w:rsidP="00272582">
      <w:pPr>
        <w:spacing w:after="0" w:line="240" w:lineRule="auto"/>
        <w:ind w:left="1134" w:right="899"/>
        <w:jc w:val="both"/>
        <w:rPr>
          <w:rFonts w:ascii="Maiandra GD" w:hAnsi="Maiandra GD"/>
          <w:b/>
          <w:sz w:val="28"/>
          <w:szCs w:val="28"/>
        </w:rPr>
      </w:pPr>
    </w:p>
    <w:p w14:paraId="324A7AFA" w14:textId="0F3AC12F" w:rsidR="00E0751D" w:rsidRPr="00B33511" w:rsidRDefault="00E0751D" w:rsidP="008026ED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Maiandra GD" w:hAnsi="Maiandra GD" w:cs="Arial"/>
          <w:b/>
        </w:rPr>
      </w:pPr>
      <w:r w:rsidRPr="00B33511">
        <w:rPr>
          <w:rFonts w:ascii="Maiandra GD" w:hAnsi="Maiandra GD" w:cs="Arial"/>
          <w:b/>
        </w:rPr>
        <w:t>Aumento o creación de nuevo Gasto</w:t>
      </w:r>
    </w:p>
    <w:p w14:paraId="6E5C8C7A" w14:textId="7E82D4C1" w:rsidR="00F02C6B" w:rsidRDefault="00F02C6B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7C28F089" w14:textId="6D4E7943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  <w:r w:rsidRPr="00EF0B10">
        <w:rPr>
          <w:noProof/>
        </w:rPr>
        <w:drawing>
          <wp:inline distT="0" distB="0" distL="0" distR="0" wp14:anchorId="3BDE95DC" wp14:editId="556B08B3">
            <wp:extent cx="6086475" cy="509583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44" cy="50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DADC" w14:textId="736FD920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24E98B1A" w14:textId="2E8A1C45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036B42E9" w14:textId="44F28ED4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285E3EF9" w14:textId="42A295C6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7258930F" w14:textId="4B0EA740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12A3D03C" w14:textId="1746BDC0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  <w:r w:rsidRPr="00EF0B10">
        <w:rPr>
          <w:noProof/>
        </w:rPr>
        <w:lastRenderedPageBreak/>
        <w:drawing>
          <wp:inline distT="0" distB="0" distL="0" distR="0" wp14:anchorId="0ABD3982" wp14:editId="6BD2872D">
            <wp:extent cx="5638635" cy="8391525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815" cy="840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125D3" w14:textId="3960BBBE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  <w:r w:rsidRPr="00EF0B10">
        <w:rPr>
          <w:noProof/>
        </w:rPr>
        <w:lastRenderedPageBreak/>
        <w:drawing>
          <wp:inline distT="0" distB="0" distL="0" distR="0" wp14:anchorId="12DBD179" wp14:editId="44BA4797">
            <wp:extent cx="5683438" cy="8458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73" cy="84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AC207" w14:textId="316ED250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  <w:r w:rsidRPr="00EF0B10">
        <w:rPr>
          <w:noProof/>
        </w:rPr>
        <w:lastRenderedPageBreak/>
        <w:drawing>
          <wp:inline distT="0" distB="0" distL="0" distR="0" wp14:anchorId="482AE299" wp14:editId="370A0662">
            <wp:extent cx="5632235" cy="8382000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053" cy="83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F7AF" w14:textId="7F1CAE08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3E69F10A" w14:textId="40B0C437" w:rsidR="00EF0B10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  <w:r w:rsidRPr="00EF0B10">
        <w:rPr>
          <w:noProof/>
        </w:rPr>
        <w:drawing>
          <wp:inline distT="0" distB="0" distL="0" distR="0" wp14:anchorId="5A0D99B2" wp14:editId="11C79229">
            <wp:extent cx="5695950" cy="2988890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50" cy="29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C626" w14:textId="288A0174" w:rsidR="00EF0B10" w:rsidRPr="00B33511" w:rsidRDefault="00EF0B10" w:rsidP="008026ED">
      <w:pPr>
        <w:pStyle w:val="Prrafodelista"/>
        <w:spacing w:after="0" w:line="240" w:lineRule="auto"/>
        <w:ind w:left="1494" w:right="899"/>
        <w:rPr>
          <w:rFonts w:ascii="Maiandra GD" w:hAnsi="Maiandra GD" w:cs="Arial"/>
          <w:b/>
        </w:rPr>
      </w:pPr>
    </w:p>
    <w:p w14:paraId="6F862558" w14:textId="3E85B52D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Se informará:</w:t>
      </w:r>
    </w:p>
    <w:p w14:paraId="08539915" w14:textId="59F6AEF5" w:rsidR="00E0751D" w:rsidRPr="00B33511" w:rsidRDefault="00E0751D" w:rsidP="005B62A4">
      <w:pPr>
        <w:pStyle w:val="Prrafodelista"/>
        <w:numPr>
          <w:ilvl w:val="0"/>
          <w:numId w:val="3"/>
        </w:numPr>
        <w:spacing w:after="0" w:line="240" w:lineRule="auto"/>
        <w:ind w:right="899"/>
        <w:jc w:val="both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Fuente de Ingresos del aumento o creación del Gasto no Etiquetado</w:t>
      </w:r>
      <w:r w:rsidR="0012031E" w:rsidRPr="00B33511">
        <w:rPr>
          <w:rFonts w:ascii="Maiandra GD" w:hAnsi="Maiandra GD" w:cs="Arial"/>
        </w:rPr>
        <w:t>.</w:t>
      </w:r>
      <w:r w:rsidR="0088057A">
        <w:rPr>
          <w:rFonts w:ascii="Maiandra GD" w:hAnsi="Maiandra GD" w:cs="Arial"/>
        </w:rPr>
        <w:t xml:space="preserve"> </w:t>
      </w:r>
    </w:p>
    <w:p w14:paraId="0A2474B4" w14:textId="488B1A8F" w:rsidR="005B62A4" w:rsidRDefault="005B62A4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4391AEDC" w14:textId="45195DDE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 w:cs="Arial"/>
        </w:rPr>
      </w:pPr>
      <w:r w:rsidRPr="00B33511">
        <w:rPr>
          <w:rFonts w:ascii="Maiandra GD" w:hAnsi="Maiandra GD" w:cs="Arial"/>
        </w:rPr>
        <w:t>b) Fuente de Ingresos del aumento o creación del Gasto Etiquetado</w:t>
      </w:r>
      <w:r w:rsidR="0012031E" w:rsidRPr="00B33511">
        <w:rPr>
          <w:rFonts w:ascii="Maiandra GD" w:hAnsi="Maiandra GD" w:cs="Arial"/>
        </w:rPr>
        <w:t>.</w:t>
      </w:r>
    </w:p>
    <w:p w14:paraId="46EDF46E" w14:textId="1519B2C2" w:rsidR="00752B63" w:rsidRPr="00B33511" w:rsidRDefault="00752B63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045A995C" w14:textId="63E48A71" w:rsidR="000751CB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El Poder Legislativo en el ejercicio 202</w:t>
      </w:r>
      <w:r w:rsidR="00F7612F">
        <w:rPr>
          <w:rFonts w:ascii="Maiandra GD" w:hAnsi="Maiandra GD"/>
          <w:b/>
          <w:sz w:val="24"/>
          <w:szCs w:val="24"/>
        </w:rPr>
        <w:t>2</w:t>
      </w:r>
      <w:r w:rsidRPr="00B33511">
        <w:rPr>
          <w:rFonts w:ascii="Maiandra GD" w:hAnsi="Maiandra GD"/>
          <w:b/>
          <w:sz w:val="24"/>
          <w:szCs w:val="24"/>
        </w:rPr>
        <w:t xml:space="preserve"> no tuvo Gasto Etiquetado.</w:t>
      </w:r>
    </w:p>
    <w:p w14:paraId="1C6FB40A" w14:textId="59B24468" w:rsidR="000751CB" w:rsidRPr="00B33511" w:rsidRDefault="000751CB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5B3E618" w14:textId="0D230A65" w:rsidR="00836562" w:rsidRDefault="00E0751D" w:rsidP="00F14464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Pasivo Circulante al Cierre del Ejercicio</w:t>
      </w:r>
    </w:p>
    <w:p w14:paraId="2EB4312C" w14:textId="1ECAAD46" w:rsidR="003A2254" w:rsidRPr="00B33511" w:rsidRDefault="00DF273A" w:rsidP="00DF10AA">
      <w:pPr>
        <w:pStyle w:val="Prrafodelista"/>
        <w:spacing w:after="0" w:line="240" w:lineRule="auto"/>
        <w:ind w:left="1494" w:right="899"/>
        <w:rPr>
          <w:rFonts w:ascii="Maiandra GD" w:hAnsi="Maiandra GD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F43CC" wp14:editId="4D7E6AA5">
            <wp:simplePos x="0" y="0"/>
            <wp:positionH relativeFrom="column">
              <wp:posOffset>667385</wp:posOffset>
            </wp:positionH>
            <wp:positionV relativeFrom="paragraph">
              <wp:posOffset>41910</wp:posOffset>
            </wp:positionV>
            <wp:extent cx="5772150" cy="3905250"/>
            <wp:effectExtent l="0" t="0" r="0" b="0"/>
            <wp:wrapNone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8F0CB2" w14:textId="29D30099" w:rsidR="00AB713B" w:rsidRPr="00B33511" w:rsidRDefault="00AB713B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0C59270" w14:textId="756C0934" w:rsidR="00AB713B" w:rsidRDefault="00AB713B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4CAA04DA" w14:textId="13B33939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5DA6FE7F" w14:textId="6A7E3037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060CA545" w14:textId="2E2D0223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0FB7C9CA" w14:textId="18C51264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5B5F4F28" w14:textId="726CA0A6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4C5BE874" w14:textId="620BB3E7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760187AC" w14:textId="33BEBAC2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370F8642" w14:textId="699E6D63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7DD75FE1" w14:textId="4A8630AD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9063318" w14:textId="1DE2D5D2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22319250" w14:textId="62C6C34E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7E3F62AC" w14:textId="60B94A6E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3F69582B" w14:textId="47684D47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0769669A" w14:textId="7191D232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0239C779" w14:textId="7DA61172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6F82DDD" w14:textId="5A0453F8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73164561" w14:textId="387096D8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5257B901" w14:textId="0A6141B8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5022E7F7" w14:textId="6629CA71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C48377A" w14:textId="77777777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5B29E5C8" w14:textId="716110FB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33D55988" w14:textId="1AD8830F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7F28A951" w14:textId="55F48495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208F2139" w14:textId="2DFA3A0F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73922DAF" w14:textId="49EF836A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049168A1" w14:textId="5967AA46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78FC2BB3" w14:textId="7D255DEC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D911628" w14:textId="77777777" w:rsidR="00DF273A" w:rsidRDefault="00DF273A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6F4B2F7" w14:textId="448268B3" w:rsidR="003A2254" w:rsidRDefault="003A2254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59F772FE" w14:textId="05035D8F" w:rsidR="003A2254" w:rsidRDefault="003A2254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D28DDE9" w14:textId="53D61EDE" w:rsidR="003A2254" w:rsidRDefault="003A2254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3E88187" w14:textId="77777777" w:rsidR="00DF10AA" w:rsidRPr="00B33511" w:rsidRDefault="00DF10AA" w:rsidP="00DF10AA">
      <w:pPr>
        <w:pStyle w:val="Prrafodelista"/>
        <w:spacing w:after="0" w:line="240" w:lineRule="auto"/>
        <w:ind w:left="1494" w:right="899"/>
        <w:jc w:val="both"/>
        <w:rPr>
          <w:rFonts w:ascii="Maiandra GD" w:hAnsi="Maiandra GD" w:cs="Arial"/>
        </w:rPr>
      </w:pPr>
      <w:r w:rsidRPr="00B33511">
        <w:rPr>
          <w:rFonts w:ascii="Maiandra GD" w:hAnsi="Maiandra GD" w:cs="Arial"/>
          <w:b/>
          <w:bCs/>
        </w:rPr>
        <w:lastRenderedPageBreak/>
        <w:t>Nota</w:t>
      </w:r>
      <w:r w:rsidRPr="00B33511">
        <w:rPr>
          <w:rFonts w:ascii="Maiandra GD" w:hAnsi="Maiandra GD" w:cs="Arial"/>
        </w:rPr>
        <w:t>: Se informa que el importe del capítulo 1000 “Servicios Personales” corresponde a la provisión de pasivos laborales correspondientes a prima de antigüedad e indemnizaciones.</w:t>
      </w:r>
    </w:p>
    <w:p w14:paraId="586B01CA" w14:textId="77777777" w:rsidR="003A2254" w:rsidRPr="00B33511" w:rsidRDefault="003A2254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0DEF173D" w14:textId="77777777" w:rsidR="00026298" w:rsidRPr="00B33511" w:rsidRDefault="00026298" w:rsidP="00026298">
      <w:pPr>
        <w:spacing w:after="0" w:line="240" w:lineRule="auto"/>
        <w:ind w:left="1134" w:right="899"/>
        <w:jc w:val="both"/>
        <w:rPr>
          <w:rFonts w:ascii="Maiandra GD" w:hAnsi="Maiandra GD"/>
          <w:b/>
          <w:sz w:val="28"/>
          <w:szCs w:val="28"/>
        </w:rPr>
      </w:pPr>
    </w:p>
    <w:p w14:paraId="47309D27" w14:textId="28C58EDD" w:rsidR="00B33511" w:rsidRDefault="00B33511" w:rsidP="00B33511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3E0687FB" w14:textId="77777777" w:rsidR="00D457BD" w:rsidRPr="00B33511" w:rsidRDefault="00D457BD" w:rsidP="00B33511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68FB73E" w14:textId="77777777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4. Deuda Pública y Obligaciones</w:t>
      </w:r>
    </w:p>
    <w:p w14:paraId="22759639" w14:textId="77777777" w:rsidR="00E0751D" w:rsidRPr="00B33511" w:rsidRDefault="00E0751D" w:rsidP="008026ED">
      <w:pPr>
        <w:spacing w:after="0" w:line="240" w:lineRule="auto"/>
        <w:ind w:left="1134" w:right="899"/>
        <w:rPr>
          <w:rFonts w:ascii="Maiandra GD" w:hAnsi="Maiandra GD"/>
        </w:rPr>
      </w:pPr>
      <w:r w:rsidRPr="00B33511">
        <w:rPr>
          <w:rFonts w:ascii="Maiandra GD" w:hAnsi="Maiandra GD"/>
        </w:rPr>
        <w:t>Se revelará:</w:t>
      </w:r>
    </w:p>
    <w:p w14:paraId="1410D43D" w14:textId="77777777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4AADF3B" w14:textId="77777777" w:rsidR="003970DC" w:rsidRPr="00B33511" w:rsidRDefault="003970DC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DE821AE" w14:textId="0A1298EA" w:rsidR="000751CB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Al Poder Legislativo No le Aplica, debido a que no contrato Deuda Pública y Obligaciones de acuerdo con lo que establece la LDF.</w:t>
      </w:r>
    </w:p>
    <w:p w14:paraId="3EF3319B" w14:textId="77777777" w:rsidR="008C17C4" w:rsidRPr="00B33511" w:rsidRDefault="008C17C4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2C2E785" w14:textId="77777777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5. Obligaciones a Corto Plazo</w:t>
      </w:r>
    </w:p>
    <w:p w14:paraId="5A38957C" w14:textId="77777777" w:rsidR="00E0751D" w:rsidRPr="00B33511" w:rsidRDefault="00E0751D" w:rsidP="008026ED">
      <w:pPr>
        <w:spacing w:after="0" w:line="240" w:lineRule="auto"/>
        <w:ind w:left="1134" w:right="899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Se revelará:</w:t>
      </w:r>
    </w:p>
    <w:p w14:paraId="47CB8A6A" w14:textId="77777777" w:rsidR="00035210" w:rsidRPr="00B33511" w:rsidRDefault="00035210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6689F293" w14:textId="77777777" w:rsidR="00E0751D" w:rsidRPr="00B33511" w:rsidRDefault="00E0751D" w:rsidP="008C17C4">
      <w:pPr>
        <w:pStyle w:val="Prrafodelista"/>
        <w:numPr>
          <w:ilvl w:val="0"/>
          <w:numId w:val="1"/>
        </w:numPr>
        <w:spacing w:after="0" w:line="240" w:lineRule="auto"/>
        <w:ind w:left="1134" w:right="899" w:firstLine="0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52BEB16" w14:textId="0DD5A61D" w:rsidR="00405C1C" w:rsidRPr="00B33511" w:rsidRDefault="00405C1C" w:rsidP="00AB713B">
      <w:pPr>
        <w:spacing w:after="0" w:line="120" w:lineRule="auto"/>
        <w:ind w:left="1134" w:right="902"/>
        <w:jc w:val="both"/>
        <w:rPr>
          <w:rFonts w:ascii="Maiandra GD" w:hAnsi="Maiandra GD"/>
        </w:rPr>
      </w:pPr>
    </w:p>
    <w:p w14:paraId="52E2E350" w14:textId="653743C9" w:rsidR="00E75820" w:rsidRPr="00B33511" w:rsidRDefault="00E75820" w:rsidP="00AB713B">
      <w:pPr>
        <w:spacing w:after="0" w:line="120" w:lineRule="auto"/>
        <w:ind w:left="1134" w:right="902"/>
        <w:jc w:val="both"/>
        <w:rPr>
          <w:rFonts w:ascii="Maiandra GD" w:hAnsi="Maiandra GD"/>
        </w:rPr>
      </w:pPr>
    </w:p>
    <w:p w14:paraId="1F42FD20" w14:textId="65402985" w:rsidR="000751CB" w:rsidRPr="00B33511" w:rsidRDefault="000751CB" w:rsidP="00FE449A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El Poder Legislativo del Estado de Guanajuato no tiene obligaciones conforme lo referido en este punto.</w:t>
      </w:r>
    </w:p>
    <w:p w14:paraId="766BB215" w14:textId="77777777" w:rsidR="008C17C4" w:rsidRPr="00B33511" w:rsidRDefault="008C17C4" w:rsidP="00AB713B">
      <w:pPr>
        <w:spacing w:after="0" w:line="120" w:lineRule="auto"/>
        <w:ind w:left="1134" w:right="902"/>
        <w:jc w:val="both"/>
        <w:rPr>
          <w:rFonts w:ascii="Maiandra GD" w:hAnsi="Maiandra GD"/>
          <w:b/>
          <w:sz w:val="28"/>
          <w:szCs w:val="28"/>
        </w:rPr>
      </w:pPr>
    </w:p>
    <w:p w14:paraId="1FA0BA37" w14:textId="77777777" w:rsidR="00E0751D" w:rsidRPr="00B33511" w:rsidRDefault="0012031E" w:rsidP="008026ED">
      <w:pPr>
        <w:spacing w:after="0" w:line="240" w:lineRule="auto"/>
        <w:ind w:left="1134" w:right="899"/>
        <w:rPr>
          <w:rFonts w:ascii="Maiandra GD" w:hAnsi="Maiandra GD"/>
          <w:b/>
        </w:rPr>
      </w:pPr>
      <w:r w:rsidRPr="00B33511">
        <w:rPr>
          <w:rFonts w:ascii="Maiandra GD" w:hAnsi="Maiandra GD"/>
          <w:b/>
        </w:rPr>
        <w:t>6. Evaluación de Cumplimiento</w:t>
      </w:r>
    </w:p>
    <w:p w14:paraId="74149882" w14:textId="77777777" w:rsidR="0012031E" w:rsidRPr="00B33511" w:rsidRDefault="0012031E" w:rsidP="008026ED">
      <w:pPr>
        <w:spacing w:after="0" w:line="240" w:lineRule="auto"/>
        <w:ind w:left="1134" w:right="899"/>
        <w:jc w:val="both"/>
        <w:rPr>
          <w:rFonts w:ascii="Maiandra GD" w:hAnsi="Maiandra GD"/>
        </w:rPr>
      </w:pPr>
      <w:r w:rsidRPr="00B33511">
        <w:rPr>
          <w:rFonts w:ascii="Maiandra GD" w:hAnsi="Maiandra GD"/>
        </w:rPr>
        <w:t>Se revelará:</w:t>
      </w:r>
    </w:p>
    <w:p w14:paraId="552BACD6" w14:textId="77777777" w:rsidR="0012031E" w:rsidRPr="00B33511" w:rsidRDefault="0012031E" w:rsidP="008026ED">
      <w:pPr>
        <w:spacing w:after="0" w:line="240" w:lineRule="auto"/>
        <w:ind w:left="1134" w:right="899"/>
        <w:rPr>
          <w:rFonts w:ascii="Maiandra GD" w:hAnsi="Maiandra GD"/>
        </w:rPr>
      </w:pPr>
      <w:r w:rsidRPr="00B33511">
        <w:rPr>
          <w:rFonts w:ascii="Maiandra GD" w:hAnsi="Maiandra GD"/>
        </w:rPr>
        <w:t>a) La información relativa al cumplimiento de los convenios de Deuda Garantizada.</w:t>
      </w:r>
    </w:p>
    <w:p w14:paraId="3FEE61F5" w14:textId="77777777" w:rsidR="000751CB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</w:p>
    <w:p w14:paraId="07926018" w14:textId="0FBCA429" w:rsidR="003970DC" w:rsidRPr="00B33511" w:rsidRDefault="000751CB" w:rsidP="000751CB">
      <w:pPr>
        <w:spacing w:after="0" w:line="240" w:lineRule="auto"/>
        <w:ind w:left="1134" w:right="899"/>
        <w:jc w:val="both"/>
        <w:rPr>
          <w:rFonts w:ascii="Maiandra GD" w:hAnsi="Maiandra GD"/>
          <w:b/>
          <w:sz w:val="24"/>
          <w:szCs w:val="24"/>
        </w:rPr>
      </w:pPr>
      <w:r w:rsidRPr="00B33511">
        <w:rPr>
          <w:rFonts w:ascii="Maiandra GD" w:hAnsi="Maiandra GD"/>
          <w:b/>
          <w:sz w:val="24"/>
          <w:szCs w:val="24"/>
        </w:rPr>
        <w:t>El Poder Legislativo del Estado de Guanajuato no tiene convenios de Deuda Garantizada, por lo tanto, No le Aplica este punto.</w:t>
      </w:r>
    </w:p>
    <w:sectPr w:rsidR="003970DC" w:rsidRPr="00B33511" w:rsidSect="009E1A0D">
      <w:headerReference w:type="default" r:id="rId16"/>
      <w:footerReference w:type="default" r:id="rId17"/>
      <w:pgSz w:w="12240" w:h="15840"/>
      <w:pgMar w:top="397" w:right="284" w:bottom="284" w:left="284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5D60" w14:textId="77777777" w:rsidR="00384CBE" w:rsidRDefault="00384CBE" w:rsidP="0012031E">
      <w:pPr>
        <w:spacing w:after="0" w:line="240" w:lineRule="auto"/>
      </w:pPr>
      <w:r>
        <w:separator/>
      </w:r>
    </w:p>
  </w:endnote>
  <w:endnote w:type="continuationSeparator" w:id="0">
    <w:p w14:paraId="04621368" w14:textId="77777777" w:rsidR="00384CBE" w:rsidRDefault="00384CB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BB8" w14:textId="77777777" w:rsidR="004176A0" w:rsidRDefault="004176A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400A7B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AFC0" w14:textId="77777777" w:rsidR="00384CBE" w:rsidRDefault="00384CBE" w:rsidP="0012031E">
      <w:pPr>
        <w:spacing w:after="0" w:line="240" w:lineRule="auto"/>
      </w:pPr>
      <w:r>
        <w:separator/>
      </w:r>
    </w:p>
  </w:footnote>
  <w:footnote w:type="continuationSeparator" w:id="0">
    <w:p w14:paraId="69367E77" w14:textId="77777777" w:rsidR="00384CBE" w:rsidRDefault="00384CB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11C4" w14:textId="77777777" w:rsidR="004675E0" w:rsidRPr="004C7C61" w:rsidRDefault="00EE363C" w:rsidP="00346CD4">
    <w:pPr>
      <w:pStyle w:val="Encabezado"/>
      <w:jc w:val="center"/>
      <w:rPr>
        <w:rFonts w:ascii="Arial" w:hAnsi="Arial" w:cs="Arial"/>
      </w:rPr>
    </w:pPr>
    <w:r w:rsidRPr="004C7C61">
      <w:rPr>
        <w:rFonts w:ascii="Arial" w:hAnsi="Arial" w:cs="Arial"/>
      </w:rPr>
      <w:t>Poder Legislativo</w:t>
    </w:r>
    <w:r w:rsidR="004675E0" w:rsidRPr="004C7C61">
      <w:rPr>
        <w:rFonts w:ascii="Arial" w:hAnsi="Arial" w:cs="Arial"/>
      </w:rPr>
      <w:t xml:space="preserve"> del Estado de Guanajuato</w:t>
    </w:r>
  </w:p>
  <w:p w14:paraId="2F6C5782" w14:textId="29EF13BC" w:rsidR="0012031E" w:rsidRDefault="003A5C53" w:rsidP="00752B63">
    <w:pPr>
      <w:pStyle w:val="Encabezado"/>
      <w:jc w:val="center"/>
      <w:rPr>
        <w:rFonts w:ascii="Arial" w:hAnsi="Arial" w:cs="Arial"/>
      </w:rPr>
    </w:pPr>
    <w:r w:rsidRPr="004C7C61">
      <w:rPr>
        <w:rFonts w:ascii="Arial" w:hAnsi="Arial" w:cs="Arial"/>
      </w:rPr>
      <w:t>Correspondientes al</w:t>
    </w:r>
    <w:r w:rsidR="0012031E" w:rsidRPr="004C7C61">
      <w:rPr>
        <w:rFonts w:ascii="Arial" w:hAnsi="Arial" w:cs="Arial"/>
      </w:rPr>
      <w:t xml:space="preserve"> </w:t>
    </w:r>
    <w:r w:rsidR="003A2254">
      <w:rPr>
        <w:rFonts w:ascii="Arial" w:hAnsi="Arial" w:cs="Arial"/>
      </w:rPr>
      <w:t>31</w:t>
    </w:r>
    <w:r w:rsidR="00752B63" w:rsidRPr="004C7C61">
      <w:rPr>
        <w:rFonts w:ascii="Arial" w:hAnsi="Arial" w:cs="Arial"/>
      </w:rPr>
      <w:t xml:space="preserve"> de</w:t>
    </w:r>
    <w:r w:rsidR="00BB21F5" w:rsidRPr="004C7C61">
      <w:rPr>
        <w:rFonts w:ascii="Arial" w:hAnsi="Arial" w:cs="Arial"/>
      </w:rPr>
      <w:t xml:space="preserve"> </w:t>
    </w:r>
    <w:r w:rsidR="003A2254">
      <w:rPr>
        <w:rFonts w:ascii="Arial" w:hAnsi="Arial" w:cs="Arial"/>
      </w:rPr>
      <w:t xml:space="preserve">diciembre </w:t>
    </w:r>
    <w:r w:rsidR="00BB21F5" w:rsidRPr="004C7C61">
      <w:rPr>
        <w:rFonts w:ascii="Arial" w:hAnsi="Arial" w:cs="Arial"/>
      </w:rPr>
      <w:t xml:space="preserve">de </w:t>
    </w:r>
    <w:r w:rsidR="007D1612">
      <w:rPr>
        <w:rFonts w:ascii="Arial" w:hAnsi="Arial" w:cs="Arial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4F56"/>
    <w:multiLevelType w:val="hybridMultilevel"/>
    <w:tmpl w:val="DF9E37CC"/>
    <w:lvl w:ilvl="0" w:tplc="08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94E3F54"/>
    <w:multiLevelType w:val="hybridMultilevel"/>
    <w:tmpl w:val="2AD0E758"/>
    <w:lvl w:ilvl="0" w:tplc="8514D8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FBF2808"/>
    <w:multiLevelType w:val="hybridMultilevel"/>
    <w:tmpl w:val="DA00DA04"/>
    <w:lvl w:ilvl="0" w:tplc="869A4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47908840">
    <w:abstractNumId w:val="0"/>
  </w:num>
  <w:num w:numId="2" w16cid:durableId="591165151">
    <w:abstractNumId w:val="2"/>
  </w:num>
  <w:num w:numId="3" w16cid:durableId="143400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02F4"/>
    <w:rsid w:val="00023DFD"/>
    <w:rsid w:val="00024E8C"/>
    <w:rsid w:val="0002584E"/>
    <w:rsid w:val="000260B2"/>
    <w:rsid w:val="00026298"/>
    <w:rsid w:val="00034151"/>
    <w:rsid w:val="00035210"/>
    <w:rsid w:val="0004791D"/>
    <w:rsid w:val="00056CD0"/>
    <w:rsid w:val="00060D55"/>
    <w:rsid w:val="00074881"/>
    <w:rsid w:val="000751CB"/>
    <w:rsid w:val="00077A21"/>
    <w:rsid w:val="00097EA6"/>
    <w:rsid w:val="000A1DD7"/>
    <w:rsid w:val="000A2518"/>
    <w:rsid w:val="000C0DA9"/>
    <w:rsid w:val="00112DF6"/>
    <w:rsid w:val="0012031E"/>
    <w:rsid w:val="00121E35"/>
    <w:rsid w:val="001360FC"/>
    <w:rsid w:val="00144AD3"/>
    <w:rsid w:val="00172CB7"/>
    <w:rsid w:val="001845FB"/>
    <w:rsid w:val="001914A9"/>
    <w:rsid w:val="0019544A"/>
    <w:rsid w:val="001B2748"/>
    <w:rsid w:val="0022680C"/>
    <w:rsid w:val="0023690A"/>
    <w:rsid w:val="00262961"/>
    <w:rsid w:val="00272582"/>
    <w:rsid w:val="00277076"/>
    <w:rsid w:val="002A67E8"/>
    <w:rsid w:val="002C43B5"/>
    <w:rsid w:val="003065B2"/>
    <w:rsid w:val="00306F9D"/>
    <w:rsid w:val="00344949"/>
    <w:rsid w:val="00346CD4"/>
    <w:rsid w:val="003506F2"/>
    <w:rsid w:val="00353B6F"/>
    <w:rsid w:val="00363A19"/>
    <w:rsid w:val="00371F1B"/>
    <w:rsid w:val="00384CBE"/>
    <w:rsid w:val="003905B0"/>
    <w:rsid w:val="00392668"/>
    <w:rsid w:val="00396CDD"/>
    <w:rsid w:val="003970DC"/>
    <w:rsid w:val="003A2254"/>
    <w:rsid w:val="003A5C53"/>
    <w:rsid w:val="003E07D7"/>
    <w:rsid w:val="003E1C0A"/>
    <w:rsid w:val="00405C1C"/>
    <w:rsid w:val="004176A0"/>
    <w:rsid w:val="0042183C"/>
    <w:rsid w:val="00433913"/>
    <w:rsid w:val="0044267C"/>
    <w:rsid w:val="00463E43"/>
    <w:rsid w:val="004675E0"/>
    <w:rsid w:val="00473683"/>
    <w:rsid w:val="004742F9"/>
    <w:rsid w:val="00477593"/>
    <w:rsid w:val="004A18AE"/>
    <w:rsid w:val="004B4900"/>
    <w:rsid w:val="004C14DE"/>
    <w:rsid w:val="004C23EA"/>
    <w:rsid w:val="004C7619"/>
    <w:rsid w:val="004C7C61"/>
    <w:rsid w:val="004F45C3"/>
    <w:rsid w:val="004F4A4B"/>
    <w:rsid w:val="004F78A6"/>
    <w:rsid w:val="005137AA"/>
    <w:rsid w:val="00551603"/>
    <w:rsid w:val="00571423"/>
    <w:rsid w:val="00576D6E"/>
    <w:rsid w:val="00577018"/>
    <w:rsid w:val="005B3505"/>
    <w:rsid w:val="005B62A4"/>
    <w:rsid w:val="005C4A09"/>
    <w:rsid w:val="005D291B"/>
    <w:rsid w:val="005D332C"/>
    <w:rsid w:val="005E2122"/>
    <w:rsid w:val="00603B39"/>
    <w:rsid w:val="0061326C"/>
    <w:rsid w:val="00617F4A"/>
    <w:rsid w:val="00631B43"/>
    <w:rsid w:val="00632121"/>
    <w:rsid w:val="006728CE"/>
    <w:rsid w:val="00675CDB"/>
    <w:rsid w:val="0068309E"/>
    <w:rsid w:val="0069436D"/>
    <w:rsid w:val="0069767E"/>
    <w:rsid w:val="006B2B28"/>
    <w:rsid w:val="006C2F7C"/>
    <w:rsid w:val="006C6965"/>
    <w:rsid w:val="006D202D"/>
    <w:rsid w:val="006E5AFB"/>
    <w:rsid w:val="00714DF9"/>
    <w:rsid w:val="00752B63"/>
    <w:rsid w:val="00752BB2"/>
    <w:rsid w:val="00760169"/>
    <w:rsid w:val="0077720F"/>
    <w:rsid w:val="00782F2A"/>
    <w:rsid w:val="007934D1"/>
    <w:rsid w:val="007973BC"/>
    <w:rsid w:val="007A0418"/>
    <w:rsid w:val="007B452D"/>
    <w:rsid w:val="007C5E1B"/>
    <w:rsid w:val="007C6785"/>
    <w:rsid w:val="007D13DB"/>
    <w:rsid w:val="007D1612"/>
    <w:rsid w:val="007D597E"/>
    <w:rsid w:val="008026ED"/>
    <w:rsid w:val="00802F61"/>
    <w:rsid w:val="008125BF"/>
    <w:rsid w:val="00820D59"/>
    <w:rsid w:val="00836562"/>
    <w:rsid w:val="00837423"/>
    <w:rsid w:val="00844F7C"/>
    <w:rsid w:val="008508D3"/>
    <w:rsid w:val="0088057A"/>
    <w:rsid w:val="008A5D59"/>
    <w:rsid w:val="008A699C"/>
    <w:rsid w:val="008C00A9"/>
    <w:rsid w:val="008C17C4"/>
    <w:rsid w:val="008C33E0"/>
    <w:rsid w:val="008D0932"/>
    <w:rsid w:val="008E08E4"/>
    <w:rsid w:val="00906DA8"/>
    <w:rsid w:val="00913A1A"/>
    <w:rsid w:val="009311BC"/>
    <w:rsid w:val="00940570"/>
    <w:rsid w:val="00946B32"/>
    <w:rsid w:val="009643C6"/>
    <w:rsid w:val="00965B01"/>
    <w:rsid w:val="00970F91"/>
    <w:rsid w:val="0098792E"/>
    <w:rsid w:val="009914D5"/>
    <w:rsid w:val="009945B1"/>
    <w:rsid w:val="009B3009"/>
    <w:rsid w:val="009C3A1D"/>
    <w:rsid w:val="009E00B8"/>
    <w:rsid w:val="009E017F"/>
    <w:rsid w:val="009E1A0D"/>
    <w:rsid w:val="00A1758A"/>
    <w:rsid w:val="00A263F0"/>
    <w:rsid w:val="00A43812"/>
    <w:rsid w:val="00A76828"/>
    <w:rsid w:val="00A7783A"/>
    <w:rsid w:val="00A80B37"/>
    <w:rsid w:val="00A827B2"/>
    <w:rsid w:val="00AB5419"/>
    <w:rsid w:val="00AB713B"/>
    <w:rsid w:val="00AC6BBD"/>
    <w:rsid w:val="00AE3B45"/>
    <w:rsid w:val="00AF41AE"/>
    <w:rsid w:val="00AF5CAD"/>
    <w:rsid w:val="00B3074F"/>
    <w:rsid w:val="00B33511"/>
    <w:rsid w:val="00B35BF8"/>
    <w:rsid w:val="00B56C69"/>
    <w:rsid w:val="00B75823"/>
    <w:rsid w:val="00B85584"/>
    <w:rsid w:val="00B90988"/>
    <w:rsid w:val="00BA4712"/>
    <w:rsid w:val="00BB21F5"/>
    <w:rsid w:val="00BC5EEE"/>
    <w:rsid w:val="00BD1A7D"/>
    <w:rsid w:val="00BE0B61"/>
    <w:rsid w:val="00C038CE"/>
    <w:rsid w:val="00C07765"/>
    <w:rsid w:val="00C36D6D"/>
    <w:rsid w:val="00C419AC"/>
    <w:rsid w:val="00C61974"/>
    <w:rsid w:val="00C73589"/>
    <w:rsid w:val="00CD4C28"/>
    <w:rsid w:val="00CE6752"/>
    <w:rsid w:val="00CF4AFF"/>
    <w:rsid w:val="00D36198"/>
    <w:rsid w:val="00D457BD"/>
    <w:rsid w:val="00D5201D"/>
    <w:rsid w:val="00D709A3"/>
    <w:rsid w:val="00DB62F8"/>
    <w:rsid w:val="00DC6769"/>
    <w:rsid w:val="00DD2FE9"/>
    <w:rsid w:val="00DF10AA"/>
    <w:rsid w:val="00DF273A"/>
    <w:rsid w:val="00DF789D"/>
    <w:rsid w:val="00E0751D"/>
    <w:rsid w:val="00E50036"/>
    <w:rsid w:val="00E640AB"/>
    <w:rsid w:val="00E71743"/>
    <w:rsid w:val="00E75820"/>
    <w:rsid w:val="00EA4236"/>
    <w:rsid w:val="00EC1B79"/>
    <w:rsid w:val="00EC5784"/>
    <w:rsid w:val="00EE363C"/>
    <w:rsid w:val="00EF0B10"/>
    <w:rsid w:val="00EF38E6"/>
    <w:rsid w:val="00F02C6B"/>
    <w:rsid w:val="00F14464"/>
    <w:rsid w:val="00F4585F"/>
    <w:rsid w:val="00F7612F"/>
    <w:rsid w:val="00F84B9C"/>
    <w:rsid w:val="00F97FDF"/>
    <w:rsid w:val="00FB06FA"/>
    <w:rsid w:val="00FB6686"/>
    <w:rsid w:val="00FC0511"/>
    <w:rsid w:val="00FC46F6"/>
    <w:rsid w:val="00FE449A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0E63B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4742F9"/>
    <w:rPr>
      <w:color w:val="954F72"/>
      <w:u w:val="single"/>
    </w:rPr>
  </w:style>
  <w:style w:type="paragraph" w:customStyle="1" w:styleId="msonormal0">
    <w:name w:val="msonormal"/>
    <w:basedOn w:val="Normal"/>
    <w:rsid w:val="0047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742F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4742F9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4742F9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4742F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4742F9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4742F9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4742F9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4742F9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4742F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4742F9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4742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4742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F4A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F4AF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CF4A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F4AF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CF4AF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F4AF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Alejandra María de Lourdes Zamarripa Aguirre</cp:lastModifiedBy>
  <cp:revision>2</cp:revision>
  <cp:lastPrinted>2020-07-29T12:24:00Z</cp:lastPrinted>
  <dcterms:created xsi:type="dcterms:W3CDTF">2023-01-30T02:54:00Z</dcterms:created>
  <dcterms:modified xsi:type="dcterms:W3CDTF">2023-01-30T02:54:00Z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