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5D0F76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ULTIMA REFORMA PUBLICADA EN EL PERIODICO OFICIAL: 30 DE JULIO DE 1996.</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1E06639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626B579" w14:textId="460CD034" w:rsidR="00CF77D6" w:rsidRDefault="00CF77D6" w:rsidP="00E3353F">
      <w:pPr>
        <w:spacing w:after="0" w:line="240" w:lineRule="auto"/>
        <w:jc w:val="both"/>
        <w:rPr>
          <w:rFonts w:ascii="Verdana" w:eastAsia="Calibri" w:hAnsi="Verdana" w:cs="Times New Roman"/>
          <w:sz w:val="20"/>
          <w:szCs w:val="20"/>
        </w:rPr>
      </w:pPr>
    </w:p>
    <w:p w14:paraId="26AE4678"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06D2440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73. Toda persona que encontrase a un recién nacido, o en cuya casa o propiedad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esta proceda a lo siguiente:</w:t>
      </w:r>
    </w:p>
    <w:p w14:paraId="4B88C9F6" w14:textId="77777777" w:rsidR="00CF77D6" w:rsidRPr="00CF77D6" w:rsidRDefault="00CF77D6" w:rsidP="00CF77D6">
      <w:pPr>
        <w:pStyle w:val="Estilo"/>
        <w:rPr>
          <w:rFonts w:ascii="Verdana" w:hAnsi="Verdana"/>
          <w:sz w:val="20"/>
          <w:szCs w:val="20"/>
        </w:rPr>
      </w:pPr>
    </w:p>
    <w:p w14:paraId="59B8C12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 Denunciar los hechos ante el Ministerio Público;</w:t>
      </w:r>
    </w:p>
    <w:p w14:paraId="1FD6C664" w14:textId="77777777" w:rsidR="00CF77D6" w:rsidRPr="00CF77D6" w:rsidRDefault="00CF77D6" w:rsidP="00CF77D6">
      <w:pPr>
        <w:pStyle w:val="Estilo"/>
        <w:rPr>
          <w:rFonts w:ascii="Verdana" w:hAnsi="Verdana"/>
          <w:sz w:val="20"/>
          <w:szCs w:val="20"/>
        </w:rPr>
      </w:pPr>
    </w:p>
    <w:p w14:paraId="0D85C04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 Presentarlo ante el Oficial del Registro Civil para que se levante el acta correspondiente;</w:t>
      </w:r>
    </w:p>
    <w:p w14:paraId="5F2DFE04" w14:textId="77777777" w:rsidR="00CF77D6" w:rsidRPr="00CF77D6" w:rsidRDefault="00CF77D6" w:rsidP="00CF77D6">
      <w:pPr>
        <w:pStyle w:val="Estilo"/>
        <w:rPr>
          <w:rFonts w:ascii="Verdana" w:hAnsi="Verdana"/>
          <w:sz w:val="20"/>
          <w:szCs w:val="20"/>
        </w:rPr>
      </w:pPr>
    </w:p>
    <w:p w14:paraId="0276CF53"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III.- Entregar la custodia del menor a las personas interesadas en su cuidado, </w:t>
      </w:r>
      <w:proofErr w:type="spellStart"/>
      <w:r w:rsidRPr="00CF77D6">
        <w:rPr>
          <w:rFonts w:ascii="Verdana" w:hAnsi="Verdana"/>
          <w:sz w:val="20"/>
          <w:szCs w:val="20"/>
        </w:rPr>
        <w:t>preferenciando</w:t>
      </w:r>
      <w:proofErr w:type="spellEnd"/>
      <w:r w:rsidRPr="00CF77D6">
        <w:rPr>
          <w:rFonts w:ascii="Verdana" w:hAnsi="Verdana"/>
          <w:sz w:val="20"/>
          <w:szCs w:val="20"/>
        </w:rPr>
        <w:t xml:space="preserve"> a aquellas que lo hayan presentado, o a una Institución de Asistencia Social; y</w:t>
      </w:r>
    </w:p>
    <w:p w14:paraId="22FC5DE6" w14:textId="77777777" w:rsidR="00CF77D6" w:rsidRPr="00CF77D6" w:rsidRDefault="00CF77D6" w:rsidP="00CF77D6">
      <w:pPr>
        <w:pStyle w:val="Estilo"/>
        <w:rPr>
          <w:rFonts w:ascii="Verdana" w:hAnsi="Verdana"/>
          <w:sz w:val="20"/>
          <w:szCs w:val="20"/>
        </w:rPr>
      </w:pPr>
    </w:p>
    <w:p w14:paraId="46AB039E"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IV.- Coadyuvar en los trámites que tiendan a la adopción del menor expósito o abandonado.</w:t>
      </w:r>
    </w:p>
    <w:p w14:paraId="29B6A4AF" w14:textId="77777777" w:rsidR="00CF77D6" w:rsidRPr="00CF77D6" w:rsidRDefault="00CF77D6" w:rsidP="00CF77D6">
      <w:pPr>
        <w:pStyle w:val="Estilo"/>
        <w:rPr>
          <w:rFonts w:ascii="Verdana" w:hAnsi="Verdana"/>
          <w:sz w:val="20"/>
          <w:szCs w:val="20"/>
        </w:rPr>
      </w:pPr>
    </w:p>
    <w:p w14:paraId="5ED890B5"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Para los efectos de la fracción III, el Procurador en materia de Asistencia Social o los Procuradores Auxiliares, en su caso, tendrán la tutela del menor.</w:t>
      </w:r>
    </w:p>
    <w:p w14:paraId="3534665E" w14:textId="77777777" w:rsidR="00CF77D6" w:rsidRPr="00CF77D6" w:rsidRDefault="00CF77D6" w:rsidP="00CF77D6">
      <w:pPr>
        <w:pStyle w:val="Estilo"/>
        <w:rPr>
          <w:rFonts w:ascii="Verdana" w:hAnsi="Verdana"/>
          <w:sz w:val="20"/>
          <w:szCs w:val="20"/>
        </w:rPr>
      </w:pPr>
    </w:p>
    <w:p w14:paraId="3647EC3B"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PRIMER PARRAFO, P.O. 30 DE JULIO DE 1996)</w:t>
      </w:r>
    </w:p>
    <w:p w14:paraId="003E633D"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o expuestos en ellas.</w:t>
      </w:r>
    </w:p>
    <w:p w14:paraId="7471B96E" w14:textId="77777777" w:rsidR="00CF77D6" w:rsidRPr="00CF77D6" w:rsidRDefault="00CF77D6" w:rsidP="00CF77D6">
      <w:pPr>
        <w:pStyle w:val="Estilo"/>
        <w:rPr>
          <w:rFonts w:ascii="Verdana" w:hAnsi="Verdana"/>
          <w:sz w:val="20"/>
          <w:szCs w:val="20"/>
        </w:rPr>
      </w:pPr>
    </w:p>
    <w:p w14:paraId="49E3997D"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29 DE ENERO DE 1982)</w:t>
      </w:r>
    </w:p>
    <w:p w14:paraId="3B84214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49C2E6F" w14:textId="77777777" w:rsidR="00CF77D6" w:rsidRPr="00E3353F" w:rsidRDefault="00CF77D6" w:rsidP="00E3353F">
      <w:pPr>
        <w:spacing w:after="0" w:line="240" w:lineRule="auto"/>
        <w:jc w:val="both"/>
        <w:rPr>
          <w:rFonts w:ascii="Verdana" w:eastAsia="Calibri" w:hAnsi="Verdana" w:cs="Times New Roman"/>
          <w:sz w:val="20"/>
          <w:szCs w:val="20"/>
        </w:rPr>
      </w:pP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w:t>
      </w:r>
      <w:r w:rsidRPr="00E3353F">
        <w:rPr>
          <w:rFonts w:ascii="Verdana" w:eastAsia="Calibri" w:hAnsi="Verdana" w:cs="Times New Roman"/>
          <w:sz w:val="20"/>
          <w:szCs w:val="20"/>
        </w:rPr>
        <w:lastRenderedPageBreak/>
        <w:t>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E3353F">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60F90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 El matrimonio se celebrará dentro de los ocho días siguientes, en el lugar, día y hora que señale el Oficial del Registro Civil.</w:t>
      </w:r>
    </w:p>
    <w:p w14:paraId="4B8BE06F" w14:textId="77777777" w:rsidR="00E3353F" w:rsidRPr="00E3353F" w:rsidRDefault="00E3353F"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w:t>
      </w:r>
      <w:r w:rsidRPr="00E3353F">
        <w:rPr>
          <w:rFonts w:ascii="Verdana" w:eastAsia="Calibri" w:hAnsi="Verdana" w:cs="Times New Roman"/>
          <w:sz w:val="20"/>
          <w:szCs w:val="20"/>
        </w:rPr>
        <w:lastRenderedPageBreak/>
        <w:t>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w:t>
      </w:r>
      <w:r w:rsidRPr="00E3353F">
        <w:rPr>
          <w:rFonts w:ascii="Verdana" w:eastAsia="Calibri" w:hAnsi="Verdana" w:cs="Times New Roman"/>
          <w:sz w:val="20"/>
          <w:szCs w:val="20"/>
        </w:rPr>
        <w:lastRenderedPageBreak/>
        <w:t>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E3353F" w:rsidRDefault="00E3353F" w:rsidP="00E3353F">
      <w:pPr>
        <w:spacing w:after="0" w:line="240" w:lineRule="auto"/>
        <w:jc w:val="both"/>
        <w:rPr>
          <w:rFonts w:ascii="Verdana" w:eastAsia="Calibri" w:hAnsi="Verdana" w:cs="Times New Roman"/>
          <w:sz w:val="20"/>
          <w:szCs w:val="20"/>
        </w:rPr>
      </w:pPr>
    </w:p>
    <w:p w14:paraId="3A34D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 Ha lugar a pedir la rectificación cuando se solicite variar algún nombre, apellido u otra circunstancia que sea esencial o accidental.</w:t>
      </w:r>
    </w:p>
    <w:p w14:paraId="1895E60C" w14:textId="77777777" w:rsidR="00E3353F" w:rsidRPr="00E3353F" w:rsidRDefault="00E3353F" w:rsidP="00E3353F">
      <w:pPr>
        <w:spacing w:after="0" w:line="240" w:lineRule="auto"/>
        <w:jc w:val="both"/>
        <w:rPr>
          <w:rFonts w:ascii="Verdana" w:eastAsia="Calibri" w:hAnsi="Verdana" w:cs="Times New Roman"/>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67F63B2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C4920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14:paraId="4C6B62A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w:t>
      </w:r>
      <w:r w:rsidRPr="00E3353F">
        <w:rPr>
          <w:rFonts w:ascii="Verdana" w:eastAsia="Calibri" w:hAnsi="Verdana" w:cs="Times New Roman"/>
          <w:sz w:val="20"/>
          <w:szCs w:val="20"/>
        </w:rPr>
        <w:lastRenderedPageBreak/>
        <w:t>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726C6F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w:t>
      </w:r>
      <w:r w:rsidRPr="00E3353F">
        <w:rPr>
          <w:rFonts w:ascii="Verdana" w:eastAsia="Calibri" w:hAnsi="Verdana" w:cs="Times New Roman"/>
          <w:sz w:val="20"/>
          <w:szCs w:val="20"/>
        </w:rPr>
        <w:lastRenderedPageBreak/>
        <w:t>dichos gastos; a no ser que el marido estuviere imposibilitado para trabajar y careciere de bienes propios, pues entonces los gastos serán por cuenta de la mujer y se cubrirán con bienes de ella.</w:t>
      </w:r>
    </w:p>
    <w:p w14:paraId="44F1789F" w14:textId="77777777" w:rsidR="00E3353F" w:rsidRPr="00E3353F" w:rsidRDefault="00E3353F"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334F6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 Estará a cargo de la mujer la dirección y cuidado de los trabajos del hogar.</w:t>
      </w:r>
    </w:p>
    <w:p w14:paraId="07903B40" w14:textId="77777777" w:rsidR="00E3353F" w:rsidRPr="00E3353F" w:rsidRDefault="00E3353F" w:rsidP="00E3353F">
      <w:pPr>
        <w:spacing w:after="0" w:line="240" w:lineRule="auto"/>
        <w:jc w:val="both"/>
        <w:rPr>
          <w:rFonts w:ascii="Verdana" w:eastAsia="Calibri" w:hAnsi="Verdana" w:cs="Times New Roman"/>
          <w:sz w:val="20"/>
          <w:szCs w:val="20"/>
        </w:rPr>
      </w:pPr>
    </w:p>
    <w:p w14:paraId="433DAD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14:paraId="302C4BC7" w14:textId="77777777" w:rsidR="00E3353F" w:rsidRPr="00E3353F" w:rsidRDefault="00E3353F" w:rsidP="00E3353F">
      <w:pPr>
        <w:spacing w:after="0" w:line="240" w:lineRule="auto"/>
        <w:jc w:val="both"/>
        <w:rPr>
          <w:rFonts w:ascii="Verdana" w:eastAsia="Calibri" w:hAnsi="Verdana" w:cs="Times New Roman"/>
          <w:sz w:val="20"/>
          <w:szCs w:val="20"/>
        </w:rPr>
      </w:pPr>
    </w:p>
    <w:p w14:paraId="2E63D3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14:paraId="46A59289" w14:textId="77777777" w:rsidR="00E3353F" w:rsidRPr="00E3353F" w:rsidRDefault="00E3353F" w:rsidP="00E3353F">
      <w:pPr>
        <w:spacing w:after="0" w:line="240" w:lineRule="auto"/>
        <w:jc w:val="both"/>
        <w:rPr>
          <w:rFonts w:ascii="Verdana" w:eastAsia="Calibri" w:hAnsi="Verdana" w:cs="Times New Roman"/>
          <w:sz w:val="20"/>
          <w:szCs w:val="20"/>
        </w:rPr>
      </w:pPr>
    </w:p>
    <w:p w14:paraId="58F37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3F9069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 Las capitulaciones matrimoniales en que se establezca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deben contener:</w:t>
      </w:r>
    </w:p>
    <w:p w14:paraId="223B240D" w14:textId="77777777" w:rsidR="00E3353F" w:rsidRPr="00E3353F" w:rsidRDefault="00E3353F" w:rsidP="00E3353F">
      <w:pPr>
        <w:spacing w:after="0" w:line="240" w:lineRule="auto"/>
        <w:jc w:val="both"/>
        <w:rPr>
          <w:rFonts w:ascii="Verdana" w:eastAsia="Calibri" w:hAnsi="Verdana" w:cs="Times New Roman"/>
          <w:sz w:val="20"/>
          <w:szCs w:val="20"/>
        </w:rPr>
      </w:pPr>
    </w:p>
    <w:p w14:paraId="51E2D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lista detallada de los bienes muebles e inmuebles que cada consorte lleve a la sociedad, con expresión de su valor y de los gravámenes que reporten;</w:t>
      </w:r>
    </w:p>
    <w:p w14:paraId="0671F5A3" w14:textId="77777777" w:rsidR="00E3353F" w:rsidRPr="00E3353F" w:rsidRDefault="00E3353F" w:rsidP="00E3353F">
      <w:pPr>
        <w:spacing w:after="0" w:line="240" w:lineRule="auto"/>
        <w:jc w:val="both"/>
        <w:rPr>
          <w:rFonts w:ascii="Verdana" w:eastAsia="Calibri" w:hAnsi="Verdana" w:cs="Times New Roman"/>
          <w:sz w:val="20"/>
          <w:szCs w:val="20"/>
        </w:rPr>
      </w:pPr>
    </w:p>
    <w:p w14:paraId="5CE92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76AA35E0" w14:textId="77777777" w:rsidR="00E3353F" w:rsidRPr="00E3353F" w:rsidRDefault="00E3353F" w:rsidP="00E3353F">
      <w:pPr>
        <w:spacing w:after="0" w:line="240" w:lineRule="auto"/>
        <w:jc w:val="both"/>
        <w:rPr>
          <w:rFonts w:ascii="Verdana" w:eastAsia="Calibri" w:hAnsi="Verdana" w:cs="Times New Roman"/>
          <w:sz w:val="20"/>
          <w:szCs w:val="20"/>
        </w:rPr>
      </w:pPr>
    </w:p>
    <w:p w14:paraId="7AE1C8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expresa de si la sociedad conyugal ha de comprender todos los bienes de cada consorte, o sólo parte de ellos;</w:t>
      </w:r>
    </w:p>
    <w:p w14:paraId="42D9FACA" w14:textId="77777777" w:rsidR="00E3353F" w:rsidRPr="00E3353F" w:rsidRDefault="00E3353F" w:rsidP="00E3353F">
      <w:pPr>
        <w:spacing w:after="0" w:line="240" w:lineRule="auto"/>
        <w:jc w:val="both"/>
        <w:rPr>
          <w:rFonts w:ascii="Verdana" w:eastAsia="Calibri" w:hAnsi="Verdana" w:cs="Times New Roman"/>
          <w:sz w:val="20"/>
          <w:szCs w:val="20"/>
        </w:rPr>
      </w:pPr>
    </w:p>
    <w:p w14:paraId="3F76E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4F00012D" w14:textId="77777777" w:rsidR="00E3353F" w:rsidRPr="00E3353F" w:rsidRDefault="00E3353F" w:rsidP="00E3353F">
      <w:pPr>
        <w:spacing w:after="0" w:line="240" w:lineRule="auto"/>
        <w:jc w:val="both"/>
        <w:rPr>
          <w:rFonts w:ascii="Verdana" w:eastAsia="Calibri" w:hAnsi="Verdana" w:cs="Times New Roman"/>
          <w:sz w:val="20"/>
          <w:szCs w:val="20"/>
        </w:rPr>
      </w:pPr>
    </w:p>
    <w:p w14:paraId="4E39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 declaración acerca de </w:t>
      </w:r>
      <w:proofErr w:type="spellStart"/>
      <w:r w:rsidRPr="00E3353F">
        <w:rPr>
          <w:rFonts w:ascii="Verdana" w:eastAsia="Calibri" w:hAnsi="Verdana" w:cs="Times New Roman"/>
          <w:sz w:val="20"/>
          <w:szCs w:val="20"/>
        </w:rPr>
        <w:t>quien</w:t>
      </w:r>
      <w:proofErr w:type="spellEnd"/>
      <w:r w:rsidRPr="00E3353F">
        <w:rPr>
          <w:rFonts w:ascii="Verdana" w:eastAsia="Calibri" w:hAnsi="Verdana" w:cs="Times New Roman"/>
          <w:sz w:val="20"/>
          <w:szCs w:val="20"/>
        </w:rPr>
        <w:t xml:space="preserve"> debe ser el administrador de la sociedad, expresándose con claridad las facultades que se le conceden;</w:t>
      </w:r>
    </w:p>
    <w:p w14:paraId="1F15D468" w14:textId="77777777" w:rsidR="00E3353F" w:rsidRPr="00E3353F" w:rsidRDefault="00E3353F" w:rsidP="00E3353F">
      <w:pPr>
        <w:spacing w:after="0" w:line="240" w:lineRule="auto"/>
        <w:jc w:val="both"/>
        <w:rPr>
          <w:rFonts w:ascii="Verdana" w:eastAsia="Calibri" w:hAnsi="Verdana" w:cs="Times New Roman"/>
          <w:sz w:val="20"/>
          <w:szCs w:val="20"/>
        </w:rPr>
      </w:pPr>
    </w:p>
    <w:p w14:paraId="23826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 declaración acerca de si los bienes futuros que adquieran cada cónyuge durante 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pertenecen exclusivamente al adquirente o si deben ser comunes y en qué proporción;</w:t>
      </w:r>
    </w:p>
    <w:p w14:paraId="5BDD0BFD" w14:textId="77777777" w:rsidR="00E3353F" w:rsidRPr="00E3353F" w:rsidRDefault="00E3353F" w:rsidP="00E3353F">
      <w:pPr>
        <w:spacing w:after="0" w:line="240" w:lineRule="auto"/>
        <w:jc w:val="both"/>
        <w:rPr>
          <w:rFonts w:ascii="Verdana" w:eastAsia="Calibri" w:hAnsi="Verdana" w:cs="Times New Roman"/>
          <w:sz w:val="20"/>
          <w:szCs w:val="20"/>
        </w:rPr>
      </w:pPr>
    </w:p>
    <w:p w14:paraId="4A21CA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Las bases para liquidar la sociedad.</w:t>
      </w:r>
    </w:p>
    <w:p w14:paraId="0D5E443C" w14:textId="77777777" w:rsidR="00E3353F" w:rsidRPr="00E3353F" w:rsidRDefault="00E3353F"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 xml:space="preserve">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w:t>
      </w:r>
      <w:r w:rsidRPr="00B50618">
        <w:rPr>
          <w:rFonts w:ascii="Verdana" w:hAnsi="Verdana"/>
          <w:sz w:val="20"/>
          <w:szCs w:val="20"/>
        </w:rPr>
        <w:lastRenderedPageBreak/>
        <w:t>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concedida al cónyuge que dio causa a la separación del otro del domicilio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E3353F">
        <w:rPr>
          <w:rFonts w:ascii="Verdana" w:eastAsia="Calibri" w:hAnsi="Verdana" w:cs="Times New Roman"/>
          <w:sz w:val="20"/>
          <w:szCs w:val="20"/>
        </w:rPr>
        <w:t>años,</w:t>
      </w:r>
      <w:proofErr w:type="gramEnd"/>
      <w:r w:rsidRPr="00E3353F">
        <w:rPr>
          <w:rFonts w:ascii="Verdana" w:eastAsia="Calibri" w:hAnsi="Verdana" w:cs="Times New Roman"/>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363. El obligado a dar alimentos cumple la obligación asignando una pensión adecuada al acreedor alimentario o incorporándolo a la familia. Si el acreedor se opone </w:t>
      </w:r>
      <w:r w:rsidRPr="00E3353F">
        <w:rPr>
          <w:rFonts w:ascii="Verdana" w:eastAsia="Calibri" w:hAnsi="Verdana" w:cs="Times New Roman"/>
          <w:sz w:val="20"/>
          <w:szCs w:val="20"/>
        </w:rPr>
        <w:lastRenderedPageBreak/>
        <w:t>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w:t>
      </w:r>
      <w:r w:rsidRPr="00E3353F">
        <w:rPr>
          <w:rFonts w:ascii="Verdana" w:eastAsia="Calibri" w:hAnsi="Verdana" w:cs="Times New Roman"/>
          <w:sz w:val="20"/>
          <w:szCs w:val="20"/>
        </w:rPr>
        <w:lastRenderedPageBreak/>
        <w:t>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397. A falta de actas o si éstas fueren defectuosas, incompletas o falsas, se probará con la posesión constante de estado de hijo nacido de matrimonio. En defecto de esta posesión son admisibles para demostrar la filiación todos los medios de prueba que la ley </w:t>
      </w:r>
      <w:r w:rsidRPr="00E3353F">
        <w:rPr>
          <w:rFonts w:ascii="Verdana" w:eastAsia="Calibri" w:hAnsi="Verdana" w:cs="Times New Roman"/>
          <w:sz w:val="20"/>
          <w:szCs w:val="20"/>
        </w:rPr>
        <w:lastRenderedPageBreak/>
        <w:t>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w:t>
      </w:r>
      <w:r w:rsidRPr="00E3353F">
        <w:rPr>
          <w:rFonts w:ascii="Verdana" w:eastAsia="Calibri" w:hAnsi="Verdana" w:cs="Times New Roman"/>
          <w:sz w:val="20"/>
          <w:szCs w:val="20"/>
        </w:rPr>
        <w:lastRenderedPageBreak/>
        <w:t>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6DDAF9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04AF562C" w14:textId="77777777" w:rsidR="00E3353F" w:rsidRPr="00E3353F" w:rsidRDefault="00E3353F" w:rsidP="00E3353F">
      <w:pPr>
        <w:spacing w:after="0" w:line="240" w:lineRule="auto"/>
        <w:jc w:val="both"/>
        <w:rPr>
          <w:rFonts w:ascii="Verdana" w:eastAsia="Calibri" w:hAnsi="Verdana" w:cs="Times New Roman"/>
          <w:sz w:val="20"/>
          <w:szCs w:val="20"/>
        </w:rPr>
      </w:pPr>
    </w:p>
    <w:p w14:paraId="558977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468. La patria potestad sobre los hijos de matrimonio se ejerce:</w:t>
      </w:r>
    </w:p>
    <w:p w14:paraId="15C4E410" w14:textId="77777777" w:rsidR="00E3353F" w:rsidRPr="00E3353F" w:rsidRDefault="00E3353F" w:rsidP="00E3353F">
      <w:pPr>
        <w:spacing w:after="0" w:line="240" w:lineRule="auto"/>
        <w:jc w:val="both"/>
        <w:rPr>
          <w:rFonts w:ascii="Verdana" w:eastAsia="Calibri" w:hAnsi="Verdana" w:cs="Times New Roman"/>
          <w:sz w:val="20"/>
          <w:szCs w:val="20"/>
        </w:rPr>
      </w:pPr>
    </w:p>
    <w:p w14:paraId="3D6DFA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padre y la madre;</w:t>
      </w:r>
    </w:p>
    <w:p w14:paraId="3F292B0D" w14:textId="77777777" w:rsidR="00E3353F" w:rsidRPr="00E3353F" w:rsidRDefault="00E3353F" w:rsidP="00E3353F">
      <w:pPr>
        <w:spacing w:after="0" w:line="240" w:lineRule="auto"/>
        <w:jc w:val="both"/>
        <w:rPr>
          <w:rFonts w:ascii="Verdana" w:eastAsia="Calibri" w:hAnsi="Verdana" w:cs="Times New Roman"/>
          <w:sz w:val="20"/>
          <w:szCs w:val="20"/>
        </w:rPr>
      </w:pPr>
    </w:p>
    <w:p w14:paraId="29657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el abuelo y la abuela paternos;</w:t>
      </w:r>
    </w:p>
    <w:p w14:paraId="34913154" w14:textId="77777777" w:rsidR="00E3353F" w:rsidRPr="00E3353F" w:rsidRDefault="00E3353F" w:rsidP="00E3353F">
      <w:pPr>
        <w:spacing w:after="0" w:line="240" w:lineRule="auto"/>
        <w:jc w:val="both"/>
        <w:rPr>
          <w:rFonts w:ascii="Verdana" w:eastAsia="Calibri" w:hAnsi="Verdana" w:cs="Times New Roman"/>
          <w:sz w:val="20"/>
          <w:szCs w:val="20"/>
        </w:rPr>
      </w:pPr>
    </w:p>
    <w:p w14:paraId="411E3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abuelo y la abuela maternos.</w:t>
      </w:r>
    </w:p>
    <w:p w14:paraId="3E30743C" w14:textId="77777777" w:rsidR="00E3353F" w:rsidRPr="00E3353F" w:rsidRDefault="00E3353F"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1FB5A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468.</w:t>
      </w:r>
    </w:p>
    <w:p w14:paraId="16DFD4AC" w14:textId="77777777" w:rsidR="00E3353F" w:rsidRPr="00E3353F" w:rsidRDefault="00E3353F"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3CE8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14:paraId="1DA9402C" w14:textId="77777777" w:rsidR="00E3353F" w:rsidRPr="00E3353F" w:rsidRDefault="00E3353F"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2FF7680F" w14:textId="77777777" w:rsidR="00E3353F" w:rsidRPr="00E3353F" w:rsidRDefault="00E3353F" w:rsidP="00E3353F">
      <w:pPr>
        <w:spacing w:after="0" w:line="240" w:lineRule="auto"/>
        <w:jc w:val="both"/>
        <w:rPr>
          <w:rFonts w:ascii="Verdana" w:eastAsia="Calibri" w:hAnsi="Verdana" w:cs="Times New Roman"/>
          <w:sz w:val="20"/>
          <w:szCs w:val="20"/>
        </w:rPr>
      </w:pPr>
    </w:p>
    <w:p w14:paraId="415FD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14:paraId="14C31789" w14:textId="77777777" w:rsidR="00E3353F" w:rsidRPr="00E3353F" w:rsidRDefault="00E3353F" w:rsidP="00E3353F">
      <w:pPr>
        <w:spacing w:after="0" w:line="240" w:lineRule="auto"/>
        <w:jc w:val="both"/>
        <w:rPr>
          <w:rFonts w:ascii="Verdana" w:eastAsia="Calibri" w:hAnsi="Verdana" w:cs="Times New Roman"/>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712450D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497. La Patria potestad se pierde:</w:t>
      </w:r>
    </w:p>
    <w:p w14:paraId="193F4EC9" w14:textId="77777777" w:rsidR="00B96DF5" w:rsidRPr="00B96DF5" w:rsidRDefault="00B96DF5" w:rsidP="00B96DF5">
      <w:pPr>
        <w:pStyle w:val="Estilo"/>
        <w:rPr>
          <w:rFonts w:ascii="Verdana" w:hAnsi="Verdana"/>
          <w:sz w:val="20"/>
          <w:szCs w:val="20"/>
        </w:rPr>
      </w:pPr>
    </w:p>
    <w:p w14:paraId="2CBE2B7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 Cuando el que la ejerza es condenado expresamente a la pérdida de ese derecho, o cuando es condenado por delito grave;</w:t>
      </w:r>
    </w:p>
    <w:p w14:paraId="16975CA3" w14:textId="77777777" w:rsidR="00B96DF5" w:rsidRPr="00B96DF5" w:rsidRDefault="00B96DF5" w:rsidP="00B96DF5">
      <w:pPr>
        <w:pStyle w:val="Estilo"/>
        <w:rPr>
          <w:rFonts w:ascii="Verdana" w:hAnsi="Verdana"/>
          <w:sz w:val="20"/>
          <w:szCs w:val="20"/>
        </w:rPr>
      </w:pPr>
    </w:p>
    <w:p w14:paraId="47C9A737"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 En los casos de divorcio, teniendo en cuenta lo que dispone el artículo 337;</w:t>
      </w:r>
    </w:p>
    <w:p w14:paraId="1E20C632" w14:textId="77777777" w:rsidR="00B96DF5" w:rsidRPr="00B96DF5" w:rsidRDefault="00B96DF5" w:rsidP="00B96DF5">
      <w:pPr>
        <w:pStyle w:val="Estilo"/>
        <w:rPr>
          <w:rFonts w:ascii="Verdana" w:hAnsi="Verdana"/>
          <w:sz w:val="20"/>
          <w:szCs w:val="20"/>
        </w:rPr>
      </w:pPr>
    </w:p>
    <w:p w14:paraId="6A601E2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04712AD7" w14:textId="77777777" w:rsidR="00B96DF5" w:rsidRPr="00B96DF5" w:rsidRDefault="00B96DF5" w:rsidP="00B96DF5">
      <w:pPr>
        <w:pStyle w:val="Estilo"/>
        <w:rPr>
          <w:rFonts w:ascii="Verdana" w:hAnsi="Verdana"/>
          <w:sz w:val="20"/>
          <w:szCs w:val="20"/>
        </w:rPr>
      </w:pPr>
    </w:p>
    <w:p w14:paraId="048532D5"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(REFORMADA, P.O. 30 DE JULIO DE 1996)</w:t>
      </w:r>
    </w:p>
    <w:p w14:paraId="04FBB5C0"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IV. Por el abandono que el padre o la madre hicieren de sus hijos, por más de tres meses;</w:t>
      </w:r>
    </w:p>
    <w:p w14:paraId="47784C35" w14:textId="77777777" w:rsidR="00B96DF5" w:rsidRPr="00B96DF5" w:rsidRDefault="00B96DF5" w:rsidP="00B96DF5">
      <w:pPr>
        <w:pStyle w:val="Estilo"/>
        <w:rPr>
          <w:rFonts w:ascii="Verdana" w:hAnsi="Verdana"/>
          <w:sz w:val="20"/>
          <w:szCs w:val="20"/>
        </w:rPr>
      </w:pPr>
    </w:p>
    <w:p w14:paraId="6D1075B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V. (DEROGADA, P.O. 30 DE JULIO DE 1996)</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w:t>
      </w:r>
      <w:r w:rsidRPr="00E3353F">
        <w:rPr>
          <w:rFonts w:ascii="Verdana" w:eastAsia="Calibri" w:hAnsi="Verdana" w:cs="Times New Roman"/>
          <w:sz w:val="20"/>
          <w:szCs w:val="20"/>
        </w:rPr>
        <w:lastRenderedPageBreak/>
        <w:t>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607. Si se hubiere omitido listar algunos bienes en el inventario, el menor mismo antes o después de la mayor edad, y el curador o cualquier pariente, pueden ocurrir al Juez, pidiendo que los bienes omitidos se listen, y el Juez, oído el parecer del tutor, determinará </w:t>
      </w:r>
      <w:r w:rsidRPr="00E3353F">
        <w:rPr>
          <w:rFonts w:ascii="Verdana" w:eastAsia="Calibri" w:hAnsi="Verdana" w:cs="Times New Roman"/>
          <w:sz w:val="20"/>
          <w:szCs w:val="20"/>
        </w:rPr>
        <w:lastRenderedPageBreak/>
        <w:t>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682. En los casos en que conforme a este Código tenga que intervenir el curador, cobrará el honorario que señale el arancel a los procuradores y a falta de tal arancel el honorario que señale el Juez, oyendo el parecer de dos peritos, nombrados uno por el </w:t>
      </w:r>
      <w:r w:rsidRPr="00E3353F">
        <w:rPr>
          <w:rFonts w:ascii="Verdana" w:eastAsia="Calibri" w:hAnsi="Verdana" w:cs="Times New Roman"/>
          <w:sz w:val="20"/>
          <w:szCs w:val="20"/>
        </w:rPr>
        <w:lastRenderedPageBreak/>
        <w:t>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754. Declarada la presunción de muerte se abrirá el testamento del ausente, si no estuviera ya publicado conforme al artículo 728; los poseedores provisionales darán cuenta </w:t>
      </w:r>
      <w:r w:rsidRPr="00E3353F">
        <w:rPr>
          <w:rFonts w:ascii="Verdana" w:eastAsia="Calibri" w:hAnsi="Verdana" w:cs="Times New Roman"/>
          <w:sz w:val="20"/>
          <w:szCs w:val="20"/>
        </w:rPr>
        <w:lastRenderedPageBreak/>
        <w:t>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w:t>
      </w:r>
      <w:r w:rsidRPr="00E3353F">
        <w:rPr>
          <w:rFonts w:ascii="Verdana" w:eastAsia="Calibri" w:hAnsi="Verdana" w:cs="Times New Roman"/>
          <w:sz w:val="20"/>
          <w:szCs w:val="20"/>
        </w:rPr>
        <w:lastRenderedPageBreak/>
        <w:t>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w:t>
      </w:r>
      <w:r w:rsidRPr="00E3353F">
        <w:rPr>
          <w:rFonts w:ascii="Verdana" w:eastAsia="Calibri" w:hAnsi="Verdana" w:cs="Times New Roman"/>
          <w:sz w:val="20"/>
          <w:szCs w:val="20"/>
        </w:rPr>
        <w:lastRenderedPageBreak/>
        <w:t>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inconformes siempre que representen el veinticinco por ciento de los propietarios y la cuarta parte del valor del inmueble, pueden oponerse a la reforma del Reglamento, </w:t>
      </w:r>
      <w:r w:rsidRPr="00E3353F">
        <w:rPr>
          <w:rFonts w:ascii="Verdana" w:eastAsia="Calibri" w:hAnsi="Verdana" w:cs="Times New Roman"/>
          <w:sz w:val="20"/>
          <w:szCs w:val="20"/>
        </w:rPr>
        <w:lastRenderedPageBreak/>
        <w:t>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un sólo propietario represente más del cincuenta por ciento del valor del edificio y por lo mismo con su solo voto consiga mayoría, para adoptar una resolución será además </w:t>
      </w:r>
      <w:r w:rsidRPr="00E3353F">
        <w:rPr>
          <w:rFonts w:ascii="Verdana" w:eastAsia="Calibri" w:hAnsi="Verdana" w:cs="Times New Roman"/>
          <w:sz w:val="20"/>
          <w:szCs w:val="20"/>
        </w:rPr>
        <w:lastRenderedPageBreak/>
        <w:t>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w:t>
      </w:r>
      <w:r w:rsidRPr="00E3353F">
        <w:rPr>
          <w:rFonts w:ascii="Verdana" w:eastAsia="Calibri" w:hAnsi="Verdana" w:cs="Times New Roman"/>
          <w:sz w:val="20"/>
          <w:szCs w:val="20"/>
        </w:rPr>
        <w:lastRenderedPageBreak/>
        <w:t xml:space="preserve">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1035. Si el edificio se destruyere en su totalidad o en una proporción que represente, cuando menos las tres cuartas partes de su valor, cualquiera de los propietarios podrá </w:t>
      </w:r>
      <w:r w:rsidRPr="00E3353F">
        <w:rPr>
          <w:rFonts w:ascii="Verdana" w:eastAsia="Calibri" w:hAnsi="Verdana" w:cs="Times New Roman"/>
          <w:sz w:val="20"/>
          <w:szCs w:val="20"/>
        </w:rPr>
        <w:lastRenderedPageBreak/>
        <w:t>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1098. No corresponden al usufructuario los productos de las minas que se exploten en el terreno dado en usufructo, a no ser que expresamente se le concedan en el título </w:t>
      </w:r>
      <w:r w:rsidRPr="00E3353F">
        <w:rPr>
          <w:rFonts w:ascii="Verdana" w:eastAsia="Calibri" w:hAnsi="Verdana" w:cs="Times New Roman"/>
          <w:sz w:val="20"/>
          <w:szCs w:val="20"/>
        </w:rPr>
        <w:lastRenderedPageBreak/>
        <w:t>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1152. Si el usuario consume todos los frutos de los bienes, o el que tiene derecho de habitación ocupa todas las piezas de la casa, quedan obligados a todos los gastos de </w:t>
      </w:r>
      <w:r w:rsidRPr="00E3353F">
        <w:rPr>
          <w:rFonts w:ascii="Verdana" w:eastAsia="Calibri" w:hAnsi="Verdana" w:cs="Times New Roman"/>
          <w:sz w:val="20"/>
          <w:szCs w:val="20"/>
        </w:rPr>
        <w:lastRenderedPageBreak/>
        <w:t>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1173. Todos los propietarios que participen del beneficio proveniente de las obras de que tratan los artículos anteriores, están obligados a contribuir al gasto de su ejecución en </w:t>
      </w:r>
      <w:r w:rsidRPr="00E3353F">
        <w:rPr>
          <w:rFonts w:ascii="Verdana" w:eastAsia="Calibri" w:hAnsi="Verdana" w:cs="Times New Roman"/>
          <w:sz w:val="20"/>
          <w:szCs w:val="20"/>
        </w:rPr>
        <w:lastRenderedPageBreak/>
        <w:t>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1204. Cuando para establecer comunicaciones telefónicas particulares entre dos o más fincas o para conducir energía eléctrica a una finca, sea necesario colocar postes y tender </w:t>
      </w:r>
      <w:r w:rsidRPr="00E3353F">
        <w:rPr>
          <w:rFonts w:ascii="Verdana" w:eastAsia="Calibri" w:hAnsi="Verdana" w:cs="Times New Roman"/>
          <w:sz w:val="20"/>
          <w:szCs w:val="20"/>
        </w:rPr>
        <w:lastRenderedPageBreak/>
        <w:t>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1252. El que hubiere poseído bienes inmuebles por el tiempo y con las condiciones exigidas por este Código para adquirirlos por prescripción, puede promover juicio contra el que aparezca como propietario de esos bienes en el Registro Público de la Propiedad a fin </w:t>
      </w:r>
      <w:r w:rsidRPr="00E3353F">
        <w:rPr>
          <w:rFonts w:ascii="Verdana" w:eastAsia="Calibri" w:hAnsi="Verdana" w:cs="Times New Roman"/>
          <w:sz w:val="20"/>
          <w:szCs w:val="20"/>
        </w:rPr>
        <w:lastRenderedPageBreak/>
        <w:t>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w:t>
      </w:r>
      <w:r w:rsidRPr="00E3353F">
        <w:rPr>
          <w:rFonts w:ascii="Verdana" w:eastAsia="Calibri" w:hAnsi="Verdana" w:cs="Times New Roman"/>
          <w:sz w:val="20"/>
          <w:szCs w:val="20"/>
        </w:rPr>
        <w:lastRenderedPageBreak/>
        <w:t>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1294. Cuando la oferta se haga sin fijación de plazo a una persona no presente, el autor de la oferta quedará ligado durante tres días, además del tiempo necesario para la </w:t>
      </w:r>
      <w:r w:rsidRPr="00E3353F">
        <w:rPr>
          <w:rFonts w:ascii="Verdana" w:eastAsia="Calibri" w:hAnsi="Verdana" w:cs="Times New Roman"/>
          <w:sz w:val="20"/>
          <w:szCs w:val="20"/>
        </w:rPr>
        <w:lastRenderedPageBreak/>
        <w:t>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1307. Hay violencia cuando se emplea fuerza física o amenazas que importen peligro de perder la vida, la honra, la libertad, la salud o una parte considerable de los bienes del contratante, de su cónyuge, de sus ascendientes, de sus descendientes, de sus parientes </w:t>
      </w:r>
      <w:r w:rsidRPr="00E3353F">
        <w:rPr>
          <w:rFonts w:ascii="Verdana" w:eastAsia="Calibri" w:hAnsi="Verdana" w:cs="Times New Roman"/>
          <w:sz w:val="20"/>
          <w:szCs w:val="20"/>
        </w:rPr>
        <w:lastRenderedPageBreak/>
        <w:t>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1629. Si al denunciar el pleito o durante él, reconoce el que enajenó el derecho del que reclama, y se obliga a pagar conforme a las prescripciones de este capítulo, sólo será </w:t>
      </w:r>
      <w:r w:rsidRPr="00E3353F">
        <w:rPr>
          <w:rFonts w:ascii="Verdana" w:eastAsia="Calibri" w:hAnsi="Verdana" w:cs="Times New Roman"/>
          <w:sz w:val="20"/>
          <w:szCs w:val="20"/>
        </w:rPr>
        <w:lastRenderedPageBreak/>
        <w:t>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w:t>
      </w:r>
      <w:r w:rsidRPr="00E3353F">
        <w:rPr>
          <w:rFonts w:ascii="Verdana" w:eastAsia="Calibri" w:hAnsi="Verdana" w:cs="Times New Roman"/>
          <w:sz w:val="20"/>
          <w:szCs w:val="20"/>
        </w:rPr>
        <w:lastRenderedPageBreak/>
        <w:t xml:space="preserve">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1723. Cuando la falta de forma produzca nulidad del acto, si la voluntad de las partes ha quedado constante de una manera indubitable y no se trata de un acto revocable, </w:t>
      </w:r>
      <w:r w:rsidRPr="00E3353F">
        <w:rPr>
          <w:rFonts w:ascii="Verdana" w:eastAsia="Calibri" w:hAnsi="Verdana" w:cs="Times New Roman"/>
          <w:sz w:val="20"/>
          <w:szCs w:val="20"/>
        </w:rPr>
        <w:lastRenderedPageBreak/>
        <w:t>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lesión puede renunciarse salvo el caso de que la desproporción entre la prestación de una de las partes y la de la otra dependiere del estado de necesidad, inexperiencia o suma </w:t>
      </w:r>
      <w:r w:rsidRPr="00E3353F">
        <w:rPr>
          <w:rFonts w:ascii="Verdana" w:eastAsia="Calibri" w:hAnsi="Verdana" w:cs="Times New Roman"/>
          <w:sz w:val="20"/>
          <w:szCs w:val="20"/>
        </w:rPr>
        <w:lastRenderedPageBreak/>
        <w:t>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1849. Si la donación fuere de ciertos y determinados bienes, el donatario no responderá de las deudas del donante, pero cuando sobre los bienes donados estuviere constituida alguna hipoteca o prenda responderá solamente por el crédito hipotecario o </w:t>
      </w:r>
      <w:r w:rsidRPr="00E3353F">
        <w:rPr>
          <w:rFonts w:ascii="Verdana" w:eastAsia="Calibri" w:hAnsi="Verdana" w:cs="Times New Roman"/>
          <w:sz w:val="20"/>
          <w:szCs w:val="20"/>
        </w:rPr>
        <w:lastRenderedPageBreak/>
        <w:t>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los efectos del párrafo anterior el interés legal se determinará atendiendo al promedio del CPP Banxico vigente en la fecha en que la obligación fue exigible y la fecha del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1897. Si se ha convenido un interés más alto que el 100% del Costo Porcentual Promedio, (CPP Banxico) el deudor en cualquier tiempo a partir de la fecha de celebración del </w:t>
      </w:r>
      <w:proofErr w:type="gramStart"/>
      <w:r w:rsidRPr="00E3353F">
        <w:rPr>
          <w:rFonts w:ascii="Verdana" w:eastAsia="Calibri" w:hAnsi="Verdana" w:cs="Times New Roman"/>
          <w:sz w:val="20"/>
          <w:szCs w:val="20"/>
        </w:rPr>
        <w:t>contrato,</w:t>
      </w:r>
      <w:proofErr w:type="gramEnd"/>
      <w:r w:rsidRPr="00E3353F">
        <w:rPr>
          <w:rFonts w:ascii="Verdana" w:eastAsia="Calibri" w:hAnsi="Verdana" w:cs="Times New Roman"/>
          <w:sz w:val="20"/>
          <w:szCs w:val="20"/>
        </w:rPr>
        <w:t xml:space="preserve">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1982. Todos los arrendamientos, sean de predios rústicos o urbanos, que no se hayan celebrado por tiempo expresamente determinado, concluirán a voluntad de cualquiera de </w:t>
      </w:r>
      <w:r w:rsidRPr="00E3353F">
        <w:rPr>
          <w:rFonts w:ascii="Verdana" w:eastAsia="Calibri" w:hAnsi="Verdana" w:cs="Times New Roman"/>
          <w:sz w:val="20"/>
          <w:szCs w:val="20"/>
        </w:rPr>
        <w:lastRenderedPageBreak/>
        <w:t>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2045. Para que los dueños de establecimientos donde se reciben huéspedes sean responsables del dinero, valores y objetos de precio notoriamente elevado que introduzcan </w:t>
      </w:r>
      <w:r w:rsidRPr="00E3353F">
        <w:rPr>
          <w:rFonts w:ascii="Verdana" w:eastAsia="Calibri" w:hAnsi="Verdana" w:cs="Times New Roman"/>
          <w:sz w:val="20"/>
          <w:szCs w:val="20"/>
        </w:rPr>
        <w:lastRenderedPageBreak/>
        <w:t>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w:t>
      </w:r>
      <w:r w:rsidRPr="00E3353F">
        <w:rPr>
          <w:rFonts w:ascii="Verdana" w:eastAsia="Calibri" w:hAnsi="Verdana" w:cs="Times New Roman"/>
          <w:sz w:val="20"/>
          <w:szCs w:val="20"/>
        </w:rPr>
        <w:lastRenderedPageBreak/>
        <w:t>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w:t>
      </w:r>
      <w:r w:rsidRPr="00E3353F">
        <w:rPr>
          <w:rFonts w:ascii="Verdana" w:eastAsia="Calibri" w:hAnsi="Verdana" w:cs="Times New Roman"/>
          <w:sz w:val="20"/>
          <w:szCs w:val="20"/>
        </w:rPr>
        <w:lastRenderedPageBreak/>
        <w:t>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2195. La asamblea general se reunirá en la época fijada en los estatutos o cuando sea convocada por la dirección. Esta deberá citar a asamblea cuando para ello fuere requerida </w:t>
      </w:r>
      <w:r w:rsidRPr="00E3353F">
        <w:rPr>
          <w:rFonts w:ascii="Verdana" w:eastAsia="Calibri" w:hAnsi="Verdana" w:cs="Times New Roman"/>
          <w:sz w:val="20"/>
          <w:szCs w:val="20"/>
        </w:rPr>
        <w:lastRenderedPageBreak/>
        <w:t>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2212. El contrato de sociedad debe inscribirse con el Registro Público para que produzca efectos contra tercero. Antes de que se inscriba en el Registro Público de la Propiedad el contrato de sociedad, surtirá efectos entre los socios. Los terceros sí podrán </w:t>
      </w:r>
      <w:r w:rsidRPr="00E3353F">
        <w:rPr>
          <w:rFonts w:ascii="Verdana" w:eastAsia="Calibri" w:hAnsi="Verdana" w:cs="Times New Roman"/>
          <w:sz w:val="20"/>
          <w:szCs w:val="20"/>
        </w:rPr>
        <w:lastRenderedPageBreak/>
        <w:t>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w:t>
      </w:r>
      <w:r w:rsidRPr="00E3353F">
        <w:rPr>
          <w:rFonts w:ascii="Verdana" w:eastAsia="Calibri" w:hAnsi="Verdana" w:cs="Times New Roman"/>
          <w:sz w:val="20"/>
          <w:szCs w:val="20"/>
        </w:rPr>
        <w:lastRenderedPageBreak/>
        <w:t>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2257. El que haga voluntariamente una deuda procedente del juego prohibido, o sus herederos, tiene derecho de reclamar la devolución del cincuenta por ciento de lo que se </w:t>
      </w:r>
      <w:r w:rsidRPr="00E3353F">
        <w:rPr>
          <w:rFonts w:ascii="Verdana" w:eastAsia="Calibri" w:hAnsi="Verdana" w:cs="Times New Roman"/>
          <w:sz w:val="20"/>
          <w:szCs w:val="20"/>
        </w:rPr>
        <w:lastRenderedPageBreak/>
        <w:t>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2494. El registro será público. Los encargados de la oficina tienen la obligación de permitir a las personas que lo soliciten que se enteren de las inscripciones constantes en los libros del Registro y de los documentos relacionados con las inscripciones, que estén </w:t>
      </w:r>
      <w:r w:rsidRPr="000E6407">
        <w:rPr>
          <w:rFonts w:ascii="Verdana" w:hAnsi="Verdana"/>
          <w:sz w:val="20"/>
          <w:szCs w:val="20"/>
        </w:rPr>
        <w:lastRenderedPageBreak/>
        <w:t>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lastRenderedPageBreak/>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Default="0002256E" w:rsidP="00400B12">
      <w:pPr>
        <w:pStyle w:val="Estilo"/>
        <w:rPr>
          <w:rFonts w:ascii="Verdana" w:hAnsi="Verdana"/>
          <w:sz w:val="20"/>
          <w:szCs w:val="20"/>
        </w:rPr>
      </w:pPr>
    </w:p>
    <w:p w14:paraId="37AAC887" w14:textId="77777777" w:rsidR="0002256E" w:rsidRPr="0002256E" w:rsidRDefault="0002256E" w:rsidP="0002256E">
      <w:pPr>
        <w:pStyle w:val="Estilo"/>
        <w:jc w:val="right"/>
        <w:rPr>
          <w:rFonts w:ascii="Verdana" w:hAnsi="Verdana"/>
          <w:sz w:val="20"/>
          <w:szCs w:val="20"/>
        </w:rPr>
      </w:pPr>
      <w:r w:rsidRPr="0002256E">
        <w:rPr>
          <w:rFonts w:ascii="Verdana" w:hAnsi="Verdana"/>
          <w:sz w:val="20"/>
          <w:szCs w:val="20"/>
        </w:rPr>
        <w:t>(REFORMADO, P.O. 19 DE ENERO DE 1996)</w:t>
      </w:r>
    </w:p>
    <w:p w14:paraId="2DDBAB5A" w14:textId="77777777" w:rsidR="0002256E" w:rsidRPr="0002256E" w:rsidRDefault="0002256E" w:rsidP="0002256E">
      <w:pPr>
        <w:pStyle w:val="Estilo"/>
        <w:rPr>
          <w:rFonts w:ascii="Verdana" w:hAnsi="Verdana"/>
          <w:sz w:val="20"/>
          <w:szCs w:val="20"/>
        </w:rPr>
      </w:pPr>
      <w:r w:rsidRPr="0002256E">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02256E">
        <w:rPr>
          <w:rFonts w:ascii="Verdana" w:hAnsi="Verdana"/>
          <w:sz w:val="20"/>
          <w:szCs w:val="20"/>
        </w:rPr>
        <w:t>otorgamiento,</w:t>
      </w:r>
      <w:proofErr w:type="gramEnd"/>
      <w:r w:rsidRPr="0002256E">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5F495A09" w14:textId="77777777" w:rsidR="0002256E" w:rsidRPr="0002256E" w:rsidRDefault="0002256E" w:rsidP="0002256E">
      <w:pPr>
        <w:pStyle w:val="Estilo"/>
        <w:rPr>
          <w:rFonts w:ascii="Verdana" w:hAnsi="Verdana"/>
          <w:sz w:val="20"/>
          <w:szCs w:val="20"/>
        </w:rPr>
      </w:pPr>
    </w:p>
    <w:p w14:paraId="1C0FE9E8" w14:textId="77777777" w:rsidR="0002256E" w:rsidRPr="0002256E" w:rsidRDefault="0002256E" w:rsidP="0002256E">
      <w:pPr>
        <w:pStyle w:val="Estilo"/>
        <w:rPr>
          <w:rFonts w:ascii="Verdana" w:hAnsi="Verdana"/>
          <w:sz w:val="20"/>
          <w:szCs w:val="20"/>
        </w:rPr>
      </w:pPr>
      <w:r w:rsidRPr="0002256E">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siguientes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w:t>
      </w:r>
      <w:r w:rsidRPr="0002256E">
        <w:rPr>
          <w:rFonts w:ascii="Verdana" w:hAnsi="Verdana"/>
          <w:sz w:val="20"/>
          <w:szCs w:val="20"/>
        </w:rPr>
        <w:lastRenderedPageBreak/>
        <w:t>presentación de la solicitud a que se refiere el mismo párrafo, en caso contrario, sólo surtirá efectos desde la fecha en que fue presentado y según el número de entrada que le corresponda.</w:t>
      </w:r>
    </w:p>
    <w:p w14:paraId="298D2C92" w14:textId="77777777" w:rsidR="0002256E" w:rsidRPr="0002256E" w:rsidRDefault="0002256E" w:rsidP="0002256E">
      <w:pPr>
        <w:pStyle w:val="Estilo"/>
        <w:rPr>
          <w:rFonts w:ascii="Verdana" w:hAnsi="Verdana"/>
          <w:sz w:val="20"/>
          <w:szCs w:val="20"/>
        </w:rPr>
      </w:pPr>
    </w:p>
    <w:p w14:paraId="27F394DD" w14:textId="77777777" w:rsidR="0002256E" w:rsidRPr="0002256E" w:rsidRDefault="0002256E" w:rsidP="0002256E">
      <w:pPr>
        <w:pStyle w:val="Estilo"/>
        <w:rPr>
          <w:rFonts w:ascii="Verdana" w:hAnsi="Verdana"/>
          <w:sz w:val="20"/>
          <w:szCs w:val="20"/>
        </w:rPr>
      </w:pPr>
      <w:r w:rsidRPr="0002256E">
        <w:rPr>
          <w:rFonts w:ascii="Verdana" w:hAnsi="Verdana"/>
          <w:sz w:val="20"/>
          <w:szCs w:val="20"/>
        </w:rPr>
        <w:t>Si el testimonio respectivo se presentare el Registro Público dentro de cualquiera de los términos que señalan los dos párrafos anteriores, su inscripción surtirá efectos contra terceros desde la fecha de presentación del aviso y con arreglo a su número de entrada. Si el documento se presentare fenecidos los referidos plazos, su registro sólo surtirá efectos desde la fecha de presentación.</w:t>
      </w:r>
    </w:p>
    <w:p w14:paraId="46A2A220" w14:textId="77777777" w:rsidR="0002256E" w:rsidRPr="0002256E" w:rsidRDefault="0002256E" w:rsidP="0002256E">
      <w:pPr>
        <w:pStyle w:val="Estilo"/>
        <w:rPr>
          <w:rFonts w:ascii="Verdana" w:hAnsi="Verdana"/>
          <w:sz w:val="20"/>
          <w:szCs w:val="20"/>
        </w:rPr>
      </w:pPr>
    </w:p>
    <w:p w14:paraId="6832762C" w14:textId="77777777" w:rsidR="0002256E" w:rsidRPr="0002256E" w:rsidRDefault="0002256E" w:rsidP="0002256E">
      <w:pPr>
        <w:pStyle w:val="Estilo"/>
        <w:rPr>
          <w:rFonts w:ascii="Verdana" w:hAnsi="Verdana"/>
          <w:sz w:val="20"/>
          <w:szCs w:val="20"/>
        </w:rPr>
      </w:pPr>
      <w:r w:rsidRPr="0002256E">
        <w:rPr>
          <w:rFonts w:ascii="Verdana" w:hAnsi="Verdana"/>
          <w:sz w:val="20"/>
          <w:szCs w:val="20"/>
        </w:rPr>
        <w:t>Si el documento en que conste alguna de las operaciones que se mencionan en el párrafo primero de este artículo fuere privado, podrá dar aviso preventivo, con vigencia por noventa días,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2EC59F0" w14:textId="77777777" w:rsidR="0002256E" w:rsidRPr="0002256E" w:rsidRDefault="0002256E" w:rsidP="0002256E">
      <w:pPr>
        <w:pStyle w:val="Estilo"/>
        <w:rPr>
          <w:rFonts w:ascii="Verdana" w:hAnsi="Verdana"/>
          <w:sz w:val="20"/>
          <w:szCs w:val="20"/>
        </w:rPr>
      </w:pPr>
    </w:p>
    <w:p w14:paraId="704331DD" w14:textId="77777777" w:rsidR="0002256E" w:rsidRPr="0002256E" w:rsidRDefault="0002256E" w:rsidP="0002256E">
      <w:pPr>
        <w:pStyle w:val="Estilo"/>
        <w:rPr>
          <w:rFonts w:ascii="Verdana" w:hAnsi="Verdana"/>
          <w:sz w:val="20"/>
          <w:szCs w:val="20"/>
        </w:rPr>
      </w:pPr>
      <w:r w:rsidRPr="0002256E">
        <w:rPr>
          <w:rFonts w:ascii="Verdana" w:hAnsi="Verdana"/>
          <w:sz w:val="20"/>
          <w:szCs w:val="20"/>
        </w:rPr>
        <w:t>Igualmente podrá registrarse en forma preventiva, el embargo sobre bienes inmuebles a petición del ejecutante, o su representante, mediante simple aviso por escrito que deberá expedir el Ministro Ejecutor en el momento de la diligencia judicial que contenga los nombres de las partes en el juicio o providencia en que se hubiere despachado, el tribunal que despacho la ejecución, el número del expediente correspondiente, el monto del crédito o de la providencia precautoria, la naturaleza del juicio o providencia,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5CDCD7DB" w14:textId="77777777" w:rsidR="0002256E" w:rsidRPr="0002256E" w:rsidRDefault="0002256E" w:rsidP="0002256E">
      <w:pPr>
        <w:pStyle w:val="Estilo"/>
        <w:rPr>
          <w:rFonts w:ascii="Verdana" w:hAnsi="Verdana"/>
          <w:sz w:val="20"/>
          <w:szCs w:val="20"/>
        </w:rPr>
      </w:pPr>
    </w:p>
    <w:p w14:paraId="1F51CE0B" w14:textId="77777777" w:rsidR="0002256E" w:rsidRPr="0002256E" w:rsidRDefault="0002256E" w:rsidP="0002256E">
      <w:pPr>
        <w:pStyle w:val="Estilo"/>
        <w:rPr>
          <w:rFonts w:ascii="Verdana" w:hAnsi="Verdana"/>
          <w:sz w:val="20"/>
          <w:szCs w:val="20"/>
        </w:rPr>
      </w:pPr>
      <w:r w:rsidRPr="0002256E">
        <w:rPr>
          <w:rFonts w:ascii="Verdana" w:hAnsi="Verdana"/>
          <w:sz w:val="20"/>
          <w:szCs w:val="20"/>
        </w:rPr>
        <w:t>Los avisos preventivos a que se refiere este artículo no causarán pago de derechos.</w:t>
      </w:r>
    </w:p>
    <w:p w14:paraId="6768B9BF" w14:textId="77777777" w:rsidR="0002256E" w:rsidRPr="000E6407" w:rsidRDefault="0002256E"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2530. Los administradores de los bienes de los menores, incapacitados, ausentes o ignorados, aunque habilitados para recibir pagos y dar recibos, sólo pueden consentir en </w:t>
      </w:r>
      <w:r w:rsidRPr="00E3353F">
        <w:rPr>
          <w:rFonts w:ascii="Verdana" w:eastAsia="Calibri" w:hAnsi="Verdana" w:cs="Times New Roman"/>
          <w:sz w:val="20"/>
          <w:szCs w:val="20"/>
        </w:rPr>
        <w:lastRenderedPageBreak/>
        <w:t>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2531. La cancelación de las inscripciones de hipotecas constituidas en garantía de títulos transmisibles por </w:t>
      </w:r>
      <w:proofErr w:type="gramStart"/>
      <w:r w:rsidRPr="00E3353F">
        <w:rPr>
          <w:rFonts w:ascii="Verdana" w:eastAsia="Calibri" w:hAnsi="Verdana" w:cs="Times New Roman"/>
          <w:sz w:val="20"/>
          <w:szCs w:val="20"/>
        </w:rPr>
        <w:t>endoso,</w:t>
      </w:r>
      <w:proofErr w:type="gramEnd"/>
      <w:r w:rsidRPr="00E3353F">
        <w:rPr>
          <w:rFonts w:ascii="Verdana" w:eastAsia="Calibri" w:hAnsi="Verdana" w:cs="Times New Roman"/>
          <w:sz w:val="20"/>
          <w:szCs w:val="20"/>
        </w:rPr>
        <w:t xml:space="preserve">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2536. Las inscripciones preventivas se cancelarán no solamente cuando se extinga el derecho inscrito, sino también cuando esa inscripción se </w:t>
      </w:r>
      <w:proofErr w:type="gramStart"/>
      <w:r w:rsidRPr="00E3353F">
        <w:rPr>
          <w:rFonts w:ascii="Verdana" w:eastAsia="Calibri" w:hAnsi="Verdana" w:cs="Times New Roman"/>
          <w:sz w:val="20"/>
          <w:szCs w:val="20"/>
        </w:rPr>
        <w:t>convierta</w:t>
      </w:r>
      <w:proofErr w:type="gramEnd"/>
      <w:r w:rsidRPr="00E3353F">
        <w:rPr>
          <w:rFonts w:ascii="Verdana" w:eastAsia="Calibri" w:hAnsi="Verdana" w:cs="Times New Roman"/>
          <w:sz w:val="20"/>
          <w:szCs w:val="20"/>
        </w:rPr>
        <w:t xml:space="preserve">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w:t>
      </w:r>
      <w:r w:rsidRPr="00E3353F">
        <w:rPr>
          <w:rFonts w:ascii="Verdana" w:eastAsia="Calibri" w:hAnsi="Verdana" w:cs="Times New Roman"/>
          <w:sz w:val="20"/>
          <w:szCs w:val="20"/>
        </w:rPr>
        <w:lastRenderedPageBreak/>
        <w:t>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1BC4A59A" w14:textId="77777777" w:rsidR="00E3353F" w:rsidRPr="00E3353F" w:rsidRDefault="00E3353F" w:rsidP="00E3353F">
      <w:pPr>
        <w:spacing w:after="0" w:line="240" w:lineRule="auto"/>
        <w:jc w:val="both"/>
        <w:rPr>
          <w:rFonts w:ascii="Verdana" w:eastAsia="Calibri" w:hAnsi="Verdana" w:cs="Times New Roman"/>
          <w:sz w:val="20"/>
          <w:szCs w:val="20"/>
        </w:rPr>
      </w:pPr>
    </w:p>
    <w:p w14:paraId="6211B2B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5C026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14:paraId="6292A5FB" w14:textId="77777777" w:rsidR="00E3353F" w:rsidRPr="00E3353F" w:rsidRDefault="00E3353F" w:rsidP="00E3353F">
      <w:pPr>
        <w:spacing w:after="0" w:line="240" w:lineRule="auto"/>
        <w:jc w:val="both"/>
        <w:rPr>
          <w:rFonts w:ascii="Verdana" w:eastAsia="Calibri" w:hAnsi="Verdana" w:cs="Times New Roman"/>
          <w:sz w:val="20"/>
          <w:szCs w:val="20"/>
        </w:rPr>
      </w:pPr>
    </w:p>
    <w:p w14:paraId="2EF66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Tan luego que sepa la muerte del testador, el Notario que hubiere autorizado el </w:t>
      </w:r>
      <w:proofErr w:type="spellStart"/>
      <w:r w:rsidRPr="00E3353F">
        <w:rPr>
          <w:rFonts w:ascii="Verdana" w:eastAsia="Calibri" w:hAnsi="Verdana" w:cs="Times New Roman"/>
          <w:sz w:val="20"/>
          <w:szCs w:val="20"/>
        </w:rPr>
        <w:t>testtmento</w:t>
      </w:r>
      <w:proofErr w:type="spellEnd"/>
      <w:r w:rsidRPr="00E3353F">
        <w:rPr>
          <w:rFonts w:ascii="Verdana" w:eastAsia="Calibri" w:hAnsi="Verdana" w:cs="Times New Roman"/>
          <w:sz w:val="20"/>
          <w:szCs w:val="20"/>
        </w:rPr>
        <w:t xml:space="preserve"> (sic), o quien lo substituya,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interesados. Si no lo hace, es responsable de los daños y </w:t>
      </w:r>
      <w:proofErr w:type="spellStart"/>
      <w:r w:rsidRPr="00E3353F">
        <w:rPr>
          <w:rFonts w:ascii="Verdana" w:eastAsia="Calibri" w:hAnsi="Verdana" w:cs="Times New Roman"/>
          <w:sz w:val="20"/>
          <w:szCs w:val="20"/>
        </w:rPr>
        <w:t>prejuicios</w:t>
      </w:r>
      <w:proofErr w:type="spellEnd"/>
      <w:r w:rsidRPr="00E3353F">
        <w:rPr>
          <w:rFonts w:ascii="Verdana" w:eastAsia="Calibri" w:hAnsi="Verdana" w:cs="Times New Roman"/>
          <w:sz w:val="20"/>
          <w:szCs w:val="20"/>
        </w:rPr>
        <w:t xml:space="preserve"> que la dilación ocasione.</w:t>
      </w:r>
    </w:p>
    <w:p w14:paraId="3DBF62D4" w14:textId="77777777" w:rsidR="00E3353F" w:rsidRPr="00E3353F" w:rsidRDefault="00E3353F" w:rsidP="00E3353F">
      <w:pPr>
        <w:spacing w:after="0" w:line="240" w:lineRule="auto"/>
        <w:jc w:val="both"/>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w:t>
      </w:r>
      <w:proofErr w:type="gramStart"/>
      <w:r w:rsidRPr="00E3353F">
        <w:rPr>
          <w:rFonts w:ascii="Verdana" w:eastAsia="Calibri" w:hAnsi="Verdana" w:cs="Times New Roman"/>
          <w:sz w:val="20"/>
          <w:szCs w:val="20"/>
        </w:rPr>
        <w:t>todos el instrumento</w:t>
      </w:r>
      <w:proofErr w:type="gramEnd"/>
      <w:r w:rsidRPr="00E3353F">
        <w:rPr>
          <w:rFonts w:ascii="Verdana" w:eastAsia="Calibri" w:hAnsi="Verdana" w:cs="Times New Roman"/>
          <w:sz w:val="20"/>
          <w:szCs w:val="20"/>
        </w:rPr>
        <w:t>,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w:t>
      </w:r>
      <w:r w:rsidRPr="00E3353F">
        <w:rPr>
          <w:rFonts w:ascii="Verdana" w:eastAsia="Calibri" w:hAnsi="Verdana" w:cs="Times New Roman"/>
          <w:sz w:val="20"/>
          <w:szCs w:val="20"/>
        </w:rPr>
        <w:lastRenderedPageBreak/>
        <w:t>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2878. Háyase o no dado el aviso de que habla el artículo 2876 al aproximarse la época del parto, la viuda deberá ponerlo en conocimiento del Juez, para que lo haga saber a los interesados. Estos tienen derecho de pedir que el Juez nombre una persona que se cerciore </w:t>
      </w:r>
      <w:r w:rsidRPr="00E3353F">
        <w:rPr>
          <w:rFonts w:ascii="Verdana" w:eastAsia="Calibri" w:hAnsi="Verdana" w:cs="Times New Roman"/>
          <w:sz w:val="20"/>
          <w:szCs w:val="20"/>
        </w:rPr>
        <w:lastRenderedPageBreak/>
        <w:t>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2890. El derecho de reclamar la herencia es transmisible, a su vez, hereditariamente. Prescribe este derecho en el término de diez años, pero se considerará interrumpida la prescripción cuando el heredero esté en posesión de los bienes hereditarios, haya </w:t>
      </w:r>
      <w:r w:rsidRPr="00E3353F">
        <w:rPr>
          <w:rFonts w:ascii="Verdana" w:eastAsia="Calibri" w:hAnsi="Verdana" w:cs="Times New Roman"/>
          <w:sz w:val="20"/>
          <w:szCs w:val="20"/>
        </w:rPr>
        <w:lastRenderedPageBreak/>
        <w:t>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2945. Los albaceas, dentro de los quince días siguientes a la aprobación del inventario, propondrán al Juez la distribución provisional de los productos de los bienes hereditarios, </w:t>
      </w:r>
      <w:r w:rsidRPr="00E3353F">
        <w:rPr>
          <w:rFonts w:ascii="Verdana" w:eastAsia="Calibri" w:hAnsi="Verdana" w:cs="Times New Roman"/>
          <w:sz w:val="20"/>
          <w:szCs w:val="20"/>
        </w:rPr>
        <w:lastRenderedPageBreak/>
        <w:t>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2952. Cuando la propiedad de la cosa ajena conste por medios diversos de los enumerados en el artículo que precede, el albacea se limitará a poner al margen de las </w:t>
      </w:r>
      <w:r w:rsidRPr="00E3353F">
        <w:rPr>
          <w:rFonts w:ascii="Verdana" w:eastAsia="Calibri" w:hAnsi="Verdana" w:cs="Times New Roman"/>
          <w:sz w:val="20"/>
          <w:szCs w:val="20"/>
        </w:rPr>
        <w:lastRenderedPageBreak/>
        <w:t>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lastRenderedPageBreak/>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14D7" w14:textId="77777777" w:rsidR="006E249B" w:rsidRDefault="006E249B">
      <w:pPr>
        <w:spacing w:after="0" w:line="240" w:lineRule="auto"/>
      </w:pPr>
      <w:r>
        <w:separator/>
      </w:r>
    </w:p>
  </w:endnote>
  <w:endnote w:type="continuationSeparator" w:id="0">
    <w:p w14:paraId="305E488C" w14:textId="77777777" w:rsidR="006E249B" w:rsidRDefault="006E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8EC2" w14:textId="77777777" w:rsidR="006E249B" w:rsidRDefault="006E249B">
      <w:pPr>
        <w:spacing w:after="0" w:line="240" w:lineRule="auto"/>
      </w:pPr>
      <w:r>
        <w:separator/>
      </w:r>
    </w:p>
  </w:footnote>
  <w:footnote w:type="continuationSeparator" w:id="0">
    <w:p w14:paraId="7165E76D" w14:textId="77777777" w:rsidR="006E249B" w:rsidRDefault="006E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0BB65089"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7F7D6B">
            <w:rPr>
              <w:rFonts w:ascii="Arial Narrow" w:eastAsia="Arial Unicode MS" w:hAnsi="Arial Narrow" w:cs="Arial Unicode MS"/>
              <w:i/>
              <w:sz w:val="13"/>
              <w:szCs w:val="13"/>
            </w:rPr>
            <w:t xml:space="preserve"> 6</w:t>
          </w:r>
          <w:r w:rsidR="00CF77D6">
            <w:rPr>
              <w:rFonts w:ascii="Arial Narrow" w:eastAsia="Arial Unicode MS" w:hAnsi="Arial Narrow" w:cs="Arial Unicode MS"/>
              <w:i/>
              <w:sz w:val="13"/>
              <w:szCs w:val="13"/>
            </w:rPr>
            <w:t>1</w:t>
          </w:r>
          <w:r w:rsidR="007F7D6B">
            <w:rPr>
              <w:rFonts w:ascii="Arial Narrow" w:eastAsia="Arial Unicode MS" w:hAnsi="Arial Narrow" w:cs="Arial Unicode MS"/>
              <w:i/>
              <w:sz w:val="13"/>
              <w:szCs w:val="13"/>
            </w:rPr>
            <w:t xml:space="preserve">ª, </w:t>
          </w:r>
          <w:r w:rsidR="0002256E">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CF77D6">
            <w:rPr>
              <w:rFonts w:ascii="Arial Narrow" w:eastAsia="Arial Unicode MS" w:hAnsi="Arial Narrow" w:cs="Arial Unicode MS"/>
              <w:i/>
              <w:sz w:val="13"/>
              <w:szCs w:val="13"/>
            </w:rPr>
            <w:t>30-07-1996</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6E249B"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97872"/>
    <w:rsid w:val="000E6407"/>
    <w:rsid w:val="00204035"/>
    <w:rsid w:val="002B7C80"/>
    <w:rsid w:val="003F67D8"/>
    <w:rsid w:val="00400B12"/>
    <w:rsid w:val="0041445D"/>
    <w:rsid w:val="00471524"/>
    <w:rsid w:val="00494FC3"/>
    <w:rsid w:val="004C309A"/>
    <w:rsid w:val="004C5B70"/>
    <w:rsid w:val="00542F05"/>
    <w:rsid w:val="005E6032"/>
    <w:rsid w:val="00606959"/>
    <w:rsid w:val="00676D53"/>
    <w:rsid w:val="006E249B"/>
    <w:rsid w:val="00744494"/>
    <w:rsid w:val="007B2969"/>
    <w:rsid w:val="007F7D6B"/>
    <w:rsid w:val="0088030B"/>
    <w:rsid w:val="00964391"/>
    <w:rsid w:val="00992329"/>
    <w:rsid w:val="00A4758D"/>
    <w:rsid w:val="00A956DB"/>
    <w:rsid w:val="00AC1129"/>
    <w:rsid w:val="00B50618"/>
    <w:rsid w:val="00B65FFC"/>
    <w:rsid w:val="00B96DF5"/>
    <w:rsid w:val="00BD1D15"/>
    <w:rsid w:val="00BD4C56"/>
    <w:rsid w:val="00C20A01"/>
    <w:rsid w:val="00CF77D6"/>
    <w:rsid w:val="00D14CA3"/>
    <w:rsid w:val="00D20DE7"/>
    <w:rsid w:val="00D57BA0"/>
    <w:rsid w:val="00D910DA"/>
    <w:rsid w:val="00DE53FF"/>
    <w:rsid w:val="00E3353F"/>
    <w:rsid w:val="00E66131"/>
    <w:rsid w:val="00EA05FE"/>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328</Pages>
  <Words>128026</Words>
  <Characters>704146</Characters>
  <Application>Microsoft Office Word</Application>
  <DocSecurity>0</DocSecurity>
  <Lines>5867</Lines>
  <Paragraphs>1661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12</cp:revision>
  <cp:lastPrinted>2021-05-10T18:28:00Z</cp:lastPrinted>
  <dcterms:created xsi:type="dcterms:W3CDTF">2021-05-10T17:45:00Z</dcterms:created>
  <dcterms:modified xsi:type="dcterms:W3CDTF">2021-05-10T18:30:00Z</dcterms:modified>
</cp:coreProperties>
</file>