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2C3F4304" w14:textId="77777777" w:rsidR="004E1D86" w:rsidRPr="004E1D86" w:rsidRDefault="004E1D86" w:rsidP="004E1D86">
      <w:pPr>
        <w:pStyle w:val="Estilo"/>
        <w:rPr>
          <w:rFonts w:ascii="Verdana" w:hAnsi="Verdana"/>
          <w:sz w:val="20"/>
          <w:szCs w:val="20"/>
        </w:rPr>
      </w:pPr>
      <w:r w:rsidRPr="004E1D86">
        <w:rPr>
          <w:rFonts w:ascii="Verdana" w:hAnsi="Verdana"/>
          <w:sz w:val="20"/>
          <w:szCs w:val="20"/>
        </w:rPr>
        <w:t>ULTIMA REFORMA PUBLICADA EN EL PERIODICO OFICIAL: 4 DE JULIO DE 1997.</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1E06639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626B579" w14:textId="460CD034" w:rsidR="00CF77D6" w:rsidRDefault="00CF77D6" w:rsidP="00E3353F">
      <w:pPr>
        <w:spacing w:after="0" w:line="240" w:lineRule="auto"/>
        <w:jc w:val="both"/>
        <w:rPr>
          <w:rFonts w:ascii="Verdana" w:eastAsia="Calibri" w:hAnsi="Verdana" w:cs="Times New Roman"/>
          <w:sz w:val="20"/>
          <w:szCs w:val="20"/>
        </w:rPr>
      </w:pPr>
    </w:p>
    <w:p w14:paraId="26AE4678"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06D2440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73. Toda persona que encontrase a un recién nacido, o en cuya casa o propiedad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esta proceda a lo siguiente:</w:t>
      </w:r>
    </w:p>
    <w:p w14:paraId="4B88C9F6" w14:textId="77777777" w:rsidR="00CF77D6" w:rsidRPr="00CF77D6" w:rsidRDefault="00CF77D6" w:rsidP="00CF77D6">
      <w:pPr>
        <w:pStyle w:val="Estilo"/>
        <w:rPr>
          <w:rFonts w:ascii="Verdana" w:hAnsi="Verdana"/>
          <w:sz w:val="20"/>
          <w:szCs w:val="20"/>
        </w:rPr>
      </w:pPr>
    </w:p>
    <w:p w14:paraId="59B8C12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 Denunciar los hechos ante el Ministerio Público;</w:t>
      </w:r>
    </w:p>
    <w:p w14:paraId="1FD6C664" w14:textId="77777777" w:rsidR="00CF77D6" w:rsidRPr="00CF77D6" w:rsidRDefault="00CF77D6" w:rsidP="00CF77D6">
      <w:pPr>
        <w:pStyle w:val="Estilo"/>
        <w:rPr>
          <w:rFonts w:ascii="Verdana" w:hAnsi="Verdana"/>
          <w:sz w:val="20"/>
          <w:szCs w:val="20"/>
        </w:rPr>
      </w:pPr>
    </w:p>
    <w:p w14:paraId="0D85C04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II.- Presentarlo ante el Oficial del Registro Civil para que se levante el acta correspondiente;</w:t>
      </w:r>
    </w:p>
    <w:p w14:paraId="5F2DFE04" w14:textId="77777777" w:rsidR="00CF77D6" w:rsidRPr="00CF77D6" w:rsidRDefault="00CF77D6" w:rsidP="00CF77D6">
      <w:pPr>
        <w:pStyle w:val="Estilo"/>
        <w:rPr>
          <w:rFonts w:ascii="Verdana" w:hAnsi="Verdana"/>
          <w:sz w:val="20"/>
          <w:szCs w:val="20"/>
        </w:rPr>
      </w:pPr>
    </w:p>
    <w:p w14:paraId="0276CF53"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III.- Entregar la custodia del menor a las personas interesadas en su cuidado, </w:t>
      </w:r>
      <w:proofErr w:type="spellStart"/>
      <w:r w:rsidRPr="00CF77D6">
        <w:rPr>
          <w:rFonts w:ascii="Verdana" w:hAnsi="Verdana"/>
          <w:sz w:val="20"/>
          <w:szCs w:val="20"/>
        </w:rPr>
        <w:t>preferenciando</w:t>
      </w:r>
      <w:proofErr w:type="spellEnd"/>
      <w:r w:rsidRPr="00CF77D6">
        <w:rPr>
          <w:rFonts w:ascii="Verdana" w:hAnsi="Verdana"/>
          <w:sz w:val="20"/>
          <w:szCs w:val="20"/>
        </w:rPr>
        <w:t xml:space="preserve"> a aquellas que lo hayan presentado, o a una Institución de Asistencia Social; y</w:t>
      </w:r>
    </w:p>
    <w:p w14:paraId="22FC5DE6" w14:textId="77777777" w:rsidR="00CF77D6" w:rsidRPr="00CF77D6" w:rsidRDefault="00CF77D6" w:rsidP="00CF77D6">
      <w:pPr>
        <w:pStyle w:val="Estilo"/>
        <w:rPr>
          <w:rFonts w:ascii="Verdana" w:hAnsi="Verdana"/>
          <w:sz w:val="20"/>
          <w:szCs w:val="20"/>
        </w:rPr>
      </w:pPr>
    </w:p>
    <w:p w14:paraId="46AB039E"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IV.- Coadyuvar en los trámites que tiendan a la adopción del menor expósito o abandonado.</w:t>
      </w:r>
    </w:p>
    <w:p w14:paraId="29B6A4AF" w14:textId="77777777" w:rsidR="00CF77D6" w:rsidRPr="00CF77D6" w:rsidRDefault="00CF77D6" w:rsidP="00CF77D6">
      <w:pPr>
        <w:pStyle w:val="Estilo"/>
        <w:rPr>
          <w:rFonts w:ascii="Verdana" w:hAnsi="Verdana"/>
          <w:sz w:val="20"/>
          <w:szCs w:val="20"/>
        </w:rPr>
      </w:pPr>
    </w:p>
    <w:p w14:paraId="5ED890B5"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Para los efectos de la fracción III, el Procurador en materia de Asistencia Social o los Procuradores Auxiliares, en su caso, tendrán la tutela del menor.</w:t>
      </w:r>
    </w:p>
    <w:p w14:paraId="3534665E" w14:textId="77777777" w:rsidR="00CF77D6" w:rsidRPr="00CF77D6" w:rsidRDefault="00CF77D6" w:rsidP="00CF77D6">
      <w:pPr>
        <w:pStyle w:val="Estilo"/>
        <w:rPr>
          <w:rFonts w:ascii="Verdana" w:hAnsi="Verdana"/>
          <w:sz w:val="20"/>
          <w:szCs w:val="20"/>
        </w:rPr>
      </w:pPr>
    </w:p>
    <w:p w14:paraId="3647EC3B"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PRIMER PARRAFO, P.O. 30 DE JULIO DE 1996)</w:t>
      </w:r>
    </w:p>
    <w:p w14:paraId="003E633D"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o expuestos en ellas.</w:t>
      </w:r>
    </w:p>
    <w:p w14:paraId="7471B96E" w14:textId="77777777" w:rsidR="00CF77D6" w:rsidRPr="00CF77D6" w:rsidRDefault="00CF77D6" w:rsidP="00CF77D6">
      <w:pPr>
        <w:pStyle w:val="Estilo"/>
        <w:rPr>
          <w:rFonts w:ascii="Verdana" w:hAnsi="Verdana"/>
          <w:sz w:val="20"/>
          <w:szCs w:val="20"/>
        </w:rPr>
      </w:pPr>
    </w:p>
    <w:p w14:paraId="49E3997D"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29 DE ENERO DE 1982)</w:t>
      </w:r>
    </w:p>
    <w:p w14:paraId="3B84214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49C2E6F" w14:textId="77777777" w:rsidR="00CF77D6" w:rsidRPr="00E3353F" w:rsidRDefault="00CF77D6" w:rsidP="00E3353F">
      <w:pPr>
        <w:spacing w:after="0" w:line="240" w:lineRule="auto"/>
        <w:jc w:val="both"/>
        <w:rPr>
          <w:rFonts w:ascii="Verdana" w:eastAsia="Calibri" w:hAnsi="Verdana" w:cs="Times New Roman"/>
          <w:sz w:val="20"/>
          <w:szCs w:val="20"/>
        </w:rPr>
      </w:pP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w:t>
      </w:r>
      <w:r w:rsidRPr="00E3353F">
        <w:rPr>
          <w:rFonts w:ascii="Verdana" w:eastAsia="Calibri" w:hAnsi="Verdana" w:cs="Times New Roman"/>
          <w:sz w:val="20"/>
          <w:szCs w:val="20"/>
        </w:rPr>
        <w:lastRenderedPageBreak/>
        <w:t>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w:t>
      </w:r>
      <w:r w:rsidRPr="00E3353F">
        <w:rPr>
          <w:rFonts w:ascii="Verdana" w:eastAsia="Calibri" w:hAnsi="Verdana" w:cs="Times New Roman"/>
          <w:sz w:val="20"/>
          <w:szCs w:val="20"/>
        </w:rPr>
        <w:lastRenderedPageBreak/>
        <w:t>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60F90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 El matrimonio se celebrará dentro de los ocho días siguientes, en el lugar, día y hora que señale el Oficial del Registro Civil.</w:t>
      </w:r>
    </w:p>
    <w:p w14:paraId="4B8BE06F" w14:textId="77777777" w:rsidR="00E3353F" w:rsidRPr="00E3353F" w:rsidRDefault="00E3353F"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w:t>
      </w:r>
      <w:r w:rsidRPr="00E3353F">
        <w:rPr>
          <w:rFonts w:ascii="Verdana" w:eastAsia="Calibri" w:hAnsi="Verdana" w:cs="Times New Roman"/>
          <w:sz w:val="20"/>
          <w:szCs w:val="20"/>
        </w:rPr>
        <w:lastRenderedPageBreak/>
        <w:t>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w:t>
      </w:r>
      <w:r w:rsidRPr="00E3353F">
        <w:rPr>
          <w:rFonts w:ascii="Verdana" w:eastAsia="Calibri" w:hAnsi="Verdana" w:cs="Times New Roman"/>
          <w:sz w:val="20"/>
          <w:szCs w:val="20"/>
        </w:rPr>
        <w:lastRenderedPageBreak/>
        <w:t>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E3353F" w:rsidRDefault="00E3353F" w:rsidP="00E3353F">
      <w:pPr>
        <w:spacing w:after="0" w:line="240" w:lineRule="auto"/>
        <w:jc w:val="both"/>
        <w:rPr>
          <w:rFonts w:ascii="Verdana" w:eastAsia="Calibri" w:hAnsi="Verdana" w:cs="Times New Roman"/>
          <w:sz w:val="20"/>
          <w:szCs w:val="20"/>
        </w:rPr>
      </w:pPr>
    </w:p>
    <w:p w14:paraId="3A34D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 Ha lugar a pedir la rectificación cuando se solicite variar algún nombre, apellido u otra circunstancia que sea esencial o accidental.</w:t>
      </w:r>
    </w:p>
    <w:p w14:paraId="1895E60C" w14:textId="77777777" w:rsidR="00E3353F" w:rsidRPr="00E3353F" w:rsidRDefault="00E3353F" w:rsidP="00E3353F">
      <w:pPr>
        <w:spacing w:after="0" w:line="240" w:lineRule="auto"/>
        <w:jc w:val="both"/>
        <w:rPr>
          <w:rFonts w:ascii="Verdana" w:eastAsia="Calibri" w:hAnsi="Verdana" w:cs="Times New Roman"/>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67F63B2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C4920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14:paraId="4C6B62A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w:t>
      </w:r>
      <w:r w:rsidRPr="00E3353F">
        <w:rPr>
          <w:rFonts w:ascii="Verdana" w:eastAsia="Calibri" w:hAnsi="Verdana" w:cs="Times New Roman"/>
          <w:sz w:val="20"/>
          <w:szCs w:val="20"/>
        </w:rPr>
        <w:lastRenderedPageBreak/>
        <w:t>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726C6F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w:t>
      </w:r>
      <w:r w:rsidRPr="00E3353F">
        <w:rPr>
          <w:rFonts w:ascii="Verdana" w:eastAsia="Calibri" w:hAnsi="Verdana" w:cs="Times New Roman"/>
          <w:sz w:val="20"/>
          <w:szCs w:val="20"/>
        </w:rPr>
        <w:lastRenderedPageBreak/>
        <w:t>dichos gastos; a no ser que el marido estuviere imposibilitado para trabajar y careciere de bienes propios, pues entonces los gastos serán por cuenta de la mujer y se cubrirán con bienes de ella.</w:t>
      </w:r>
    </w:p>
    <w:p w14:paraId="44F1789F" w14:textId="77777777" w:rsidR="00E3353F" w:rsidRPr="00E3353F" w:rsidRDefault="00E3353F"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334F6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 Estará a cargo de la mujer la dirección y cuidado de los trabajos del hogar.</w:t>
      </w:r>
    </w:p>
    <w:p w14:paraId="07903B40" w14:textId="77777777" w:rsidR="00E3353F" w:rsidRPr="00E3353F" w:rsidRDefault="00E3353F" w:rsidP="00E3353F">
      <w:pPr>
        <w:spacing w:after="0" w:line="240" w:lineRule="auto"/>
        <w:jc w:val="both"/>
        <w:rPr>
          <w:rFonts w:ascii="Verdana" w:eastAsia="Calibri" w:hAnsi="Verdana" w:cs="Times New Roman"/>
          <w:sz w:val="20"/>
          <w:szCs w:val="20"/>
        </w:rPr>
      </w:pPr>
    </w:p>
    <w:p w14:paraId="433DAD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14:paraId="302C4BC7" w14:textId="77777777" w:rsidR="00E3353F" w:rsidRPr="00E3353F" w:rsidRDefault="00E3353F" w:rsidP="00E3353F">
      <w:pPr>
        <w:spacing w:after="0" w:line="240" w:lineRule="auto"/>
        <w:jc w:val="both"/>
        <w:rPr>
          <w:rFonts w:ascii="Verdana" w:eastAsia="Calibri" w:hAnsi="Verdana" w:cs="Times New Roman"/>
          <w:sz w:val="20"/>
          <w:szCs w:val="20"/>
        </w:rPr>
      </w:pPr>
    </w:p>
    <w:p w14:paraId="2E63D3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14:paraId="46A59289" w14:textId="77777777" w:rsidR="00E3353F" w:rsidRPr="00E3353F" w:rsidRDefault="00E3353F" w:rsidP="00E3353F">
      <w:pPr>
        <w:spacing w:after="0" w:line="240" w:lineRule="auto"/>
        <w:jc w:val="both"/>
        <w:rPr>
          <w:rFonts w:ascii="Verdana" w:eastAsia="Calibri" w:hAnsi="Verdana" w:cs="Times New Roman"/>
          <w:sz w:val="20"/>
          <w:szCs w:val="20"/>
        </w:rPr>
      </w:pPr>
    </w:p>
    <w:p w14:paraId="58F37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3F9069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 Las capitulaciones matrimoniales en que se establezca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deben contener:</w:t>
      </w:r>
    </w:p>
    <w:p w14:paraId="223B240D" w14:textId="77777777" w:rsidR="00E3353F" w:rsidRPr="00E3353F" w:rsidRDefault="00E3353F" w:rsidP="00E3353F">
      <w:pPr>
        <w:spacing w:after="0" w:line="240" w:lineRule="auto"/>
        <w:jc w:val="both"/>
        <w:rPr>
          <w:rFonts w:ascii="Verdana" w:eastAsia="Calibri" w:hAnsi="Verdana" w:cs="Times New Roman"/>
          <w:sz w:val="20"/>
          <w:szCs w:val="20"/>
        </w:rPr>
      </w:pPr>
    </w:p>
    <w:p w14:paraId="51E2D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lista detallada de los bienes muebles e inmuebles que cada consorte lleve a la sociedad, con expresión de su valor y de los gravámenes que reporten;</w:t>
      </w:r>
    </w:p>
    <w:p w14:paraId="0671F5A3" w14:textId="77777777" w:rsidR="00E3353F" w:rsidRPr="00E3353F" w:rsidRDefault="00E3353F" w:rsidP="00E3353F">
      <w:pPr>
        <w:spacing w:after="0" w:line="240" w:lineRule="auto"/>
        <w:jc w:val="both"/>
        <w:rPr>
          <w:rFonts w:ascii="Verdana" w:eastAsia="Calibri" w:hAnsi="Verdana" w:cs="Times New Roman"/>
          <w:sz w:val="20"/>
          <w:szCs w:val="20"/>
        </w:rPr>
      </w:pPr>
    </w:p>
    <w:p w14:paraId="5CE92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76AA35E0" w14:textId="77777777" w:rsidR="00E3353F" w:rsidRPr="00E3353F" w:rsidRDefault="00E3353F" w:rsidP="00E3353F">
      <w:pPr>
        <w:spacing w:after="0" w:line="240" w:lineRule="auto"/>
        <w:jc w:val="both"/>
        <w:rPr>
          <w:rFonts w:ascii="Verdana" w:eastAsia="Calibri" w:hAnsi="Verdana" w:cs="Times New Roman"/>
          <w:sz w:val="20"/>
          <w:szCs w:val="20"/>
        </w:rPr>
      </w:pPr>
    </w:p>
    <w:p w14:paraId="7AE1C8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expresa de si la sociedad conyugal ha de comprender todos los bienes de cada consorte, o sólo parte de ellos;</w:t>
      </w:r>
    </w:p>
    <w:p w14:paraId="42D9FACA" w14:textId="77777777" w:rsidR="00E3353F" w:rsidRPr="00E3353F" w:rsidRDefault="00E3353F" w:rsidP="00E3353F">
      <w:pPr>
        <w:spacing w:after="0" w:line="240" w:lineRule="auto"/>
        <w:jc w:val="both"/>
        <w:rPr>
          <w:rFonts w:ascii="Verdana" w:eastAsia="Calibri" w:hAnsi="Verdana" w:cs="Times New Roman"/>
          <w:sz w:val="20"/>
          <w:szCs w:val="20"/>
        </w:rPr>
      </w:pPr>
    </w:p>
    <w:p w14:paraId="3F76E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4F00012D" w14:textId="77777777" w:rsidR="00E3353F" w:rsidRPr="00E3353F" w:rsidRDefault="00E3353F" w:rsidP="00E3353F">
      <w:pPr>
        <w:spacing w:after="0" w:line="240" w:lineRule="auto"/>
        <w:jc w:val="both"/>
        <w:rPr>
          <w:rFonts w:ascii="Verdana" w:eastAsia="Calibri" w:hAnsi="Verdana" w:cs="Times New Roman"/>
          <w:sz w:val="20"/>
          <w:szCs w:val="20"/>
        </w:rPr>
      </w:pPr>
    </w:p>
    <w:p w14:paraId="4E39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 declaración acerca de </w:t>
      </w:r>
      <w:proofErr w:type="spellStart"/>
      <w:r w:rsidRPr="00E3353F">
        <w:rPr>
          <w:rFonts w:ascii="Verdana" w:eastAsia="Calibri" w:hAnsi="Verdana" w:cs="Times New Roman"/>
          <w:sz w:val="20"/>
          <w:szCs w:val="20"/>
        </w:rPr>
        <w:t>quien</w:t>
      </w:r>
      <w:proofErr w:type="spellEnd"/>
      <w:r w:rsidRPr="00E3353F">
        <w:rPr>
          <w:rFonts w:ascii="Verdana" w:eastAsia="Calibri" w:hAnsi="Verdana" w:cs="Times New Roman"/>
          <w:sz w:val="20"/>
          <w:szCs w:val="20"/>
        </w:rPr>
        <w:t xml:space="preserve"> debe ser el administrador de la sociedad, expresándose con claridad las facultades que se le conceden;</w:t>
      </w:r>
    </w:p>
    <w:p w14:paraId="1F15D468" w14:textId="77777777" w:rsidR="00E3353F" w:rsidRPr="00E3353F" w:rsidRDefault="00E3353F" w:rsidP="00E3353F">
      <w:pPr>
        <w:spacing w:after="0" w:line="240" w:lineRule="auto"/>
        <w:jc w:val="both"/>
        <w:rPr>
          <w:rFonts w:ascii="Verdana" w:eastAsia="Calibri" w:hAnsi="Verdana" w:cs="Times New Roman"/>
          <w:sz w:val="20"/>
          <w:szCs w:val="20"/>
        </w:rPr>
      </w:pPr>
    </w:p>
    <w:p w14:paraId="23826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 declaración acerca de si los bienes futuros que adquieran cada cónyuge durante 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pertenecen exclusivamente al adquirente o si deben ser comunes y en qué proporción;</w:t>
      </w:r>
    </w:p>
    <w:p w14:paraId="5BDD0BFD" w14:textId="77777777" w:rsidR="00E3353F" w:rsidRPr="00E3353F" w:rsidRDefault="00E3353F" w:rsidP="00E3353F">
      <w:pPr>
        <w:spacing w:after="0" w:line="240" w:lineRule="auto"/>
        <w:jc w:val="both"/>
        <w:rPr>
          <w:rFonts w:ascii="Verdana" w:eastAsia="Calibri" w:hAnsi="Verdana" w:cs="Times New Roman"/>
          <w:sz w:val="20"/>
          <w:szCs w:val="20"/>
        </w:rPr>
      </w:pPr>
    </w:p>
    <w:p w14:paraId="4A21CA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Las bases para liquidar la sociedad.</w:t>
      </w:r>
    </w:p>
    <w:p w14:paraId="0D5E443C" w14:textId="77777777" w:rsidR="00E3353F" w:rsidRPr="00E3353F" w:rsidRDefault="00E3353F"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 xml:space="preserve">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w:t>
      </w:r>
      <w:r w:rsidRPr="00B50618">
        <w:rPr>
          <w:rFonts w:ascii="Verdana" w:hAnsi="Verdana"/>
          <w:sz w:val="20"/>
          <w:szCs w:val="20"/>
        </w:rPr>
        <w:lastRenderedPageBreak/>
        <w:t>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concedida al cónyuge que dio causa a la separación del otro del domicilio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E3353F">
        <w:rPr>
          <w:rFonts w:ascii="Verdana" w:eastAsia="Calibri" w:hAnsi="Verdana" w:cs="Times New Roman"/>
          <w:sz w:val="20"/>
          <w:szCs w:val="20"/>
        </w:rPr>
        <w:t>años,</w:t>
      </w:r>
      <w:proofErr w:type="gramEnd"/>
      <w:r w:rsidRPr="00E3353F">
        <w:rPr>
          <w:rFonts w:ascii="Verdana" w:eastAsia="Calibri" w:hAnsi="Verdana" w:cs="Times New Roman"/>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la causa de divorcio estuviere comprendida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363. El obligado a dar alimentos cumple la obligación asignando una pensión adecuada al acreedor alimentario o incorporándolo a la familia. Si el acreedor se opone </w:t>
      </w:r>
      <w:r w:rsidRPr="00E3353F">
        <w:rPr>
          <w:rFonts w:ascii="Verdana" w:eastAsia="Calibri" w:hAnsi="Verdana" w:cs="Times New Roman"/>
          <w:sz w:val="20"/>
          <w:szCs w:val="20"/>
        </w:rPr>
        <w:lastRenderedPageBreak/>
        <w:t>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w:t>
      </w:r>
      <w:r w:rsidRPr="00E3353F">
        <w:rPr>
          <w:rFonts w:ascii="Verdana" w:eastAsia="Calibri" w:hAnsi="Verdana" w:cs="Times New Roman"/>
          <w:sz w:val="20"/>
          <w:szCs w:val="20"/>
        </w:rPr>
        <w:lastRenderedPageBreak/>
        <w:t>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397. A falta de actas o si éstas fueren defectuosas, incompletas o falsas, se probará con la posesión constante de estado de hijo nacido de matrimonio. En defecto de esta posesión son admisibles para demostrar la filiación todos los medios de prueba que la ley </w:t>
      </w:r>
      <w:r w:rsidRPr="00E3353F">
        <w:rPr>
          <w:rFonts w:ascii="Verdana" w:eastAsia="Calibri" w:hAnsi="Verdana" w:cs="Times New Roman"/>
          <w:sz w:val="20"/>
          <w:szCs w:val="20"/>
        </w:rPr>
        <w:lastRenderedPageBreak/>
        <w:t>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w:t>
      </w:r>
      <w:r w:rsidRPr="00E3353F">
        <w:rPr>
          <w:rFonts w:ascii="Verdana" w:eastAsia="Calibri" w:hAnsi="Verdana" w:cs="Times New Roman"/>
          <w:sz w:val="20"/>
          <w:szCs w:val="20"/>
        </w:rPr>
        <w:lastRenderedPageBreak/>
        <w:t>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6DDAF9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04AF562C" w14:textId="77777777" w:rsidR="00E3353F" w:rsidRPr="00E3353F" w:rsidRDefault="00E3353F" w:rsidP="00E3353F">
      <w:pPr>
        <w:spacing w:after="0" w:line="240" w:lineRule="auto"/>
        <w:jc w:val="both"/>
        <w:rPr>
          <w:rFonts w:ascii="Verdana" w:eastAsia="Calibri" w:hAnsi="Verdana" w:cs="Times New Roman"/>
          <w:sz w:val="20"/>
          <w:szCs w:val="20"/>
        </w:rPr>
      </w:pPr>
    </w:p>
    <w:p w14:paraId="558977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468. La patria potestad sobre los hijos de matrimonio se ejerce:</w:t>
      </w:r>
    </w:p>
    <w:p w14:paraId="15C4E410" w14:textId="77777777" w:rsidR="00E3353F" w:rsidRPr="00E3353F" w:rsidRDefault="00E3353F" w:rsidP="00E3353F">
      <w:pPr>
        <w:spacing w:after="0" w:line="240" w:lineRule="auto"/>
        <w:jc w:val="both"/>
        <w:rPr>
          <w:rFonts w:ascii="Verdana" w:eastAsia="Calibri" w:hAnsi="Verdana" w:cs="Times New Roman"/>
          <w:sz w:val="20"/>
          <w:szCs w:val="20"/>
        </w:rPr>
      </w:pPr>
    </w:p>
    <w:p w14:paraId="3D6DFA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padre y la madre;</w:t>
      </w:r>
    </w:p>
    <w:p w14:paraId="3F292B0D" w14:textId="77777777" w:rsidR="00E3353F" w:rsidRPr="00E3353F" w:rsidRDefault="00E3353F" w:rsidP="00E3353F">
      <w:pPr>
        <w:spacing w:after="0" w:line="240" w:lineRule="auto"/>
        <w:jc w:val="both"/>
        <w:rPr>
          <w:rFonts w:ascii="Verdana" w:eastAsia="Calibri" w:hAnsi="Verdana" w:cs="Times New Roman"/>
          <w:sz w:val="20"/>
          <w:szCs w:val="20"/>
        </w:rPr>
      </w:pPr>
    </w:p>
    <w:p w14:paraId="29657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el abuelo y la abuela paternos;</w:t>
      </w:r>
    </w:p>
    <w:p w14:paraId="34913154" w14:textId="77777777" w:rsidR="00E3353F" w:rsidRPr="00E3353F" w:rsidRDefault="00E3353F" w:rsidP="00E3353F">
      <w:pPr>
        <w:spacing w:after="0" w:line="240" w:lineRule="auto"/>
        <w:jc w:val="both"/>
        <w:rPr>
          <w:rFonts w:ascii="Verdana" w:eastAsia="Calibri" w:hAnsi="Verdana" w:cs="Times New Roman"/>
          <w:sz w:val="20"/>
          <w:szCs w:val="20"/>
        </w:rPr>
      </w:pPr>
    </w:p>
    <w:p w14:paraId="411E3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abuelo y la abuela maternos.</w:t>
      </w:r>
    </w:p>
    <w:p w14:paraId="3E30743C" w14:textId="77777777" w:rsidR="00E3353F" w:rsidRPr="00E3353F" w:rsidRDefault="00E3353F"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1FB5A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472. A falta de padres, ejercerán la patria potestad sobre el hijo reconocido los demás ascendientes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468.</w:t>
      </w:r>
    </w:p>
    <w:p w14:paraId="16DFD4AC" w14:textId="77777777" w:rsidR="00E3353F" w:rsidRPr="00E3353F" w:rsidRDefault="00E3353F"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3CE8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14:paraId="1DA9402C" w14:textId="77777777" w:rsidR="00E3353F" w:rsidRPr="00E3353F" w:rsidRDefault="00E3353F"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2FF7680F" w14:textId="77777777" w:rsidR="00E3353F" w:rsidRPr="00E3353F" w:rsidRDefault="00E3353F" w:rsidP="00E3353F">
      <w:pPr>
        <w:spacing w:after="0" w:line="240" w:lineRule="auto"/>
        <w:jc w:val="both"/>
        <w:rPr>
          <w:rFonts w:ascii="Verdana" w:eastAsia="Calibri" w:hAnsi="Verdana" w:cs="Times New Roman"/>
          <w:sz w:val="20"/>
          <w:szCs w:val="20"/>
        </w:rPr>
      </w:pPr>
    </w:p>
    <w:p w14:paraId="415FD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14:paraId="14C31789" w14:textId="77777777" w:rsidR="00E3353F" w:rsidRPr="00E3353F" w:rsidRDefault="00E3353F" w:rsidP="00E3353F">
      <w:pPr>
        <w:spacing w:after="0" w:line="240" w:lineRule="auto"/>
        <w:jc w:val="both"/>
        <w:rPr>
          <w:rFonts w:ascii="Verdana" w:eastAsia="Calibri" w:hAnsi="Verdana" w:cs="Times New Roman"/>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712450D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497. La Patria potestad se pierde:</w:t>
      </w:r>
    </w:p>
    <w:p w14:paraId="193F4EC9" w14:textId="77777777" w:rsidR="00B96DF5" w:rsidRPr="00B96DF5" w:rsidRDefault="00B96DF5" w:rsidP="00B96DF5">
      <w:pPr>
        <w:pStyle w:val="Estilo"/>
        <w:rPr>
          <w:rFonts w:ascii="Verdana" w:hAnsi="Verdana"/>
          <w:sz w:val="20"/>
          <w:szCs w:val="20"/>
        </w:rPr>
      </w:pPr>
    </w:p>
    <w:p w14:paraId="2CBE2B7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 Cuando el que la ejerza es condenado expresamente a la pérdida de ese derecho, o cuando es condenado por delito grave;</w:t>
      </w:r>
    </w:p>
    <w:p w14:paraId="16975CA3" w14:textId="77777777" w:rsidR="00B96DF5" w:rsidRPr="00B96DF5" w:rsidRDefault="00B96DF5" w:rsidP="00B96DF5">
      <w:pPr>
        <w:pStyle w:val="Estilo"/>
        <w:rPr>
          <w:rFonts w:ascii="Verdana" w:hAnsi="Verdana"/>
          <w:sz w:val="20"/>
          <w:szCs w:val="20"/>
        </w:rPr>
      </w:pPr>
    </w:p>
    <w:p w14:paraId="47C9A737"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 En los casos de divorcio, teniendo en cuenta lo que dispone el artículo 337;</w:t>
      </w:r>
    </w:p>
    <w:p w14:paraId="1E20C632" w14:textId="77777777" w:rsidR="00B96DF5" w:rsidRPr="00B96DF5" w:rsidRDefault="00B96DF5" w:rsidP="00B96DF5">
      <w:pPr>
        <w:pStyle w:val="Estilo"/>
        <w:rPr>
          <w:rFonts w:ascii="Verdana" w:hAnsi="Verdana"/>
          <w:sz w:val="20"/>
          <w:szCs w:val="20"/>
        </w:rPr>
      </w:pPr>
    </w:p>
    <w:p w14:paraId="6A601E2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04712AD7" w14:textId="77777777" w:rsidR="00B96DF5" w:rsidRPr="00B96DF5" w:rsidRDefault="00B96DF5" w:rsidP="00B96DF5">
      <w:pPr>
        <w:pStyle w:val="Estilo"/>
        <w:rPr>
          <w:rFonts w:ascii="Verdana" w:hAnsi="Verdana"/>
          <w:sz w:val="20"/>
          <w:szCs w:val="20"/>
        </w:rPr>
      </w:pPr>
    </w:p>
    <w:p w14:paraId="048532D5"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(REFORMADA, P.O. 30 DE JULIO DE 1996)</w:t>
      </w:r>
    </w:p>
    <w:p w14:paraId="04FBB5C0"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IV. Por el abandono que el padre o la madre hicieren de sus hijos, por más de tres meses;</w:t>
      </w:r>
    </w:p>
    <w:p w14:paraId="47784C35" w14:textId="77777777" w:rsidR="00B96DF5" w:rsidRPr="00B96DF5" w:rsidRDefault="00B96DF5" w:rsidP="00B96DF5">
      <w:pPr>
        <w:pStyle w:val="Estilo"/>
        <w:rPr>
          <w:rFonts w:ascii="Verdana" w:hAnsi="Verdana"/>
          <w:sz w:val="20"/>
          <w:szCs w:val="20"/>
        </w:rPr>
      </w:pPr>
    </w:p>
    <w:p w14:paraId="6D1075B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V. (DEROGADA, P.O. 30 DE JULIO DE 1996)</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w:t>
      </w:r>
      <w:r w:rsidRPr="00E3353F">
        <w:rPr>
          <w:rFonts w:ascii="Verdana" w:eastAsia="Calibri" w:hAnsi="Verdana" w:cs="Times New Roman"/>
          <w:sz w:val="20"/>
          <w:szCs w:val="20"/>
        </w:rPr>
        <w:lastRenderedPageBreak/>
        <w:t>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607. Si se hubiere omitido listar algunos bienes en el inventario, el menor mismo antes o después de la mayor edad, y el curador o cualquier pariente, pueden ocurrir al Juez, pidiendo que los bienes omitidos se listen, y el Juez, oído el parecer del tutor, determinará </w:t>
      </w:r>
      <w:r w:rsidRPr="00E3353F">
        <w:rPr>
          <w:rFonts w:ascii="Verdana" w:eastAsia="Calibri" w:hAnsi="Verdana" w:cs="Times New Roman"/>
          <w:sz w:val="20"/>
          <w:szCs w:val="20"/>
        </w:rPr>
        <w:lastRenderedPageBreak/>
        <w:t>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682. En los casos en que conforme a este Código tenga que intervenir el curador, cobrará el honorario que señale el arancel a los procuradores y a falta de tal arancel el honorario que señale el Juez, oyendo el parecer de dos peritos, nombrados uno por el </w:t>
      </w:r>
      <w:r w:rsidRPr="00E3353F">
        <w:rPr>
          <w:rFonts w:ascii="Verdana" w:eastAsia="Calibri" w:hAnsi="Verdana" w:cs="Times New Roman"/>
          <w:sz w:val="20"/>
          <w:szCs w:val="20"/>
        </w:rPr>
        <w:lastRenderedPageBreak/>
        <w:t>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754. Declarada la presunción de muerte se abrirá el testamento del ausente, si no estuviera ya publicado conforme al artículo 728; los poseedores provisionales darán cuenta </w:t>
      </w:r>
      <w:r w:rsidRPr="00E3353F">
        <w:rPr>
          <w:rFonts w:ascii="Verdana" w:eastAsia="Calibri" w:hAnsi="Verdana" w:cs="Times New Roman"/>
          <w:sz w:val="20"/>
          <w:szCs w:val="20"/>
        </w:rPr>
        <w:lastRenderedPageBreak/>
        <w:t>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w:t>
      </w:r>
      <w:r w:rsidRPr="00E3353F">
        <w:rPr>
          <w:rFonts w:ascii="Verdana" w:eastAsia="Calibri" w:hAnsi="Verdana" w:cs="Times New Roman"/>
          <w:sz w:val="20"/>
          <w:szCs w:val="20"/>
        </w:rPr>
        <w:lastRenderedPageBreak/>
        <w:t>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w:t>
      </w:r>
      <w:r w:rsidRPr="00E3353F">
        <w:rPr>
          <w:rFonts w:ascii="Verdana" w:eastAsia="Calibri" w:hAnsi="Verdana" w:cs="Times New Roman"/>
          <w:sz w:val="20"/>
          <w:szCs w:val="20"/>
        </w:rPr>
        <w:lastRenderedPageBreak/>
        <w:t>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La situación, dimensiones y linderos del </w:t>
      </w:r>
      <w:proofErr w:type="gramStart"/>
      <w:r w:rsidRPr="00E3353F">
        <w:rPr>
          <w:rFonts w:ascii="Verdana" w:eastAsia="Calibri" w:hAnsi="Verdana" w:cs="Times New Roman"/>
          <w:sz w:val="20"/>
          <w:szCs w:val="20"/>
        </w:rPr>
        <w:t>terreno</w:t>
      </w:r>
      <w:proofErr w:type="gramEnd"/>
      <w:r w:rsidRPr="00E3353F">
        <w:rPr>
          <w:rFonts w:ascii="Verdana" w:eastAsia="Calibri" w:hAnsi="Verdana" w:cs="Times New Roman"/>
          <w:sz w:val="20"/>
          <w:szCs w:val="20"/>
        </w:rPr>
        <w:t xml:space="preserve">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c).-</w:t>
      </w:r>
      <w:proofErr w:type="gramEnd"/>
      <w:r w:rsidRPr="00E3353F">
        <w:rPr>
          <w:rFonts w:ascii="Verdana" w:eastAsia="Calibri" w:hAnsi="Verdana" w:cs="Times New Roman"/>
          <w:sz w:val="20"/>
          <w:szCs w:val="20"/>
        </w:rPr>
        <w:t xml:space="preserve">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d).-</w:t>
      </w:r>
      <w:proofErr w:type="gramEnd"/>
      <w:r w:rsidRPr="00E3353F">
        <w:rPr>
          <w:rFonts w:ascii="Verdana" w:eastAsia="Calibri" w:hAnsi="Verdana" w:cs="Times New Roman"/>
          <w:sz w:val="20"/>
          <w:szCs w:val="20"/>
        </w:rPr>
        <w:t xml:space="preserve">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981. El propietario de un piso, departamento, vivienda o </w:t>
      </w:r>
      <w:proofErr w:type="gramStart"/>
      <w:r w:rsidRPr="00E3353F">
        <w:rPr>
          <w:rFonts w:ascii="Verdana" w:eastAsia="Calibri" w:hAnsi="Verdana" w:cs="Times New Roman"/>
          <w:sz w:val="20"/>
          <w:szCs w:val="20"/>
        </w:rPr>
        <w:t>local,</w:t>
      </w:r>
      <w:proofErr w:type="gramEnd"/>
      <w:r w:rsidRPr="00E3353F">
        <w:rPr>
          <w:rFonts w:ascii="Verdana" w:eastAsia="Calibri" w:hAnsi="Verdana" w:cs="Times New Roman"/>
          <w:sz w:val="20"/>
          <w:szCs w:val="20"/>
        </w:rPr>
        <w:t xml:space="preserve">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w:t>
      </w:r>
      <w:proofErr w:type="gramStart"/>
      <w:r w:rsidRPr="00E3353F">
        <w:rPr>
          <w:rFonts w:ascii="Verdana" w:eastAsia="Calibri" w:hAnsi="Verdana" w:cs="Times New Roman"/>
          <w:sz w:val="20"/>
          <w:szCs w:val="20"/>
        </w:rPr>
        <w:t>cotejo,</w:t>
      </w:r>
      <w:proofErr w:type="gramEnd"/>
      <w:r w:rsidRPr="00E3353F">
        <w:rPr>
          <w:rFonts w:ascii="Verdana" w:eastAsia="Calibri" w:hAnsi="Verdana" w:cs="Times New Roman"/>
          <w:sz w:val="20"/>
          <w:szCs w:val="20"/>
        </w:rPr>
        <w:t xml:space="preserve">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inconformes siempre que representen el veinticinco por ciento de los propietarios y la cuarta parte del valor del inmueble, pueden oponerse a la reforma del Reglamento, </w:t>
      </w:r>
      <w:r w:rsidRPr="00E3353F">
        <w:rPr>
          <w:rFonts w:ascii="Verdana" w:eastAsia="Calibri" w:hAnsi="Verdana" w:cs="Times New Roman"/>
          <w:sz w:val="20"/>
          <w:szCs w:val="20"/>
        </w:rPr>
        <w:lastRenderedPageBreak/>
        <w:t>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un sólo propietario represente más del cincuenta por ciento del valor del edificio y por lo mismo con su solo voto consiga mayoría, para adoptar una resolución será además </w:t>
      </w:r>
      <w:r w:rsidRPr="00E3353F">
        <w:rPr>
          <w:rFonts w:ascii="Verdana" w:eastAsia="Calibri" w:hAnsi="Verdana" w:cs="Times New Roman"/>
          <w:sz w:val="20"/>
          <w:szCs w:val="20"/>
        </w:rPr>
        <w:lastRenderedPageBreak/>
        <w:t>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1025. El administrador será el representante legal de los propietarios en todos los asuntos comunes relacionados con el edificio, sea que se promuevan a nombre o en contra </w:t>
      </w:r>
      <w:r w:rsidRPr="00E3353F">
        <w:rPr>
          <w:rFonts w:ascii="Verdana" w:eastAsia="Calibri" w:hAnsi="Verdana" w:cs="Times New Roman"/>
          <w:sz w:val="20"/>
          <w:szCs w:val="20"/>
        </w:rPr>
        <w:lastRenderedPageBreak/>
        <w:t xml:space="preserve">de ellos. Tendrá las facultades de representación propias de un apoderado para administrar bienes y para pleitos y </w:t>
      </w:r>
      <w:proofErr w:type="gramStart"/>
      <w:r w:rsidRPr="00E3353F">
        <w:rPr>
          <w:rFonts w:ascii="Verdana" w:eastAsia="Calibri" w:hAnsi="Verdana" w:cs="Times New Roman"/>
          <w:sz w:val="20"/>
          <w:szCs w:val="20"/>
        </w:rPr>
        <w:t>cobranzas</w:t>
      </w:r>
      <w:proofErr w:type="gramEnd"/>
      <w:r w:rsidRPr="00E3353F">
        <w:rPr>
          <w:rFonts w:ascii="Verdana" w:eastAsia="Calibri" w:hAnsi="Verdana" w:cs="Times New Roman"/>
          <w:sz w:val="20"/>
          <w:szCs w:val="20"/>
        </w:rPr>
        <w:t xml:space="preserve">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Asimismo</w:t>
      </w:r>
      <w:proofErr w:type="gramEnd"/>
      <w:r w:rsidRPr="00E3353F">
        <w:rPr>
          <w:rFonts w:ascii="Verdana" w:eastAsia="Calibri" w:hAnsi="Verdana" w:cs="Times New Roman"/>
          <w:sz w:val="20"/>
          <w:szCs w:val="20"/>
        </w:rPr>
        <w:t xml:space="preserve">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1034. Todos los edificios sujetos al régimen de condominio que establece este </w:t>
      </w:r>
      <w:proofErr w:type="gramStart"/>
      <w:r w:rsidRPr="00E3353F">
        <w:rPr>
          <w:rFonts w:ascii="Verdana" w:eastAsia="Calibri" w:hAnsi="Verdana" w:cs="Times New Roman"/>
          <w:sz w:val="20"/>
          <w:szCs w:val="20"/>
        </w:rPr>
        <w:t>título,</w:t>
      </w:r>
      <w:proofErr w:type="gramEnd"/>
      <w:r w:rsidRPr="00E3353F">
        <w:rPr>
          <w:rFonts w:ascii="Verdana" w:eastAsia="Calibri" w:hAnsi="Verdana" w:cs="Times New Roman"/>
          <w:sz w:val="20"/>
          <w:szCs w:val="20"/>
        </w:rPr>
        <w:t xml:space="preserve">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1035. Si el edificio se destruyere en su totalidad o en una proporción que represente, cuando menos las tres cuartas partes de su valor, cualquiera de los propietarios podrá </w:t>
      </w:r>
      <w:r w:rsidRPr="00E3353F">
        <w:rPr>
          <w:rFonts w:ascii="Verdana" w:eastAsia="Calibri" w:hAnsi="Verdana" w:cs="Times New Roman"/>
          <w:sz w:val="20"/>
          <w:szCs w:val="20"/>
        </w:rPr>
        <w:lastRenderedPageBreak/>
        <w:t>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1098. No corresponden al usufructuario los productos de las minas que se exploten en el terreno dado en usufructo, a no ser que expresamente se le concedan en el título </w:t>
      </w:r>
      <w:r w:rsidRPr="00E3353F">
        <w:rPr>
          <w:rFonts w:ascii="Verdana" w:eastAsia="Calibri" w:hAnsi="Verdana" w:cs="Times New Roman"/>
          <w:sz w:val="20"/>
          <w:szCs w:val="20"/>
        </w:rPr>
        <w:lastRenderedPageBreak/>
        <w:t>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1152. Si el usuario consume todos los frutos de los bienes, o el que tiene derecho de habitación ocupa todas las piezas de la casa, quedan obligados a todos los gastos de </w:t>
      </w:r>
      <w:r w:rsidRPr="00E3353F">
        <w:rPr>
          <w:rFonts w:ascii="Verdana" w:eastAsia="Calibri" w:hAnsi="Verdana" w:cs="Times New Roman"/>
          <w:sz w:val="20"/>
          <w:szCs w:val="20"/>
        </w:rPr>
        <w:lastRenderedPageBreak/>
        <w:t>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1173. Todos los propietarios que participen del beneficio proveniente de las obras de que tratan los artículos anteriores, están obligados a contribuir al gasto de su ejecución en </w:t>
      </w:r>
      <w:r w:rsidRPr="00E3353F">
        <w:rPr>
          <w:rFonts w:ascii="Verdana" w:eastAsia="Calibri" w:hAnsi="Verdana" w:cs="Times New Roman"/>
          <w:sz w:val="20"/>
          <w:szCs w:val="20"/>
        </w:rPr>
        <w:lastRenderedPageBreak/>
        <w:t>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1204. Cuando para establecer comunicaciones telefónicas particulares entre dos o más fincas o para conducir energía eléctrica a una finca, sea necesario colocar postes y tender </w:t>
      </w:r>
      <w:r w:rsidRPr="00E3353F">
        <w:rPr>
          <w:rFonts w:ascii="Verdana" w:eastAsia="Calibri" w:hAnsi="Verdana" w:cs="Times New Roman"/>
          <w:sz w:val="20"/>
          <w:szCs w:val="20"/>
        </w:rPr>
        <w:lastRenderedPageBreak/>
        <w:t>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1252. El que hubiere poseído bienes inmuebles por el tiempo y con las condiciones exigidas por este Código para adquirirlos por prescripción, puede promover juicio contra el que aparezca como propietario de esos bienes en el Registro Público de la Propiedad a fin </w:t>
      </w:r>
      <w:r w:rsidRPr="00E3353F">
        <w:rPr>
          <w:rFonts w:ascii="Verdana" w:eastAsia="Calibri" w:hAnsi="Verdana" w:cs="Times New Roman"/>
          <w:sz w:val="20"/>
          <w:szCs w:val="20"/>
        </w:rPr>
        <w:lastRenderedPageBreak/>
        <w:t>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w:t>
      </w:r>
      <w:r w:rsidRPr="00E3353F">
        <w:rPr>
          <w:rFonts w:ascii="Verdana" w:eastAsia="Calibri" w:hAnsi="Verdana" w:cs="Times New Roman"/>
          <w:sz w:val="20"/>
          <w:szCs w:val="20"/>
        </w:rPr>
        <w:lastRenderedPageBreak/>
        <w:t>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1294. Cuando la oferta se haga sin fijación de plazo a una persona no presente, el autor de la oferta quedará ligado durante tres días, además del tiempo necesario para la </w:t>
      </w:r>
      <w:r w:rsidRPr="00E3353F">
        <w:rPr>
          <w:rFonts w:ascii="Verdana" w:eastAsia="Calibri" w:hAnsi="Verdana" w:cs="Times New Roman"/>
          <w:sz w:val="20"/>
          <w:szCs w:val="20"/>
        </w:rPr>
        <w:lastRenderedPageBreak/>
        <w:t>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1307. Hay violencia cuando se emplea fuerza física o amenazas que importen peligro de perder la vida, la honra, la libertad, la salud o una parte considerable de los bienes del contratante, de su cónyuge, de sus ascendientes, de sus descendientes, de sus parientes </w:t>
      </w:r>
      <w:r w:rsidRPr="00E3353F">
        <w:rPr>
          <w:rFonts w:ascii="Verdana" w:eastAsia="Calibri" w:hAnsi="Verdana" w:cs="Times New Roman"/>
          <w:sz w:val="20"/>
          <w:szCs w:val="20"/>
        </w:rPr>
        <w:lastRenderedPageBreak/>
        <w:t>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1629. Si al denunciar el pleito o durante él, reconoce el que enajenó el derecho del que reclama, y se obliga a pagar conforme a las prescripciones de este capítulo, sólo será </w:t>
      </w:r>
      <w:r w:rsidRPr="00E3353F">
        <w:rPr>
          <w:rFonts w:ascii="Verdana" w:eastAsia="Calibri" w:hAnsi="Verdana" w:cs="Times New Roman"/>
          <w:sz w:val="20"/>
          <w:szCs w:val="20"/>
        </w:rPr>
        <w:lastRenderedPageBreak/>
        <w:t>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w:t>
      </w:r>
      <w:r w:rsidRPr="00E3353F">
        <w:rPr>
          <w:rFonts w:ascii="Verdana" w:eastAsia="Calibri" w:hAnsi="Verdana" w:cs="Times New Roman"/>
          <w:sz w:val="20"/>
          <w:szCs w:val="20"/>
        </w:rPr>
        <w:lastRenderedPageBreak/>
        <w:t xml:space="preserve">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1723. Cuando la falta de forma produzca nulidad del acto, si la voluntad de las partes ha quedado constante de una manera indubitable y no se trata de un acto revocable, </w:t>
      </w:r>
      <w:r w:rsidRPr="00E3353F">
        <w:rPr>
          <w:rFonts w:ascii="Verdana" w:eastAsia="Calibri" w:hAnsi="Verdana" w:cs="Times New Roman"/>
          <w:sz w:val="20"/>
          <w:szCs w:val="20"/>
        </w:rPr>
        <w:lastRenderedPageBreak/>
        <w:t>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lesión puede renunciarse salvo el caso de que la desproporción entre la prestación de una de las partes y la de la otra dependiere del estado de necesidad, inexperiencia o suma </w:t>
      </w:r>
      <w:r w:rsidRPr="00E3353F">
        <w:rPr>
          <w:rFonts w:ascii="Verdana" w:eastAsia="Calibri" w:hAnsi="Verdana" w:cs="Times New Roman"/>
          <w:sz w:val="20"/>
          <w:szCs w:val="20"/>
        </w:rPr>
        <w:lastRenderedPageBreak/>
        <w:t>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1849. Si la donación fuere de ciertos y determinados bienes, el donatario no responderá de las deudas del donante, pero cuando sobre los bienes donados estuviere constituida alguna hipoteca o prenda responderá solamente por el crédito hipotecario o </w:t>
      </w:r>
      <w:r w:rsidRPr="00E3353F">
        <w:rPr>
          <w:rFonts w:ascii="Verdana" w:eastAsia="Calibri" w:hAnsi="Verdana" w:cs="Times New Roman"/>
          <w:sz w:val="20"/>
          <w:szCs w:val="20"/>
        </w:rPr>
        <w:lastRenderedPageBreak/>
        <w:t>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los efectos del párrafo anterior el interés legal se determinará atendiendo al promedio del CPP Banxico vigente en la fecha en que la obligación fue exigible y la fecha del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1897. Si se ha convenido un interés más alto que el 100% del Costo Porcentual Promedio, (CPP Banxico) el deudor en cualquier tiempo a partir de la fecha de celebración del </w:t>
      </w:r>
      <w:proofErr w:type="gramStart"/>
      <w:r w:rsidRPr="00E3353F">
        <w:rPr>
          <w:rFonts w:ascii="Verdana" w:eastAsia="Calibri" w:hAnsi="Verdana" w:cs="Times New Roman"/>
          <w:sz w:val="20"/>
          <w:szCs w:val="20"/>
        </w:rPr>
        <w:t>contrato,</w:t>
      </w:r>
      <w:proofErr w:type="gramEnd"/>
      <w:r w:rsidRPr="00E3353F">
        <w:rPr>
          <w:rFonts w:ascii="Verdana" w:eastAsia="Calibri" w:hAnsi="Verdana" w:cs="Times New Roman"/>
          <w:sz w:val="20"/>
          <w:szCs w:val="20"/>
        </w:rPr>
        <w:t xml:space="preserve">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1982. Todos los arrendamientos, sean de predios rústicos o urbanos, que no se hayan celebrado por tiempo expresamente determinado, concluirán a voluntad de cualquiera de </w:t>
      </w:r>
      <w:r w:rsidRPr="00E3353F">
        <w:rPr>
          <w:rFonts w:ascii="Verdana" w:eastAsia="Calibri" w:hAnsi="Verdana" w:cs="Times New Roman"/>
          <w:sz w:val="20"/>
          <w:szCs w:val="20"/>
        </w:rPr>
        <w:lastRenderedPageBreak/>
        <w:t>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2045. Para que los dueños de establecimientos donde se reciben huéspedes sean responsables del dinero, valores y objetos de precio notoriamente elevado que introduzcan </w:t>
      </w:r>
      <w:r w:rsidRPr="00E3353F">
        <w:rPr>
          <w:rFonts w:ascii="Verdana" w:eastAsia="Calibri" w:hAnsi="Verdana" w:cs="Times New Roman"/>
          <w:sz w:val="20"/>
          <w:szCs w:val="20"/>
        </w:rPr>
        <w:lastRenderedPageBreak/>
        <w:t>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w:t>
      </w:r>
      <w:r w:rsidRPr="00E3353F">
        <w:rPr>
          <w:rFonts w:ascii="Verdana" w:eastAsia="Calibri" w:hAnsi="Verdana" w:cs="Times New Roman"/>
          <w:sz w:val="20"/>
          <w:szCs w:val="20"/>
        </w:rPr>
        <w:lastRenderedPageBreak/>
        <w:t>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w:t>
      </w:r>
      <w:r w:rsidRPr="00E3353F">
        <w:rPr>
          <w:rFonts w:ascii="Verdana" w:eastAsia="Calibri" w:hAnsi="Verdana" w:cs="Times New Roman"/>
          <w:sz w:val="20"/>
          <w:szCs w:val="20"/>
        </w:rPr>
        <w:lastRenderedPageBreak/>
        <w:t>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2195. La asamblea general se reunirá en la época fijada en los estatutos o cuando sea convocada por la dirección. Esta deberá citar a asamblea cuando para ello fuere requerida </w:t>
      </w:r>
      <w:r w:rsidRPr="00E3353F">
        <w:rPr>
          <w:rFonts w:ascii="Verdana" w:eastAsia="Calibri" w:hAnsi="Verdana" w:cs="Times New Roman"/>
          <w:sz w:val="20"/>
          <w:szCs w:val="20"/>
        </w:rPr>
        <w:lastRenderedPageBreak/>
        <w:t>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2212. El contrato de sociedad debe inscribirse con el Registro Público para que produzca efectos contra tercero. Antes de que se inscriba en el Registro Público de la Propiedad el contrato de sociedad, surtirá efectos entre los socios. Los terceros sí podrán </w:t>
      </w:r>
      <w:r w:rsidRPr="00E3353F">
        <w:rPr>
          <w:rFonts w:ascii="Verdana" w:eastAsia="Calibri" w:hAnsi="Verdana" w:cs="Times New Roman"/>
          <w:sz w:val="20"/>
          <w:szCs w:val="20"/>
        </w:rPr>
        <w:lastRenderedPageBreak/>
        <w:t>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w:t>
      </w:r>
      <w:r w:rsidRPr="00E3353F">
        <w:rPr>
          <w:rFonts w:ascii="Verdana" w:eastAsia="Calibri" w:hAnsi="Verdana" w:cs="Times New Roman"/>
          <w:sz w:val="20"/>
          <w:szCs w:val="20"/>
        </w:rPr>
        <w:lastRenderedPageBreak/>
        <w:t>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2257. El que haga voluntariamente una deuda procedente del juego prohibido, o sus herederos, tiene derecho de reclamar la devolución del cincuenta por ciento de lo que se </w:t>
      </w:r>
      <w:r w:rsidRPr="00E3353F">
        <w:rPr>
          <w:rFonts w:ascii="Verdana" w:eastAsia="Calibri" w:hAnsi="Verdana" w:cs="Times New Roman"/>
          <w:sz w:val="20"/>
          <w:szCs w:val="20"/>
        </w:rPr>
        <w:lastRenderedPageBreak/>
        <w:t>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31A62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2420. El crédito puede cederse, en todo o en parte, siempre que la cesión se haga en la forma que para la constitución de la hipoteca previene el artículo 2415, se dé conocimiento al deudor y sea inscrita en el Registro.</w:t>
      </w:r>
    </w:p>
    <w:p w14:paraId="4EC1C8E8" w14:textId="77777777" w:rsidR="00E3353F" w:rsidRPr="00E3353F" w:rsidRDefault="00E3353F" w:rsidP="00E3353F">
      <w:pPr>
        <w:spacing w:after="0" w:line="240" w:lineRule="auto"/>
        <w:jc w:val="both"/>
        <w:rPr>
          <w:rFonts w:ascii="Verdana" w:eastAsia="Calibri" w:hAnsi="Verdana" w:cs="Times New Roman"/>
          <w:sz w:val="20"/>
          <w:szCs w:val="20"/>
        </w:rPr>
      </w:pPr>
    </w:p>
    <w:p w14:paraId="7B455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para garantizar obligaciones al portador, se transmitirá por la simple entrega del título sin ningún otro requisito.</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2494. El registro será público. Los encargados de la oficina tienen la obligación de permitir a las personas que lo soliciten que se enteren de las inscripciones constantes en los libros del Registro y de los documentos relacionados con las inscripciones, que estén </w:t>
      </w:r>
      <w:r w:rsidRPr="000E6407">
        <w:rPr>
          <w:rFonts w:ascii="Verdana" w:hAnsi="Verdana"/>
          <w:sz w:val="20"/>
          <w:szCs w:val="20"/>
        </w:rPr>
        <w:lastRenderedPageBreak/>
        <w:t>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En caso de resultar </w:t>
      </w:r>
      <w:proofErr w:type="spellStart"/>
      <w:r w:rsidRPr="000E6407">
        <w:rPr>
          <w:rFonts w:ascii="Verdana" w:hAnsi="Verdana"/>
          <w:sz w:val="20"/>
          <w:szCs w:val="20"/>
        </w:rPr>
        <w:t>incristo</w:t>
      </w:r>
      <w:proofErr w:type="spellEnd"/>
      <w:r w:rsidRPr="000E6407">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lastRenderedPageBreak/>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Default="0002256E" w:rsidP="00400B12">
      <w:pPr>
        <w:pStyle w:val="Estilo"/>
        <w:rPr>
          <w:rFonts w:ascii="Verdana" w:hAnsi="Verdana"/>
          <w:sz w:val="20"/>
          <w:szCs w:val="20"/>
        </w:rPr>
      </w:pPr>
    </w:p>
    <w:p w14:paraId="1890B6DC"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19 DE ENERO DE 1996)</w:t>
      </w:r>
    </w:p>
    <w:p w14:paraId="02C3E7BF"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4E1D86">
        <w:rPr>
          <w:rFonts w:ascii="Verdana" w:hAnsi="Verdana"/>
          <w:sz w:val="20"/>
          <w:szCs w:val="20"/>
        </w:rPr>
        <w:t>otorgamiento,</w:t>
      </w:r>
      <w:proofErr w:type="gramEnd"/>
      <w:r w:rsidRPr="004E1D86">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309E4B5A" w14:textId="77777777" w:rsidR="004E1D86" w:rsidRPr="004E1D86" w:rsidRDefault="004E1D86" w:rsidP="004E1D86">
      <w:pPr>
        <w:pStyle w:val="Estilo"/>
        <w:rPr>
          <w:rFonts w:ascii="Verdana" w:hAnsi="Verdana"/>
          <w:sz w:val="20"/>
          <w:szCs w:val="20"/>
        </w:rPr>
      </w:pPr>
    </w:p>
    <w:p w14:paraId="43BD81AE"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5824D3B7"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de no ser así quedará sin efectos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w:t>
      </w:r>
      <w:r w:rsidRPr="004E1D86">
        <w:rPr>
          <w:rFonts w:ascii="Verdana" w:hAnsi="Verdana"/>
          <w:sz w:val="20"/>
          <w:szCs w:val="20"/>
        </w:rPr>
        <w:lastRenderedPageBreak/>
        <w:t>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17DAF5B7" w14:textId="77777777" w:rsidR="004E1D86" w:rsidRPr="004E1D86" w:rsidRDefault="004E1D86" w:rsidP="004E1D86">
      <w:pPr>
        <w:pStyle w:val="Estilo"/>
        <w:rPr>
          <w:rFonts w:ascii="Verdana" w:hAnsi="Verdana"/>
          <w:sz w:val="20"/>
          <w:szCs w:val="20"/>
        </w:rPr>
      </w:pPr>
    </w:p>
    <w:p w14:paraId="461125FA"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1AEAC003" w14:textId="77777777" w:rsidR="004E1D86" w:rsidRPr="004E1D86" w:rsidRDefault="004E1D86" w:rsidP="004E1D86">
      <w:pPr>
        <w:pStyle w:val="Estilo"/>
        <w:rPr>
          <w:rFonts w:ascii="Verdana" w:hAnsi="Verdana"/>
          <w:sz w:val="20"/>
          <w:szCs w:val="20"/>
        </w:rPr>
      </w:pPr>
      <w:r w:rsidRPr="004E1D86">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3AD504EA" w14:textId="77777777" w:rsidR="004E1D86" w:rsidRPr="004E1D86" w:rsidRDefault="004E1D86" w:rsidP="004E1D86">
      <w:pPr>
        <w:pStyle w:val="Estilo"/>
        <w:rPr>
          <w:rFonts w:ascii="Verdana" w:hAnsi="Verdana"/>
          <w:sz w:val="20"/>
          <w:szCs w:val="20"/>
        </w:rPr>
      </w:pPr>
    </w:p>
    <w:p w14:paraId="192A45F9"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05CB2772" w14:textId="77777777" w:rsidR="004E1D86" w:rsidRPr="004E1D86" w:rsidRDefault="004E1D86" w:rsidP="004E1D86">
      <w:pPr>
        <w:pStyle w:val="Estilo"/>
        <w:rPr>
          <w:rFonts w:ascii="Verdana" w:hAnsi="Verdana"/>
          <w:sz w:val="20"/>
          <w:szCs w:val="20"/>
        </w:rPr>
      </w:pPr>
      <w:r w:rsidRPr="004E1D86">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5DB4E68D" w14:textId="77777777" w:rsidR="004E1D86" w:rsidRPr="004E1D86" w:rsidRDefault="004E1D86" w:rsidP="004E1D86">
      <w:pPr>
        <w:pStyle w:val="Estilo"/>
        <w:rPr>
          <w:rFonts w:ascii="Verdana" w:hAnsi="Verdana"/>
          <w:sz w:val="20"/>
          <w:szCs w:val="20"/>
        </w:rPr>
      </w:pPr>
    </w:p>
    <w:p w14:paraId="1F51CE0B" w14:textId="1EC37C74" w:rsidR="0002256E" w:rsidRPr="0002256E" w:rsidRDefault="004E1D86" w:rsidP="0002256E">
      <w:pPr>
        <w:pStyle w:val="Estilo"/>
        <w:rPr>
          <w:rFonts w:ascii="Verdana" w:hAnsi="Verdana"/>
          <w:sz w:val="20"/>
          <w:szCs w:val="20"/>
        </w:rPr>
      </w:pPr>
      <w:r w:rsidRPr="004E1D86">
        <w:rPr>
          <w:rFonts w:ascii="Verdana" w:hAnsi="Verdana"/>
          <w:sz w:val="20"/>
          <w:szCs w:val="20"/>
        </w:rPr>
        <w:t>Los avisos preventivos a que se refiere este artículo no causarán pago de derechos.</w:t>
      </w:r>
    </w:p>
    <w:p w14:paraId="6768B9BF" w14:textId="77777777" w:rsidR="0002256E" w:rsidRPr="000E6407" w:rsidRDefault="0002256E"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2531. La cancelación de las inscripciones de hipotecas constituidas en garantía de títulos transmisibles por </w:t>
      </w:r>
      <w:proofErr w:type="gramStart"/>
      <w:r w:rsidRPr="00E3353F">
        <w:rPr>
          <w:rFonts w:ascii="Verdana" w:eastAsia="Calibri" w:hAnsi="Verdana" w:cs="Times New Roman"/>
          <w:sz w:val="20"/>
          <w:szCs w:val="20"/>
        </w:rPr>
        <w:t>endoso,</w:t>
      </w:r>
      <w:proofErr w:type="gramEnd"/>
      <w:r w:rsidRPr="00E3353F">
        <w:rPr>
          <w:rFonts w:ascii="Verdana" w:eastAsia="Calibri" w:hAnsi="Verdana" w:cs="Times New Roman"/>
          <w:sz w:val="20"/>
          <w:szCs w:val="20"/>
        </w:rPr>
        <w:t xml:space="preserve">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2536. Las inscripciones preventivas se cancelarán no solamente cuando se extinga el derecho inscrito, sino también cuando esa inscripción se </w:t>
      </w:r>
      <w:proofErr w:type="gramStart"/>
      <w:r w:rsidRPr="00E3353F">
        <w:rPr>
          <w:rFonts w:ascii="Verdana" w:eastAsia="Calibri" w:hAnsi="Verdana" w:cs="Times New Roman"/>
          <w:sz w:val="20"/>
          <w:szCs w:val="20"/>
        </w:rPr>
        <w:t>convierta</w:t>
      </w:r>
      <w:proofErr w:type="gramEnd"/>
      <w:r w:rsidRPr="00E3353F">
        <w:rPr>
          <w:rFonts w:ascii="Verdana" w:eastAsia="Calibri" w:hAnsi="Verdana" w:cs="Times New Roman"/>
          <w:sz w:val="20"/>
          <w:szCs w:val="20"/>
        </w:rPr>
        <w:t xml:space="preserve">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lastRenderedPageBreak/>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w:t>
      </w:r>
      <w:proofErr w:type="gramStart"/>
      <w:r w:rsidRPr="00E3353F">
        <w:rPr>
          <w:rFonts w:ascii="Verdana" w:eastAsia="Calibri" w:hAnsi="Verdana" w:cs="Times New Roman"/>
          <w:sz w:val="20"/>
          <w:szCs w:val="20"/>
        </w:rPr>
        <w:t>todos el instrumento</w:t>
      </w:r>
      <w:proofErr w:type="gramEnd"/>
      <w:r w:rsidRPr="00E3353F">
        <w:rPr>
          <w:rFonts w:ascii="Verdana" w:eastAsia="Calibri" w:hAnsi="Verdana" w:cs="Times New Roman"/>
          <w:sz w:val="20"/>
          <w:szCs w:val="20"/>
        </w:rPr>
        <w:t>,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w:t>
      </w:r>
      <w:r w:rsidRPr="00E3353F">
        <w:rPr>
          <w:rFonts w:ascii="Verdana" w:eastAsia="Calibri" w:hAnsi="Verdana" w:cs="Times New Roman"/>
          <w:sz w:val="20"/>
          <w:szCs w:val="20"/>
        </w:rPr>
        <w:lastRenderedPageBreak/>
        <w:t>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2EBD0D11"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2878. Háyase o no dado el aviso de que habla el artículo 2876 al aproximarse la época del parto, la viuda deberá ponerlo en conocimiento del Juez, para que lo haga saber a los interesados. Estos tienen derecho de pedir que el Juez nombre una persona que se cerciore </w:t>
      </w:r>
      <w:r w:rsidRPr="00E3353F">
        <w:rPr>
          <w:rFonts w:ascii="Verdana" w:eastAsia="Calibri" w:hAnsi="Verdana" w:cs="Times New Roman"/>
          <w:sz w:val="20"/>
          <w:szCs w:val="20"/>
        </w:rPr>
        <w:lastRenderedPageBreak/>
        <w:t>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2890. El derecho de reclamar la herencia es transmisible, a su vez, hereditariamente. Prescribe este derecho en el término de diez años, pero se considerará interrumpida la prescripción cuando el heredero esté en posesión de los bienes hereditarios, haya </w:t>
      </w:r>
      <w:r w:rsidRPr="00E3353F">
        <w:rPr>
          <w:rFonts w:ascii="Verdana" w:eastAsia="Calibri" w:hAnsi="Verdana" w:cs="Times New Roman"/>
          <w:sz w:val="20"/>
          <w:szCs w:val="20"/>
        </w:rPr>
        <w:lastRenderedPageBreak/>
        <w:t>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2945. Los albaceas, dentro de los quince días siguientes a la aprobación del inventario, propondrán al Juez la distribución provisional de los productos de los bienes hereditarios, </w:t>
      </w:r>
      <w:r w:rsidRPr="00E3353F">
        <w:rPr>
          <w:rFonts w:ascii="Verdana" w:eastAsia="Calibri" w:hAnsi="Verdana" w:cs="Times New Roman"/>
          <w:sz w:val="20"/>
          <w:szCs w:val="20"/>
        </w:rPr>
        <w:lastRenderedPageBreak/>
        <w:t>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2952. Cuando la propiedad de la cosa ajena conste por medios diversos de los enumerados en el artículo que precede, el albacea se limitará a poner al margen de las </w:t>
      </w:r>
      <w:r w:rsidRPr="00E3353F">
        <w:rPr>
          <w:rFonts w:ascii="Verdana" w:eastAsia="Calibri" w:hAnsi="Verdana" w:cs="Times New Roman"/>
          <w:sz w:val="20"/>
          <w:szCs w:val="20"/>
        </w:rPr>
        <w:lastRenderedPageBreak/>
        <w:t>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08EF509" w14:textId="77777777" w:rsidR="00E3353F" w:rsidRPr="00E3353F" w:rsidRDefault="00E3353F" w:rsidP="00E3353F">
      <w:pPr>
        <w:spacing w:after="0" w:line="240" w:lineRule="auto"/>
        <w:jc w:val="both"/>
        <w:rPr>
          <w:rFonts w:ascii="Verdana" w:eastAsia="Calibri" w:hAnsi="Verdana" w:cs="Times New Roman"/>
          <w:sz w:val="20"/>
          <w:szCs w:val="20"/>
        </w:rPr>
      </w:pPr>
    </w:p>
    <w:p w14:paraId="0270E7B9" w14:textId="77777777" w:rsidR="004E1D86" w:rsidRDefault="004E1D86"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61799823" w14:textId="77777777" w:rsidR="004E1D86" w:rsidRDefault="004E1D86" w:rsidP="00E3353F">
      <w:pPr>
        <w:spacing w:after="0" w:line="240" w:lineRule="auto"/>
        <w:jc w:val="both"/>
        <w:rPr>
          <w:rFonts w:ascii="Verdana" w:eastAsia="Calibri" w:hAnsi="Verdana" w:cs="Times New Roman"/>
          <w:sz w:val="20"/>
          <w:szCs w:val="20"/>
        </w:rPr>
      </w:pPr>
    </w:p>
    <w:p w14:paraId="575C7917" w14:textId="77777777" w:rsidR="004E1D86" w:rsidRDefault="004E1D86"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35BD57F2" w14:textId="77777777" w:rsidR="002F1374" w:rsidRDefault="002F1374" w:rsidP="004E1D86">
      <w:pPr>
        <w:pStyle w:val="Estilo"/>
        <w:rPr>
          <w:rFonts w:ascii="Verdana" w:hAnsi="Verdana"/>
          <w:sz w:val="20"/>
          <w:szCs w:val="20"/>
        </w:rPr>
      </w:pPr>
    </w:p>
    <w:p w14:paraId="27763558" w14:textId="77777777" w:rsidR="002F1374" w:rsidRDefault="002F1374" w:rsidP="004E1D86">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6AEADF0D" w:rsidR="004E1D86" w:rsidRPr="004E1D86" w:rsidRDefault="004E1D86" w:rsidP="004E1D86">
      <w:pPr>
        <w:pStyle w:val="Estilo"/>
        <w:rPr>
          <w:rFonts w:ascii="Verdana" w:hAnsi="Verdana"/>
          <w:sz w:val="20"/>
          <w:szCs w:val="20"/>
        </w:rPr>
      </w:pPr>
      <w:r w:rsidRPr="004E1D86">
        <w:rPr>
          <w:rFonts w:ascii="Verdana" w:hAnsi="Verdana"/>
          <w:b/>
          <w:bCs/>
          <w:sz w:val="20"/>
          <w:szCs w:val="20"/>
        </w:rPr>
        <w:t xml:space="preserve">ARTICULO </w:t>
      </w:r>
      <w:r w:rsidRPr="004E1D86">
        <w:rPr>
          <w:rFonts w:ascii="Verdana" w:hAnsi="Verdana"/>
          <w:b/>
          <w:bCs/>
          <w:sz w:val="20"/>
          <w:szCs w:val="20"/>
        </w:rPr>
        <w:t>UNICO. -</w:t>
      </w:r>
      <w:r w:rsidRPr="004E1D86">
        <w:rPr>
          <w:rFonts w:ascii="Verdana" w:hAnsi="Verdana"/>
          <w:sz w:val="20"/>
          <w:szCs w:val="20"/>
        </w:rPr>
        <w:t xml:space="preserve"> El presente decreto entrará en vigor el cuarto día siguiente al de su publicación en el Periódico Oficial del Gobierno del Estado.</w:t>
      </w:r>
    </w:p>
    <w:p w14:paraId="66EF1BB6" w14:textId="77777777" w:rsidR="004E1D86" w:rsidRPr="00D910DA" w:rsidRDefault="004E1D86" w:rsidP="00D910DA">
      <w:pPr>
        <w:pStyle w:val="Estilo"/>
        <w:rPr>
          <w:rFonts w:ascii="Verdana" w:hAnsi="Verdana"/>
          <w:sz w:val="20"/>
          <w:szCs w:val="20"/>
        </w:rPr>
      </w:pP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CA18" w14:textId="77777777" w:rsidR="00AA4830" w:rsidRDefault="00AA4830">
      <w:pPr>
        <w:spacing w:after="0" w:line="240" w:lineRule="auto"/>
      </w:pPr>
      <w:r>
        <w:separator/>
      </w:r>
    </w:p>
  </w:endnote>
  <w:endnote w:type="continuationSeparator" w:id="0">
    <w:p w14:paraId="38C4EA6B" w14:textId="77777777" w:rsidR="00AA4830" w:rsidRDefault="00AA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C723" w14:textId="77777777" w:rsidR="00AA4830" w:rsidRDefault="00AA4830">
      <w:pPr>
        <w:spacing w:after="0" w:line="240" w:lineRule="auto"/>
      </w:pPr>
      <w:r>
        <w:separator/>
      </w:r>
    </w:p>
  </w:footnote>
  <w:footnote w:type="continuationSeparator" w:id="0">
    <w:p w14:paraId="62106F7F" w14:textId="77777777" w:rsidR="00AA4830" w:rsidRDefault="00AA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36797353"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7F7D6B">
            <w:rPr>
              <w:rFonts w:ascii="Arial Narrow" w:eastAsia="Arial Unicode MS" w:hAnsi="Arial Narrow" w:cs="Arial Unicode MS"/>
              <w:i/>
              <w:sz w:val="13"/>
              <w:szCs w:val="13"/>
            </w:rPr>
            <w:t xml:space="preserve"> </w:t>
          </w:r>
          <w:r w:rsidR="004E1D86">
            <w:rPr>
              <w:rFonts w:ascii="Arial Narrow" w:eastAsia="Arial Unicode MS" w:hAnsi="Arial Narrow" w:cs="Arial Unicode MS"/>
              <w:i/>
              <w:sz w:val="13"/>
              <w:szCs w:val="13"/>
            </w:rPr>
            <w:t>53</w:t>
          </w:r>
          <w:r w:rsidR="007F7D6B">
            <w:rPr>
              <w:rFonts w:ascii="Arial Narrow" w:eastAsia="Arial Unicode MS" w:hAnsi="Arial Narrow" w:cs="Arial Unicode MS"/>
              <w:i/>
              <w:sz w:val="13"/>
              <w:szCs w:val="13"/>
            </w:rPr>
            <w:t xml:space="preserve">, </w:t>
          </w:r>
          <w:r w:rsidR="004E1D86">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4E1D86">
            <w:rPr>
              <w:rFonts w:ascii="Arial Narrow" w:eastAsia="Arial Unicode MS" w:hAnsi="Arial Narrow" w:cs="Arial Unicode MS"/>
              <w:i/>
              <w:sz w:val="13"/>
              <w:szCs w:val="13"/>
            </w:rPr>
            <w:t>04-07-1997</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AA4830"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97872"/>
    <w:rsid w:val="000E6407"/>
    <w:rsid w:val="00204035"/>
    <w:rsid w:val="002B7C80"/>
    <w:rsid w:val="002F1374"/>
    <w:rsid w:val="003F67D8"/>
    <w:rsid w:val="00400B12"/>
    <w:rsid w:val="0041445D"/>
    <w:rsid w:val="00471524"/>
    <w:rsid w:val="00494FC3"/>
    <w:rsid w:val="004C309A"/>
    <w:rsid w:val="004C5B70"/>
    <w:rsid w:val="004E1D86"/>
    <w:rsid w:val="00542F05"/>
    <w:rsid w:val="005E6032"/>
    <w:rsid w:val="00606959"/>
    <w:rsid w:val="00676D53"/>
    <w:rsid w:val="006E249B"/>
    <w:rsid w:val="00744494"/>
    <w:rsid w:val="007B2969"/>
    <w:rsid w:val="007F7D6B"/>
    <w:rsid w:val="0088030B"/>
    <w:rsid w:val="00964391"/>
    <w:rsid w:val="00992329"/>
    <w:rsid w:val="00A4758D"/>
    <w:rsid w:val="00A956DB"/>
    <w:rsid w:val="00AA4830"/>
    <w:rsid w:val="00AC1129"/>
    <w:rsid w:val="00B50618"/>
    <w:rsid w:val="00B65FFC"/>
    <w:rsid w:val="00B96DF5"/>
    <w:rsid w:val="00BD1D15"/>
    <w:rsid w:val="00BD4C56"/>
    <w:rsid w:val="00C20A01"/>
    <w:rsid w:val="00CF77D6"/>
    <w:rsid w:val="00D14CA3"/>
    <w:rsid w:val="00D20DE7"/>
    <w:rsid w:val="00D57BA0"/>
    <w:rsid w:val="00D910DA"/>
    <w:rsid w:val="00DE53FF"/>
    <w:rsid w:val="00E3353F"/>
    <w:rsid w:val="00E66131"/>
    <w:rsid w:val="00EA05FE"/>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329</Pages>
  <Words>128029</Words>
  <Characters>704161</Characters>
  <Application>Microsoft Office Word</Application>
  <DocSecurity>0</DocSecurity>
  <Lines>5868</Lines>
  <Paragraphs>1661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14</cp:revision>
  <cp:lastPrinted>2021-05-11T13:57:00Z</cp:lastPrinted>
  <dcterms:created xsi:type="dcterms:W3CDTF">2021-05-10T17:45:00Z</dcterms:created>
  <dcterms:modified xsi:type="dcterms:W3CDTF">2021-05-11T14:00:00Z</dcterms:modified>
</cp:coreProperties>
</file>