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DA3B7F1" w14:textId="77777777" w:rsidR="00A40A53" w:rsidRPr="00A40A53" w:rsidRDefault="00A40A53" w:rsidP="00A40A53">
      <w:pPr>
        <w:pStyle w:val="Estilo"/>
        <w:rPr>
          <w:rFonts w:ascii="Verdana" w:hAnsi="Verdana"/>
          <w:sz w:val="20"/>
          <w:szCs w:val="20"/>
        </w:rPr>
      </w:pPr>
      <w:r w:rsidRPr="00A40A53">
        <w:rPr>
          <w:rFonts w:ascii="Verdana" w:hAnsi="Verdana"/>
          <w:sz w:val="20"/>
          <w:szCs w:val="20"/>
        </w:rPr>
        <w:t>ULTIMA REFORMA PUBLICADA EN EL PERIODICO OFICIAL: 24 DE DICIEMBRE DE 1999.</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 mismo,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datos consignados en el original,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una acta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 En el acta de reconocimiento hecha con posterioridad al acta de nacimiento, se hará mención de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88. Ejecutoriada la resolución judicial que autorice la adopción, el adoptante dentro del plazo de quince días,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Art. 104. Recibida la solicitud, el Oficial del Registro Civil informará a los pretendientes, los derechos y obligaciones que nacen del matrimonio, además de los efectos que produce éste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E3353F" w:rsidRDefault="00E3353F" w:rsidP="00E3353F">
      <w:pPr>
        <w:spacing w:after="0" w:line="240" w:lineRule="auto"/>
        <w:jc w:val="both"/>
        <w:rPr>
          <w:rFonts w:ascii="Verdana" w:eastAsia="Calibri" w:hAnsi="Verdana" w:cs="Times New Roman"/>
          <w:sz w:val="20"/>
          <w:szCs w:val="20"/>
        </w:rPr>
      </w:pPr>
    </w:p>
    <w:p w14:paraId="3A34D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 Ha lugar a pedir la rectificación cuando se solicite variar algún nombre, apellido u otra circunstancia que sea esencial o accidental.</w:t>
      </w:r>
    </w:p>
    <w:p w14:paraId="1895E60C" w14:textId="77777777" w:rsidR="00E3353F" w:rsidRPr="00E3353F" w:rsidRDefault="00E3353F" w:rsidP="00E3353F">
      <w:pPr>
        <w:spacing w:after="0" w:line="240" w:lineRule="auto"/>
        <w:jc w:val="both"/>
        <w:rPr>
          <w:rFonts w:ascii="Verdana" w:eastAsia="Calibri" w:hAnsi="Verdana" w:cs="Times New Roman"/>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67F63B2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C4920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14:paraId="4C6B62A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 El marido y la mujer menores de edad,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 Las capitulaciones matrimoniales en que se establezca la sociedad conyugal,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 .</w:t>
      </w:r>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éste aunque se contraiga de buena fe, creyéndose fundadamente que el </w:t>
      </w:r>
      <w:r w:rsidRPr="00E3353F">
        <w:rPr>
          <w:rFonts w:ascii="Verdana" w:eastAsia="Calibri" w:hAnsi="Verdana" w:cs="Times New Roman"/>
          <w:sz w:val="20"/>
          <w:szCs w:val="20"/>
        </w:rPr>
        <w:lastRenderedPageBreak/>
        <w:t>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lastRenderedPageBreak/>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Poner a los hijos al cuidado de la persona que de común acuerdo hubieren designado los cónyuges, pudiendo ser uno de éstos. En defecto de ese acuerdo, el cónyuge que pida el divorcio propondrá la persona en cuyo poder deben quedar provisionalmente los hijos; </w:t>
      </w:r>
      <w:r w:rsidRPr="00E3353F">
        <w:rPr>
          <w:rFonts w:ascii="Verdana" w:eastAsia="Calibri" w:hAnsi="Verdana" w:cs="Times New Roman"/>
          <w:sz w:val="20"/>
          <w:szCs w:val="20"/>
        </w:rPr>
        <w:lastRenderedPageBreak/>
        <w:t>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351. La línea es recta o transversal. La recta se compone de la serie de grados entre personas que descienden unas de otras; la transversal se compone de la serie de grados </w:t>
      </w:r>
      <w:r w:rsidRPr="00E3353F">
        <w:rPr>
          <w:rFonts w:ascii="Verdana" w:eastAsia="Calibri" w:hAnsi="Verdana" w:cs="Times New Roman"/>
          <w:sz w:val="20"/>
          <w:szCs w:val="20"/>
        </w:rPr>
        <w:lastRenderedPageBreak/>
        <w:t>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alimentista sin consentimiento del que debe dar los alimentos,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hijos nacidos dentro de los trescientos días siguientes a la disolución del matrimonio, ya provenga ésta de nulidad, de muerte del marido, o de divorcio. Este término se contará </w:t>
      </w:r>
      <w:r w:rsidRPr="00E3353F">
        <w:rPr>
          <w:rFonts w:ascii="Verdana" w:eastAsia="Calibri" w:hAnsi="Verdana" w:cs="Times New Roman"/>
          <w:sz w:val="20"/>
          <w:szCs w:val="20"/>
        </w:rPr>
        <w:lastRenderedPageBreak/>
        <w:t>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w:t>
      </w:r>
      <w:r w:rsidRPr="00E3353F">
        <w:rPr>
          <w:rFonts w:ascii="Verdana" w:eastAsia="Calibri" w:hAnsi="Verdana" w:cs="Times New Roman"/>
          <w:sz w:val="20"/>
          <w:szCs w:val="20"/>
        </w:rPr>
        <w:lastRenderedPageBreak/>
        <w:t>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Tener el adoptante medios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458. La resolución judicial que apruebe la adopción plena,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491. El derecho del usufructo concedido a las personas que ejercen la patria potestad,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 xml:space="preserve">Tratándose de casos de violencia intrafamiliar, quienes carezcan de capacidad de ejercicio y tengan un interés opuesto con quienes ejerzan la patria potestad o la tutela, serán </w:t>
      </w:r>
      <w:r w:rsidRPr="00BD09C0">
        <w:rPr>
          <w:rFonts w:ascii="Verdana" w:hAnsi="Verdana"/>
          <w:sz w:val="20"/>
          <w:szCs w:val="20"/>
        </w:rPr>
        <w:lastRenderedPageBreak/>
        <w:t>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que en su testamento, aunque sea un menor no emancipado, deje bienes, ya sea por legado o por herencia, a un incapaz que no esté bajo su patria potestad, puede </w:t>
      </w:r>
      <w:r w:rsidRPr="00E3353F">
        <w:rPr>
          <w:rFonts w:ascii="Verdana" w:eastAsia="Calibri" w:hAnsi="Verdana" w:cs="Times New Roman"/>
          <w:sz w:val="20"/>
          <w:szCs w:val="20"/>
        </w:rPr>
        <w:lastRenderedPageBreak/>
        <w:t>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699. Si el ausente tiene hijos menores, que estén bajo su patria potestad, y no hay ascendiente que debe ejercerla conforme a la ley, ni tutor testamentario ni legítimo, el </w:t>
      </w:r>
      <w:r w:rsidRPr="00E3353F">
        <w:rPr>
          <w:rFonts w:ascii="Verdana" w:eastAsia="Calibri" w:hAnsi="Verdana" w:cs="Times New Roman"/>
          <w:sz w:val="20"/>
          <w:szCs w:val="20"/>
        </w:rPr>
        <w:lastRenderedPageBreak/>
        <w:t>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729. Los herederos testamentarios, y en su defecto, los que fueren legítimos al tiempo de la desaparición de un ausente, o al tiempo en que se hayan recibido las últimas noticias, si tienen capacidad legal para administrar, serán puestos en la posesión provisional de los </w:t>
      </w:r>
      <w:r w:rsidRPr="00E3353F">
        <w:rPr>
          <w:rFonts w:ascii="Verdana" w:eastAsia="Calibri" w:hAnsi="Verdana" w:cs="Times New Roman"/>
          <w:sz w:val="20"/>
          <w:szCs w:val="20"/>
        </w:rPr>
        <w:lastRenderedPageBreak/>
        <w:t>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Art. 778. El valor comercial máximo de los bienes afectos al patrimonio de familia,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w:t>
      </w:r>
      <w:r w:rsidRPr="00E3353F">
        <w:rPr>
          <w:rFonts w:ascii="Verdana" w:eastAsia="Calibri" w:hAnsi="Verdana" w:cs="Times New Roman"/>
          <w:sz w:val="20"/>
          <w:szCs w:val="20"/>
        </w:rPr>
        <w:lastRenderedPageBreak/>
        <w:t>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común,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situación, dimensiones y linderos del terreno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que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E3353F">
        <w:rPr>
          <w:rFonts w:ascii="Verdana" w:eastAsia="Calibri" w:hAnsi="Verdana" w:cs="Times New Roman"/>
          <w:sz w:val="20"/>
          <w:szCs w:val="20"/>
        </w:rPr>
        <w:lastRenderedPageBreak/>
        <w:t>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general, tubos, albañales, canales, ductos y alambres de distribución que formen parte de </w:t>
      </w:r>
      <w:r w:rsidRPr="00E3353F">
        <w:rPr>
          <w:rFonts w:ascii="Verdana" w:eastAsia="Calibri" w:hAnsi="Verdana" w:cs="Times New Roman"/>
          <w:sz w:val="20"/>
          <w:szCs w:val="20"/>
        </w:rPr>
        <w:lastRenderedPageBreak/>
        <w:t>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eastAsia="Calibri" w:hAnsi="Verdana" w:cs="Times New Roman"/>
          <w:sz w:val="20"/>
          <w:szCs w:val="20"/>
        </w:rPr>
        <w:lastRenderedPageBreak/>
        <w:t>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eastAsia="Calibri" w:hAnsi="Verdana" w:cs="Times New Roman"/>
          <w:sz w:val="20"/>
          <w:szCs w:val="20"/>
        </w:rPr>
        <w:lastRenderedPageBreak/>
        <w:t>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eastAsia="Calibri" w:hAnsi="Verdana" w:cs="Times New Roman"/>
          <w:sz w:val="20"/>
          <w:szCs w:val="20"/>
        </w:rPr>
        <w:lastRenderedPageBreak/>
        <w:t>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E3353F">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w:t>
      </w:r>
      <w:r w:rsidRPr="00E3353F">
        <w:rPr>
          <w:rFonts w:ascii="Verdana" w:eastAsia="Calibri" w:hAnsi="Verdana" w:cs="Times New Roman"/>
          <w:sz w:val="20"/>
          <w:szCs w:val="20"/>
        </w:rPr>
        <w:lastRenderedPageBreak/>
        <w:t>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lastRenderedPageBreak/>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1856. Si en el primer caso del artículo anterior el padre no hubiere revocado la donación, ésta deberá reducirse cuando se encuentre comprendida en la disposición del </w:t>
      </w:r>
      <w:r w:rsidRPr="00E3353F">
        <w:rPr>
          <w:rFonts w:ascii="Verdana" w:eastAsia="Calibri" w:hAnsi="Verdana" w:cs="Times New Roman"/>
          <w:sz w:val="20"/>
          <w:szCs w:val="20"/>
        </w:rPr>
        <w:lastRenderedPageBreak/>
        <w:t>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1890. Cuando el mutuatario sufra evicción sólo podrá exigirle al mutuante que cumpla nuevamente su prestación y lo indemnice de los daños y perjuicios si hubo mala fe o, si lo </w:t>
      </w:r>
      <w:r w:rsidRPr="00E3353F">
        <w:rPr>
          <w:rFonts w:ascii="Verdana" w:eastAsia="Calibri" w:hAnsi="Verdana" w:cs="Times New Roman"/>
          <w:sz w:val="20"/>
          <w:szCs w:val="20"/>
        </w:rPr>
        <w:lastRenderedPageBreak/>
        <w:t>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w:t>
      </w:r>
      <w:r w:rsidRPr="00E3353F">
        <w:rPr>
          <w:rFonts w:ascii="Verdana" w:eastAsia="Calibri" w:hAnsi="Verdana" w:cs="Times New Roman"/>
          <w:sz w:val="20"/>
          <w:szCs w:val="20"/>
        </w:rPr>
        <w:lastRenderedPageBreak/>
        <w:t>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1917. Lo dispuesto en la fracción IV del artículo 1913 no comprende las vías de hecho de terceros que no aleguen derechos sobre la cosa arrendada que impidan su uso o goce. El arrendatario, en esos casos, sólo tiene acción contra los autores de los hechos, y aunque </w:t>
      </w:r>
      <w:r w:rsidRPr="00E3353F">
        <w:rPr>
          <w:rFonts w:ascii="Verdana" w:eastAsia="Calibri" w:hAnsi="Verdana" w:cs="Times New Roman"/>
          <w:sz w:val="20"/>
          <w:szCs w:val="20"/>
        </w:rPr>
        <w:lastRenderedPageBreak/>
        <w:t>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2020. El comodante podrá exigir la devolución de la cosa antes de que termine el plazo o uso convenidos, sobreviniéndole necesidad urgente de ella, probando que hay peligro de </w:t>
      </w:r>
      <w:r w:rsidRPr="00E3353F">
        <w:rPr>
          <w:rFonts w:ascii="Verdana" w:eastAsia="Calibri" w:hAnsi="Verdana" w:cs="Times New Roman"/>
          <w:sz w:val="20"/>
          <w:szCs w:val="20"/>
        </w:rPr>
        <w:lastRenderedPageBreak/>
        <w:t>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2044. Los dueños de establecimientos en donde se reciben huéspedes son responsables del deterioro, destrucción o pérdida de los efectos introducidos en el </w:t>
      </w:r>
      <w:r w:rsidRPr="00E3353F">
        <w:rPr>
          <w:rFonts w:ascii="Verdana" w:eastAsia="Calibri" w:hAnsi="Verdana" w:cs="Times New Roman"/>
          <w:sz w:val="20"/>
          <w:szCs w:val="20"/>
        </w:rPr>
        <w:lastRenderedPageBreak/>
        <w:t>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2150. Cuando la obra fue ajustada por peso o medida, sin designación del número de piezas o de la medida total, el contrato puede terminarse por una y otra parte, pagándose </w:t>
      </w:r>
      <w:r w:rsidRPr="00E3353F">
        <w:rPr>
          <w:rFonts w:ascii="Verdana" w:eastAsia="Calibri" w:hAnsi="Verdana" w:cs="Times New Roman"/>
          <w:sz w:val="20"/>
          <w:szCs w:val="20"/>
        </w:rPr>
        <w:lastRenderedPageBreak/>
        <w:t>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2191. Las asociaciones que se constituyan con sujeción a la presente ley,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lastRenderedPageBreak/>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w:t>
      </w:r>
      <w:r w:rsidRPr="004E1D86">
        <w:rPr>
          <w:rFonts w:ascii="Verdana" w:hAnsi="Verdana"/>
          <w:sz w:val="20"/>
          <w:szCs w:val="20"/>
        </w:rPr>
        <w:lastRenderedPageBreak/>
        <w:t>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2531. La cancelación de las inscripciones de hipotecas constituidas en garantía de títulos transmisibles por endoso,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lastRenderedPageBreak/>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que al presentarlo al notario ante cinco testigos, escriba en presencia de todos sobre la cubierta, que en aquel pliego se contiene su última </w:t>
      </w:r>
      <w:r w:rsidRPr="00E3353F">
        <w:rPr>
          <w:rFonts w:ascii="Verdana" w:eastAsia="Calibri" w:hAnsi="Verdana" w:cs="Times New Roman"/>
          <w:sz w:val="20"/>
          <w:szCs w:val="20"/>
        </w:rPr>
        <w:lastRenderedPageBreak/>
        <w:t>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2945. Los albaceas, dentro de los quince días siguientes a la aprobación del inventario, propondrán al Juez la distribución provisional de los productos de los bienes hereditarios, </w:t>
      </w:r>
      <w:r w:rsidRPr="00E3353F">
        <w:rPr>
          <w:rFonts w:ascii="Verdana" w:eastAsia="Calibri" w:hAnsi="Verdana" w:cs="Times New Roman"/>
          <w:sz w:val="20"/>
          <w:szCs w:val="20"/>
        </w:rPr>
        <w:lastRenderedPageBreak/>
        <w:t>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2952. Cuando la propiedad de la cosa ajena conste por medios diversos de los enumerados en el artículo que precede, el albacea se limitará a poner al margen de las </w:t>
      </w:r>
      <w:r w:rsidRPr="00E3353F">
        <w:rPr>
          <w:rFonts w:ascii="Verdana" w:eastAsia="Calibri" w:hAnsi="Verdana" w:cs="Times New Roman"/>
          <w:sz w:val="20"/>
          <w:szCs w:val="20"/>
        </w:rPr>
        <w:lastRenderedPageBreak/>
        <w:t>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270E7B9" w14:textId="77777777" w:rsidR="004E1D86" w:rsidRDefault="004E1D86"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61799823" w14:textId="77777777" w:rsidR="004E1D86" w:rsidRDefault="004E1D86" w:rsidP="00E3353F">
      <w:pPr>
        <w:spacing w:after="0" w:line="240" w:lineRule="auto"/>
        <w:jc w:val="both"/>
        <w:rPr>
          <w:rFonts w:ascii="Verdana" w:eastAsia="Calibri" w:hAnsi="Verdana" w:cs="Times New Roman"/>
          <w:sz w:val="20"/>
          <w:szCs w:val="20"/>
        </w:rPr>
      </w:pPr>
    </w:p>
    <w:p w14:paraId="575C7917" w14:textId="77777777" w:rsidR="004E1D86" w:rsidRDefault="004E1D86"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35BD57F2" w14:textId="77777777" w:rsidR="002F1374" w:rsidRDefault="002F1374" w:rsidP="004E1D86">
      <w:pPr>
        <w:pStyle w:val="Estilo"/>
        <w:rPr>
          <w:rFonts w:ascii="Verdana" w:hAnsi="Verdana"/>
          <w:sz w:val="20"/>
          <w:szCs w:val="20"/>
        </w:rPr>
      </w:pPr>
    </w:p>
    <w:p w14:paraId="27763558" w14:textId="77777777" w:rsidR="002F1374" w:rsidRDefault="002F1374" w:rsidP="004E1D86">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250246A9" w:rsidR="00086273" w:rsidRPr="00086273" w:rsidRDefault="00086273" w:rsidP="00086273">
      <w:pPr>
        <w:pStyle w:val="Estilo"/>
        <w:rPr>
          <w:rFonts w:ascii="Verdana" w:hAnsi="Verdana"/>
          <w:sz w:val="20"/>
          <w:szCs w:val="20"/>
        </w:rPr>
      </w:pPr>
      <w:r w:rsidRPr="00086273">
        <w:rPr>
          <w:rFonts w:ascii="Verdana" w:hAnsi="Verdana"/>
          <w:b/>
          <w:bCs/>
          <w:sz w:val="20"/>
          <w:szCs w:val="20"/>
        </w:rPr>
        <w:t xml:space="preserve">ARTICULO </w:t>
      </w:r>
      <w:r w:rsidRPr="00086273">
        <w:rPr>
          <w:rFonts w:ascii="Verdana" w:hAnsi="Verdana"/>
          <w:b/>
          <w:bCs/>
          <w:sz w:val="20"/>
          <w:szCs w:val="20"/>
        </w:rPr>
        <w:t>UNICO. -</w:t>
      </w:r>
      <w:r w:rsidRPr="00086273">
        <w:rPr>
          <w:rFonts w:ascii="Verdana" w:hAnsi="Verdana"/>
          <w:sz w:val="20"/>
          <w:szCs w:val="20"/>
        </w:rPr>
        <w:t xml:space="preserve"> El presente Decreto entrará en vigor el Primero de Marzo el año 2000, previa su publicación en el Periódico Oficial del Gobierno del Estado.</w:t>
      </w: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7006" w14:textId="77777777" w:rsidR="00CB342C" w:rsidRDefault="00CB342C">
      <w:pPr>
        <w:spacing w:after="0" w:line="240" w:lineRule="auto"/>
      </w:pPr>
      <w:r>
        <w:separator/>
      </w:r>
    </w:p>
  </w:endnote>
  <w:endnote w:type="continuationSeparator" w:id="0">
    <w:p w14:paraId="3BC7B07B" w14:textId="77777777" w:rsidR="00CB342C" w:rsidRDefault="00CB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C6CB" w14:textId="77777777" w:rsidR="00CB342C" w:rsidRDefault="00CB342C">
      <w:pPr>
        <w:spacing w:after="0" w:line="240" w:lineRule="auto"/>
      </w:pPr>
      <w:r>
        <w:separator/>
      </w:r>
    </w:p>
  </w:footnote>
  <w:footnote w:type="continuationSeparator" w:id="0">
    <w:p w14:paraId="74A1E4B1" w14:textId="77777777" w:rsidR="00CB342C" w:rsidRDefault="00CB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71660346"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.,103, 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A40A53">
            <w:rPr>
              <w:rFonts w:ascii="Arial Narrow" w:eastAsia="Arial Unicode MS" w:hAnsi="Arial Narrow" w:cs="Arial Unicode MS"/>
              <w:i/>
              <w:sz w:val="13"/>
              <w:szCs w:val="13"/>
            </w:rPr>
            <w:t>24-12-1999</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CB342C"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86273"/>
    <w:rsid w:val="00097872"/>
    <w:rsid w:val="000E6407"/>
    <w:rsid w:val="00204035"/>
    <w:rsid w:val="002B7C80"/>
    <w:rsid w:val="002F1374"/>
    <w:rsid w:val="003F67D8"/>
    <w:rsid w:val="00400B12"/>
    <w:rsid w:val="0041445D"/>
    <w:rsid w:val="00471524"/>
    <w:rsid w:val="00494FC3"/>
    <w:rsid w:val="004C309A"/>
    <w:rsid w:val="004C5B70"/>
    <w:rsid w:val="004E1D86"/>
    <w:rsid w:val="00542F05"/>
    <w:rsid w:val="005E6032"/>
    <w:rsid w:val="00606959"/>
    <w:rsid w:val="00676D53"/>
    <w:rsid w:val="006E249B"/>
    <w:rsid w:val="00744494"/>
    <w:rsid w:val="007B2969"/>
    <w:rsid w:val="007F7D6B"/>
    <w:rsid w:val="0088030B"/>
    <w:rsid w:val="008C3C05"/>
    <w:rsid w:val="00964391"/>
    <w:rsid w:val="00992329"/>
    <w:rsid w:val="00A40A53"/>
    <w:rsid w:val="00A4758D"/>
    <w:rsid w:val="00A956DB"/>
    <w:rsid w:val="00AA4830"/>
    <w:rsid w:val="00AC1129"/>
    <w:rsid w:val="00B16E97"/>
    <w:rsid w:val="00B50618"/>
    <w:rsid w:val="00B65FFC"/>
    <w:rsid w:val="00B96DF5"/>
    <w:rsid w:val="00BD09C0"/>
    <w:rsid w:val="00BD1D15"/>
    <w:rsid w:val="00BD4C56"/>
    <w:rsid w:val="00C20A01"/>
    <w:rsid w:val="00CB342C"/>
    <w:rsid w:val="00CF77D6"/>
    <w:rsid w:val="00D14CA3"/>
    <w:rsid w:val="00D20DE7"/>
    <w:rsid w:val="00D57BA0"/>
    <w:rsid w:val="00D910DA"/>
    <w:rsid w:val="00DE53FF"/>
    <w:rsid w:val="00E3353F"/>
    <w:rsid w:val="00E66131"/>
    <w:rsid w:val="00EA05FE"/>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329</Pages>
  <Words>128208</Words>
  <Characters>705145</Characters>
  <Application>Microsoft Office Word</Application>
  <DocSecurity>0</DocSecurity>
  <Lines>5876</Lines>
  <Paragraphs>1663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17</cp:revision>
  <cp:lastPrinted>2021-05-11T15:34:00Z</cp:lastPrinted>
  <dcterms:created xsi:type="dcterms:W3CDTF">2021-05-10T17:45:00Z</dcterms:created>
  <dcterms:modified xsi:type="dcterms:W3CDTF">2021-05-11T15:34:00Z</dcterms:modified>
</cp:coreProperties>
</file>