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00FFF55A" w14:textId="77777777" w:rsidR="006B0A66" w:rsidRPr="006B0A66" w:rsidRDefault="006B0A66" w:rsidP="006B0A66">
      <w:pPr>
        <w:pStyle w:val="Estilo"/>
        <w:rPr>
          <w:rFonts w:ascii="Verdana" w:hAnsi="Verdana"/>
          <w:sz w:val="20"/>
          <w:szCs w:val="20"/>
        </w:rPr>
      </w:pPr>
      <w:r w:rsidRPr="006B0A66">
        <w:rPr>
          <w:rFonts w:ascii="Verdana" w:hAnsi="Verdana"/>
          <w:sz w:val="20"/>
          <w:szCs w:val="20"/>
        </w:rPr>
        <w:t>ÚLTIMA REFORMA PUBLICADA EN EL PERIÓDICO OFICIAL: 9 DE MAYO DE 2014.</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1FCB1A02"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2. (DEROGADO, P.O. 21 DE MAYO DE 2013)</w:t>
      </w:r>
    </w:p>
    <w:p w14:paraId="4DB17859" w14:textId="77777777" w:rsidR="00E14761" w:rsidRPr="00E14761" w:rsidRDefault="00E14761" w:rsidP="00E14761">
      <w:pPr>
        <w:pStyle w:val="Estilo"/>
        <w:rPr>
          <w:rFonts w:ascii="Verdana" w:hAnsi="Verdana"/>
          <w:sz w:val="20"/>
          <w:szCs w:val="20"/>
        </w:rPr>
      </w:pPr>
    </w:p>
    <w:p w14:paraId="2C62BB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3. (DEROGADO, P.O. 21 DE MAYO DE 2013)</w:t>
      </w:r>
    </w:p>
    <w:p w14:paraId="1EFFA343" w14:textId="77777777" w:rsidR="00E14761" w:rsidRDefault="00E14761"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270DF4F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Art. 8. (DEROGADO, P.O. 21 DE MAYO DE 2013)</w:t>
      </w:r>
    </w:p>
    <w:p w14:paraId="4A3F3D23" w14:textId="77777777" w:rsidR="00E14761" w:rsidRDefault="00E14761"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33. El domicilio de las personas morales se determina de acuerdo con la ley que las haya creado o reconocido; a falta de disposiciones relativas en dicha ley, de acuerdo con 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Cuando una anotación esté asentada en un acta que no le corresponde, presente deficiencias en su redacción, errores en los datos de localización o contenga discordancias con el documento o acta que le dio origen, se procederá a su cancelación y, en su caso, al </w:t>
      </w:r>
      <w:r w:rsidRPr="00DA05BC">
        <w:rPr>
          <w:rFonts w:ascii="Verdana" w:hAnsi="Verdana"/>
          <w:sz w:val="20"/>
          <w:szCs w:val="20"/>
        </w:rPr>
        <w:lastRenderedPageBreak/>
        <w:t>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w:t>
      </w:r>
      <w:r w:rsidRPr="00DA05BC">
        <w:rPr>
          <w:rFonts w:ascii="Verdana" w:hAnsi="Verdana"/>
          <w:sz w:val="20"/>
          <w:szCs w:val="20"/>
        </w:rPr>
        <w:lastRenderedPageBreak/>
        <w:t>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76. Si con el expósito o abandonado se hubieren encontrado papeles, alhajas u otros objetos que puedan conducir a la identificación de aquél, el Procurador o procuradores auxiliares en materia de Asistencia Social, ordenará su depósito ante el Ministerio Público </w:t>
      </w:r>
      <w:r w:rsidRPr="00DA05BC">
        <w:rPr>
          <w:rFonts w:ascii="Verdana" w:hAnsi="Verdana"/>
          <w:sz w:val="20"/>
          <w:szCs w:val="20"/>
        </w:rPr>
        <w:lastRenderedPageBreak/>
        <w:t>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87-A. Asentada la anotación de reconocimiento, el Oficial del Registro Civil correspondiente al expedir en lo subsecuente copia autorizada del acta de nacimiento, asentará en ésta los apellidos que le correspondan, los datos de ambos padres y abuelos, 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107. Los pretendientes que declaren maliciosamente un hecho falso, los testigos que dolosamente afirmen la exactitud de las declaraciones de aquéllos o su identidad, así como los médicos y laboratoristas que se conduzcan falsamente al expedir certificados y </w:t>
      </w:r>
      <w:r w:rsidRPr="00AE76EF">
        <w:rPr>
          <w:rFonts w:ascii="Verdana" w:hAnsi="Verdana"/>
          <w:sz w:val="20"/>
          <w:szCs w:val="20"/>
        </w:rPr>
        <w:lastRenderedPageBreak/>
        <w:t>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Dirección General del Registro Civil emitirá la resolución en la que funde y motive la procedencia o improcedencia de la solicitud, ordenando en su caso la rectificación </w:t>
      </w:r>
      <w:r w:rsidRPr="00AE76EF">
        <w:rPr>
          <w:rFonts w:ascii="Verdana" w:hAnsi="Verdana"/>
          <w:sz w:val="20"/>
          <w:szCs w:val="20"/>
        </w:rPr>
        <w:lastRenderedPageBreak/>
        <w:t>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lastRenderedPageBreak/>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lastRenderedPageBreak/>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2306AB71"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374. Se suspende la obligación de dar alimentos:</w:t>
      </w:r>
    </w:p>
    <w:p w14:paraId="51EBDC6D" w14:textId="77777777" w:rsidR="006B0A66" w:rsidRPr="006B0A66" w:rsidRDefault="006B0A66" w:rsidP="006B0A66">
      <w:pPr>
        <w:pStyle w:val="Estilo"/>
        <w:rPr>
          <w:rFonts w:ascii="Verdana" w:hAnsi="Verdana"/>
          <w:sz w:val="20"/>
          <w:szCs w:val="20"/>
        </w:rPr>
      </w:pPr>
    </w:p>
    <w:p w14:paraId="60741B49"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(REFORMADA, P.O. 9 DE MAYO DE 2014)</w:t>
      </w:r>
    </w:p>
    <w:p w14:paraId="6147A99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 Cuando el que la tiene esté en imposibilidad para cumplirla, por impedimento para poder trabajar y por carecer de bienes propios, en tanto subsistan estas circunstancias;</w:t>
      </w:r>
    </w:p>
    <w:p w14:paraId="1542F408" w14:textId="77777777" w:rsidR="006B0A66" w:rsidRPr="006B0A66" w:rsidRDefault="006B0A66" w:rsidP="006B0A66">
      <w:pPr>
        <w:pStyle w:val="Estilo"/>
        <w:rPr>
          <w:rFonts w:ascii="Verdana" w:hAnsi="Verdana"/>
          <w:sz w:val="20"/>
          <w:szCs w:val="20"/>
        </w:rPr>
      </w:pPr>
    </w:p>
    <w:p w14:paraId="4498A462"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 Cuando el alimentista deja de necesitar los alimentos;</w:t>
      </w:r>
    </w:p>
    <w:p w14:paraId="2EE71666" w14:textId="77777777" w:rsidR="006B0A66" w:rsidRPr="006B0A66" w:rsidRDefault="006B0A66" w:rsidP="006B0A66">
      <w:pPr>
        <w:pStyle w:val="Estilo"/>
        <w:rPr>
          <w:rFonts w:ascii="Verdana" w:hAnsi="Verdana"/>
          <w:sz w:val="20"/>
          <w:szCs w:val="20"/>
        </w:rPr>
      </w:pPr>
    </w:p>
    <w:p w14:paraId="725315E0" w14:textId="77777777" w:rsidR="006B0A66" w:rsidRPr="006B0A66" w:rsidRDefault="006B0A66" w:rsidP="006B0A66">
      <w:pPr>
        <w:pStyle w:val="Estilo"/>
        <w:rPr>
          <w:rFonts w:ascii="Verdana" w:hAnsi="Verdana"/>
          <w:sz w:val="20"/>
          <w:szCs w:val="20"/>
        </w:rPr>
      </w:pPr>
      <w:r w:rsidRPr="006B0A66">
        <w:rPr>
          <w:rFonts w:ascii="Verdana" w:hAnsi="Verdana"/>
          <w:sz w:val="20"/>
          <w:szCs w:val="20"/>
        </w:rPr>
        <w:t>III. Cuando la necesidad de los alimentos dependa de la conducta viciosa o de la falta de aplicación al trabajo del alimentista, mientras subsistan estas causas;</w:t>
      </w:r>
    </w:p>
    <w:p w14:paraId="787B35DF" w14:textId="77777777" w:rsidR="006B0A66" w:rsidRPr="006B0A66" w:rsidRDefault="006B0A66" w:rsidP="006B0A66">
      <w:pPr>
        <w:pStyle w:val="Estilo"/>
        <w:rPr>
          <w:rFonts w:ascii="Verdana" w:hAnsi="Verdana"/>
          <w:sz w:val="20"/>
          <w:szCs w:val="20"/>
        </w:rPr>
      </w:pPr>
    </w:p>
    <w:p w14:paraId="29CEA3D3" w14:textId="77777777" w:rsidR="006B0A66" w:rsidRPr="006B0A66" w:rsidRDefault="006B0A66" w:rsidP="006B0A66">
      <w:pPr>
        <w:pStyle w:val="Estilo"/>
        <w:rPr>
          <w:rFonts w:ascii="Verdana" w:hAnsi="Verdana"/>
          <w:sz w:val="20"/>
          <w:szCs w:val="20"/>
        </w:rPr>
      </w:pPr>
      <w:r w:rsidRPr="006B0A66">
        <w:rPr>
          <w:rFonts w:ascii="Verdana" w:hAnsi="Verdana"/>
          <w:sz w:val="20"/>
          <w:szCs w:val="20"/>
        </w:rPr>
        <w:t xml:space="preserve">IV. Si el alimentista sin consentimiento del que debe dar los </w:t>
      </w:r>
      <w:proofErr w:type="gramStart"/>
      <w:r w:rsidRPr="006B0A66">
        <w:rPr>
          <w:rFonts w:ascii="Verdana" w:hAnsi="Verdana"/>
          <w:sz w:val="20"/>
          <w:szCs w:val="20"/>
        </w:rPr>
        <w:t>alimentos,</w:t>
      </w:r>
      <w:proofErr w:type="gramEnd"/>
      <w:r w:rsidRPr="006B0A66">
        <w:rPr>
          <w:rFonts w:ascii="Verdana" w:hAnsi="Verdana"/>
          <w:sz w:val="20"/>
          <w:szCs w:val="20"/>
        </w:rPr>
        <w:t xml:space="preserve"> abandona la casa de éste por causas injustificadas.</w:t>
      </w:r>
    </w:p>
    <w:p w14:paraId="341D8F33" w14:textId="77777777" w:rsidR="006B0A66" w:rsidRDefault="006B0A66"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49A0B56" w:rsidR="00E3353F" w:rsidRDefault="00E3353F" w:rsidP="00E3353F">
      <w:pPr>
        <w:spacing w:after="0" w:line="240" w:lineRule="auto"/>
        <w:jc w:val="both"/>
        <w:rPr>
          <w:rFonts w:ascii="Verdana" w:eastAsia="Calibri" w:hAnsi="Verdana" w:cs="Times New Roman"/>
          <w:sz w:val="20"/>
          <w:szCs w:val="20"/>
        </w:rPr>
      </w:pPr>
    </w:p>
    <w:p w14:paraId="43524EE3" w14:textId="77777777" w:rsidR="006B0A66" w:rsidRPr="006B0A66" w:rsidRDefault="006B0A66" w:rsidP="006B0A66">
      <w:pPr>
        <w:pStyle w:val="Estilo"/>
        <w:jc w:val="right"/>
        <w:rPr>
          <w:rFonts w:ascii="Verdana" w:hAnsi="Verdana"/>
          <w:sz w:val="20"/>
          <w:szCs w:val="20"/>
        </w:rPr>
      </w:pPr>
      <w:r w:rsidRPr="006B0A66">
        <w:rPr>
          <w:rFonts w:ascii="Verdana" w:hAnsi="Verdana"/>
          <w:sz w:val="20"/>
          <w:szCs w:val="20"/>
        </w:rPr>
        <w:t>(ADICIONADO, P.O. 9 DE MAYO DE 2014)</w:t>
      </w:r>
    </w:p>
    <w:p w14:paraId="47A93EB8" w14:textId="77777777" w:rsidR="006B0A66" w:rsidRPr="006B0A66" w:rsidRDefault="006B0A66" w:rsidP="006B0A66">
      <w:pPr>
        <w:pStyle w:val="Estilo"/>
        <w:rPr>
          <w:rFonts w:ascii="Verdana" w:hAnsi="Verdana"/>
          <w:sz w:val="20"/>
          <w:szCs w:val="20"/>
        </w:rPr>
      </w:pPr>
      <w:r w:rsidRPr="006B0A66">
        <w:rPr>
          <w:rFonts w:ascii="Verdana" w:hAnsi="Verdana"/>
          <w:sz w:val="20"/>
          <w:szCs w:val="20"/>
        </w:rPr>
        <w:t>Art. 380-A. El Estado otorgará a través de las instituciones y programas establecidos, el acceso a los servicios de asistencia social, de salud y de educación, para el caso de los menores hijos o incapacitados que no logren la obtención del pago de alimentos por parte de quienes tienen la obligación de darlos.</w:t>
      </w:r>
    </w:p>
    <w:p w14:paraId="54B1C7FE" w14:textId="77777777" w:rsidR="006B0A66" w:rsidRPr="00E3353F" w:rsidRDefault="006B0A66"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w:t>
      </w:r>
      <w:r w:rsidRPr="00E3353F">
        <w:rPr>
          <w:rFonts w:ascii="Verdana" w:eastAsia="Calibri" w:hAnsi="Verdana" w:cs="Times New Roman"/>
          <w:sz w:val="20"/>
          <w:szCs w:val="20"/>
        </w:rPr>
        <w:lastRenderedPageBreak/>
        <w:t>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w:t>
      </w:r>
      <w:r w:rsidRPr="00E3353F">
        <w:rPr>
          <w:rFonts w:ascii="Verdana" w:eastAsia="Calibri" w:hAnsi="Verdana" w:cs="Times New Roman"/>
          <w:sz w:val="20"/>
          <w:szCs w:val="20"/>
        </w:rPr>
        <w:lastRenderedPageBreak/>
        <w:t>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w:t>
      </w:r>
      <w:r w:rsidRPr="00097872">
        <w:rPr>
          <w:rFonts w:ascii="Verdana" w:hAnsi="Verdana"/>
          <w:sz w:val="20"/>
          <w:szCs w:val="20"/>
        </w:rPr>
        <w:lastRenderedPageBreak/>
        <w:t>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Art. 464-J. La adopción simple podrá convertirse en plena, debiendo obtenerse el consentimiento del adoptado si éste hubiere cumplido catorce años. Si fuere menor de esa edad se requiere el consentimiento de quien hubiese consentido en la adopción, siempre y </w:t>
      </w:r>
      <w:r w:rsidRPr="00171839">
        <w:rPr>
          <w:rFonts w:ascii="Verdana" w:hAnsi="Verdana"/>
          <w:sz w:val="20"/>
          <w:szCs w:val="20"/>
        </w:rPr>
        <w:lastRenderedPageBreak/>
        <w:t>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471. Cuando los padres del hijo nacido fuera de matrimonio que vivían juntos se separen, continuará ejerciendo la patria potestad, en caso de que no se pongan de acuerdo </w:t>
      </w:r>
      <w:r w:rsidRPr="00E3353F">
        <w:rPr>
          <w:rFonts w:ascii="Verdana" w:eastAsia="Calibri" w:hAnsi="Verdana" w:cs="Times New Roman"/>
          <w:sz w:val="20"/>
          <w:szCs w:val="20"/>
        </w:rPr>
        <w:lastRenderedPageBreak/>
        <w:t>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III. Cuando por las costumbres depravadas, malos tratamientos o abandono de deberes, de quien ejerce la patria potestad, pudiera comprometerse la salud, la seguridad o la </w:t>
      </w:r>
      <w:r w:rsidRPr="00171839">
        <w:rPr>
          <w:rFonts w:ascii="Verdana" w:hAnsi="Verdana"/>
          <w:sz w:val="20"/>
          <w:szCs w:val="20"/>
        </w:rPr>
        <w:lastRenderedPageBreak/>
        <w:t>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w:t>
      </w:r>
      <w:r w:rsidRPr="00E3353F">
        <w:rPr>
          <w:rFonts w:ascii="Verdana" w:eastAsia="Calibri" w:hAnsi="Verdana" w:cs="Times New Roman"/>
          <w:sz w:val="20"/>
          <w:szCs w:val="20"/>
        </w:rPr>
        <w:lastRenderedPageBreak/>
        <w:t>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599. Los incapacitados indigentes que no puedan ser alimentados y educados por los medios previstos en los dos artículos anteriores, lo serán a costa de las rentas públicas del </w:t>
      </w:r>
      <w:r w:rsidRPr="00E3353F">
        <w:rPr>
          <w:rFonts w:ascii="Verdana" w:eastAsia="Calibri" w:hAnsi="Verdana" w:cs="Times New Roman"/>
          <w:sz w:val="20"/>
          <w:szCs w:val="20"/>
        </w:rPr>
        <w:lastRenderedPageBreak/>
        <w:t>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w:t>
      </w:r>
      <w:r w:rsidRPr="00E3353F">
        <w:rPr>
          <w:rFonts w:ascii="Verdana" w:eastAsia="Calibri" w:hAnsi="Verdana" w:cs="Times New Roman"/>
          <w:sz w:val="20"/>
          <w:szCs w:val="20"/>
        </w:rPr>
        <w:lastRenderedPageBreak/>
        <w:t>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653. El tutor que sea reemplazado por otro estará obligado, y lo mismo sus herederos, a rendir cuenta general de la tutela al Juez. El nuevo tutor responderá al incapacitado por </w:t>
      </w:r>
      <w:r w:rsidRPr="00E3353F">
        <w:rPr>
          <w:rFonts w:ascii="Verdana" w:eastAsia="Calibri" w:hAnsi="Verdana" w:cs="Times New Roman"/>
          <w:sz w:val="20"/>
          <w:szCs w:val="20"/>
        </w:rPr>
        <w:lastRenderedPageBreak/>
        <w:t>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662. La entrega de los bienes y la cuenta de la tutela se efectuará a expensas del incapacitado. Si para realizarse no hubiere fondos disponibles, el Juez podrá autorizar al tutor a fin de que se proporcione lo necesario para la primera, y éste adelantará lo relativo </w:t>
      </w:r>
      <w:r w:rsidRPr="00E3353F">
        <w:rPr>
          <w:rFonts w:ascii="Verdana" w:eastAsia="Calibri" w:hAnsi="Verdana" w:cs="Times New Roman"/>
          <w:sz w:val="20"/>
          <w:szCs w:val="20"/>
        </w:rPr>
        <w:lastRenderedPageBreak/>
        <w:t>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w:t>
      </w:r>
      <w:r w:rsidRPr="00E3353F">
        <w:rPr>
          <w:rFonts w:ascii="Verdana" w:eastAsia="Calibri" w:hAnsi="Verdana" w:cs="Times New Roman"/>
          <w:sz w:val="20"/>
          <w:szCs w:val="20"/>
        </w:rPr>
        <w:lastRenderedPageBreak/>
        <w:t>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795. Los bienes muebles por su naturaleza, que se hayan considerado como inmuebles conforme a lo dispuesto en los artículos anteriores, recobrarán su calidad de muebles </w:t>
      </w:r>
      <w:r w:rsidRPr="00E3353F">
        <w:rPr>
          <w:rFonts w:ascii="Verdana" w:eastAsia="Calibri" w:hAnsi="Verdana" w:cs="Times New Roman"/>
          <w:sz w:val="20"/>
          <w:szCs w:val="20"/>
        </w:rPr>
        <w:lastRenderedPageBreak/>
        <w:t>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825. El Ministerio Público, si lo estima procedente, demandará ante el Juez competente la declaración de vacancia, contra persona incierta, a fin de que se adjudiquen los bienes </w:t>
      </w:r>
      <w:r w:rsidRPr="00E3353F">
        <w:rPr>
          <w:rFonts w:ascii="Verdana" w:eastAsia="Calibri" w:hAnsi="Verdana" w:cs="Times New Roman"/>
          <w:sz w:val="20"/>
          <w:szCs w:val="20"/>
        </w:rPr>
        <w:lastRenderedPageBreak/>
        <w:t>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w:t>
      </w:r>
      <w:r w:rsidRPr="00E3353F">
        <w:rPr>
          <w:rFonts w:ascii="Verdana" w:eastAsia="Calibri" w:hAnsi="Verdana" w:cs="Times New Roman"/>
          <w:sz w:val="20"/>
          <w:szCs w:val="20"/>
        </w:rPr>
        <w:lastRenderedPageBreak/>
        <w:t>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1091. Si el usufructo comprende cosas que no pueden usarse sin consumirse, el usufructuario tendrá el derecho de consumirlas, pero está obligado a restituirlas, al terminar el usufructo, en igual género, cantidad y calidad. No siendo posible hacer la </w:t>
      </w:r>
      <w:r w:rsidRPr="00E3353F">
        <w:rPr>
          <w:rFonts w:ascii="Verdana" w:eastAsia="Calibri" w:hAnsi="Verdana" w:cs="Times New Roman"/>
          <w:sz w:val="20"/>
          <w:szCs w:val="20"/>
        </w:rPr>
        <w:lastRenderedPageBreak/>
        <w:t>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1198. Si hubiere varios predios por donde pueda darse el paso a la vía pública, el obligado a la servidumbre será aquel por donde fuere más corta la distancia, siempre que </w:t>
      </w:r>
      <w:r w:rsidRPr="00E3353F">
        <w:rPr>
          <w:rFonts w:ascii="Verdana" w:eastAsia="Calibri" w:hAnsi="Verdana" w:cs="Times New Roman"/>
          <w:sz w:val="20"/>
          <w:szCs w:val="20"/>
        </w:rPr>
        <w:lastRenderedPageBreak/>
        <w:t>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1235. Para los efectos de los artículos 1074 y 1075, se dice legalmente cambiada la causa de la posesión, cuando el poseedor que no poseía a título de dueño comienza a </w:t>
      </w:r>
      <w:r w:rsidRPr="00E3353F">
        <w:rPr>
          <w:rFonts w:ascii="Verdana" w:eastAsia="Calibri" w:hAnsi="Verdana" w:cs="Times New Roman"/>
          <w:sz w:val="20"/>
          <w:szCs w:val="20"/>
        </w:rPr>
        <w:lastRenderedPageBreak/>
        <w:t>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1266. Empezará a contarse el nuevo término de la prescripción en caso de reconocimiento de las obligaciones, desde el día en que se haga; si se renueva el </w:t>
      </w:r>
      <w:r w:rsidRPr="00E3353F">
        <w:rPr>
          <w:rFonts w:ascii="Verdana" w:eastAsia="Calibri" w:hAnsi="Verdana" w:cs="Times New Roman"/>
          <w:sz w:val="20"/>
          <w:szCs w:val="20"/>
        </w:rPr>
        <w:lastRenderedPageBreak/>
        <w:t>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lastRenderedPageBreak/>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w:t>
      </w:r>
      <w:r w:rsidRPr="00E3353F">
        <w:rPr>
          <w:rFonts w:ascii="Verdana" w:eastAsia="Calibri" w:hAnsi="Verdana" w:cs="Times New Roman"/>
          <w:sz w:val="20"/>
          <w:szCs w:val="20"/>
        </w:rPr>
        <w:lastRenderedPageBreak/>
        <w:t>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lastRenderedPageBreak/>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w:t>
      </w:r>
      <w:r w:rsidRPr="00E3353F">
        <w:rPr>
          <w:rFonts w:ascii="Verdana" w:eastAsia="Calibri" w:hAnsi="Verdana" w:cs="Times New Roman"/>
          <w:sz w:val="20"/>
          <w:szCs w:val="20"/>
        </w:rPr>
        <w:lastRenderedPageBreak/>
        <w:t>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E3353F">
        <w:rPr>
          <w:rFonts w:ascii="Verdana" w:eastAsia="Calibri" w:hAnsi="Verdana" w:cs="Times New Roman"/>
          <w:sz w:val="20"/>
          <w:szCs w:val="20"/>
        </w:rPr>
        <w:lastRenderedPageBreak/>
        <w:t>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 xml:space="preserve">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2460. La proposición de convenio se discutirá y pondrá a votación, formando resolución el voto de un número de acreedores que componga la mitad y uno más de los </w:t>
      </w:r>
      <w:r w:rsidRPr="00E3353F">
        <w:rPr>
          <w:rFonts w:ascii="Verdana" w:eastAsia="Calibri" w:hAnsi="Verdana" w:cs="Times New Roman"/>
          <w:sz w:val="20"/>
          <w:szCs w:val="20"/>
        </w:rPr>
        <w:lastRenderedPageBreak/>
        <w:t>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w:t>
      </w:r>
      <w:r w:rsidRPr="00B07BDF">
        <w:rPr>
          <w:rFonts w:ascii="Verdana" w:hAnsi="Verdana"/>
          <w:sz w:val="20"/>
          <w:szCs w:val="20"/>
        </w:rPr>
        <w:lastRenderedPageBreak/>
        <w:t>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w:t>
      </w:r>
      <w:r w:rsidRPr="00B07BDF">
        <w:rPr>
          <w:rFonts w:ascii="Verdana" w:hAnsi="Verdana"/>
          <w:sz w:val="20"/>
          <w:szCs w:val="20"/>
        </w:rPr>
        <w:lastRenderedPageBreak/>
        <w:t>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w:t>
      </w:r>
      <w:r w:rsidRPr="00E3353F">
        <w:rPr>
          <w:rFonts w:ascii="Verdana" w:eastAsia="Calibri" w:hAnsi="Verdana" w:cs="Times New Roman"/>
          <w:sz w:val="20"/>
          <w:szCs w:val="20"/>
        </w:rPr>
        <w:lastRenderedPageBreak/>
        <w:t>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 xml:space="preserve">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w:t>
      </w:r>
      <w:r w:rsidRPr="004E1D86">
        <w:rPr>
          <w:rFonts w:ascii="Verdana" w:hAnsi="Verdana"/>
          <w:sz w:val="20"/>
          <w:szCs w:val="20"/>
        </w:rPr>
        <w:lastRenderedPageBreak/>
        <w:t>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2878. Háyase o no dado el aviso de que habla el artículo 2876 al aproximarse la época del parto, la viuda deberá ponerlo en conocimiento del Juez, para que lo haga saber a los interesados. Estos tienen derecho de pedir que el Juez nombre una persona que se cerciore </w:t>
      </w:r>
      <w:r w:rsidRPr="00E3353F">
        <w:rPr>
          <w:rFonts w:ascii="Verdana" w:eastAsia="Calibri" w:hAnsi="Verdana" w:cs="Times New Roman"/>
          <w:sz w:val="20"/>
          <w:szCs w:val="20"/>
        </w:rPr>
        <w:lastRenderedPageBreak/>
        <w:t>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2890. El derecho de reclamar la herencia es transmisible, a su vez, hereditariamente. Prescribe este derecho en el término de diez años, pero se considerará interrumpida la prescripción cuando el heredero esté en posesión de los bienes hereditarios, haya </w:t>
      </w:r>
      <w:r w:rsidRPr="00E3353F">
        <w:rPr>
          <w:rFonts w:ascii="Verdana" w:eastAsia="Calibri" w:hAnsi="Verdana" w:cs="Times New Roman"/>
          <w:sz w:val="20"/>
          <w:szCs w:val="20"/>
        </w:rPr>
        <w:lastRenderedPageBreak/>
        <w:t>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lastRenderedPageBreak/>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lastRenderedPageBreak/>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76DBDA40" w14:textId="77777777" w:rsidR="00E14761" w:rsidRDefault="00E14761" w:rsidP="00742900">
      <w:pPr>
        <w:pStyle w:val="Estilo"/>
        <w:jc w:val="center"/>
        <w:rPr>
          <w:rFonts w:ascii="Verdana" w:hAnsi="Verdana"/>
          <w:b/>
          <w:bCs/>
          <w:sz w:val="20"/>
          <w:szCs w:val="20"/>
        </w:rPr>
      </w:pPr>
    </w:p>
    <w:p w14:paraId="3594CEAF" w14:textId="3AFF7FEF"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E14761">
        <w:rPr>
          <w:rFonts w:ascii="Verdana" w:hAnsi="Verdana"/>
          <w:b/>
          <w:bCs/>
          <w:sz w:val="20"/>
          <w:szCs w:val="20"/>
        </w:rPr>
        <w:t>ARTÍCULO ÚNICO</w:t>
      </w:r>
      <w:r w:rsidRPr="00742900">
        <w:rPr>
          <w:rFonts w:ascii="Verdana" w:hAnsi="Verdana"/>
          <w:sz w:val="20"/>
          <w:szCs w:val="20"/>
        </w:rPr>
        <w:t>.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E14761">
        <w:rPr>
          <w:rFonts w:ascii="Verdana" w:hAnsi="Verdana"/>
          <w:b/>
          <w:bCs/>
          <w:sz w:val="20"/>
          <w:szCs w:val="20"/>
        </w:rPr>
        <w:t>Artículo Único.</w:t>
      </w:r>
      <w:r w:rsidRPr="00CB2BFD">
        <w:rPr>
          <w:rFonts w:ascii="Verdana" w:hAnsi="Verdana"/>
          <w:sz w:val="20"/>
          <w:szCs w:val="20"/>
        </w:rPr>
        <w:t xml:space="preserve">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24D636C4" w:rsidR="00C9674A" w:rsidRDefault="00C9674A" w:rsidP="00C9674A">
      <w:pPr>
        <w:pStyle w:val="Estilo"/>
        <w:rPr>
          <w:rFonts w:ascii="Verdana" w:hAnsi="Verdana"/>
          <w:sz w:val="20"/>
          <w:szCs w:val="20"/>
        </w:rPr>
      </w:pPr>
      <w:r w:rsidRPr="00E14761">
        <w:rPr>
          <w:rFonts w:ascii="Verdana" w:hAnsi="Verdana"/>
          <w:b/>
          <w:bCs/>
          <w:sz w:val="20"/>
          <w:szCs w:val="20"/>
        </w:rPr>
        <w:t>Artículo Único.</w:t>
      </w:r>
      <w:r w:rsidRPr="00C9674A">
        <w:rPr>
          <w:rFonts w:ascii="Verdana" w:hAnsi="Verdana"/>
          <w:sz w:val="20"/>
          <w:szCs w:val="20"/>
        </w:rPr>
        <w:t xml:space="preserve">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48FFCE20" w14:textId="1893820F" w:rsidR="00E14761" w:rsidRDefault="00E14761" w:rsidP="00C9674A">
      <w:pPr>
        <w:pStyle w:val="Estilo"/>
        <w:rPr>
          <w:rFonts w:ascii="Verdana" w:hAnsi="Verdana"/>
          <w:sz w:val="20"/>
          <w:szCs w:val="20"/>
        </w:rPr>
      </w:pPr>
    </w:p>
    <w:p w14:paraId="5CC4BEAF"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P.O. 21 DE MAYO DE 2013.</w:t>
      </w:r>
    </w:p>
    <w:p w14:paraId="02D42ED9" w14:textId="77777777" w:rsidR="00E14761" w:rsidRPr="00E14761" w:rsidRDefault="00E14761" w:rsidP="00E14761">
      <w:pPr>
        <w:pStyle w:val="Estilo"/>
        <w:rPr>
          <w:rFonts w:ascii="Verdana" w:hAnsi="Verdana"/>
          <w:sz w:val="20"/>
          <w:szCs w:val="20"/>
        </w:rPr>
      </w:pPr>
    </w:p>
    <w:p w14:paraId="2115E432"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Primero</w:t>
      </w:r>
      <w:r w:rsidRPr="00E14761">
        <w:rPr>
          <w:rFonts w:ascii="Verdana" w:hAnsi="Verdana"/>
          <w:sz w:val="20"/>
          <w:szCs w:val="20"/>
        </w:rPr>
        <w:t xml:space="preserve">. El presente Decreto </w:t>
      </w:r>
      <w:proofErr w:type="gramStart"/>
      <w:r w:rsidRPr="00E14761">
        <w:rPr>
          <w:rFonts w:ascii="Verdana" w:hAnsi="Verdana"/>
          <w:sz w:val="20"/>
          <w:szCs w:val="20"/>
        </w:rPr>
        <w:t>entrará en vigencia</w:t>
      </w:r>
      <w:proofErr w:type="gramEnd"/>
      <w:r w:rsidRPr="00E14761">
        <w:rPr>
          <w:rFonts w:ascii="Verdana" w:hAnsi="Verdana"/>
          <w:sz w:val="20"/>
          <w:szCs w:val="20"/>
        </w:rPr>
        <w:t xml:space="preserve"> al cuarto día siguiente al de su publicación en el Periódico Oficial de (sic) Gobierno del Estado.</w:t>
      </w:r>
    </w:p>
    <w:p w14:paraId="5FE00FD5" w14:textId="77777777" w:rsidR="00E14761" w:rsidRPr="00E14761" w:rsidRDefault="00E14761" w:rsidP="00E14761">
      <w:pPr>
        <w:pStyle w:val="Estilo"/>
        <w:rPr>
          <w:rFonts w:ascii="Verdana" w:hAnsi="Verdana"/>
          <w:sz w:val="20"/>
          <w:szCs w:val="20"/>
        </w:rPr>
      </w:pPr>
    </w:p>
    <w:p w14:paraId="31CC3BAA"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Segundo</w:t>
      </w:r>
      <w:r w:rsidRPr="00E14761">
        <w:rPr>
          <w:rFonts w:ascii="Verdana" w:hAnsi="Verdana"/>
          <w:sz w:val="20"/>
          <w:szCs w:val="20"/>
        </w:rPr>
        <w:t>. El Poder Ejecutivo, por conducto de la Secretaría de Gobierno, dará amplia difusión a la dirección electrónica del Periódico Oficial del Gobierno del Estado.</w:t>
      </w:r>
    </w:p>
    <w:p w14:paraId="0319C812" w14:textId="77777777" w:rsidR="00E14761" w:rsidRPr="00E14761" w:rsidRDefault="00E14761" w:rsidP="00E14761">
      <w:pPr>
        <w:pStyle w:val="Estilo"/>
        <w:rPr>
          <w:rFonts w:ascii="Verdana" w:hAnsi="Verdana"/>
          <w:sz w:val="20"/>
          <w:szCs w:val="20"/>
        </w:rPr>
      </w:pPr>
    </w:p>
    <w:p w14:paraId="0F1D0FD1"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Tercero</w:t>
      </w:r>
      <w:r w:rsidRPr="00E14761">
        <w:rPr>
          <w:rFonts w:ascii="Verdana" w:hAnsi="Verdana"/>
          <w:sz w:val="20"/>
          <w:szCs w:val="20"/>
        </w:rPr>
        <w:t>. La Secretaría de Desarrollo Agroalimentario y Rural, sustituye en todos los derechos, obligaciones y compromisos adquiridos por la Secretaría de Desarrollo Agropecuario.</w:t>
      </w:r>
    </w:p>
    <w:p w14:paraId="68F47E05" w14:textId="77777777" w:rsidR="00E14761" w:rsidRPr="00E14761" w:rsidRDefault="00E14761" w:rsidP="00E14761">
      <w:pPr>
        <w:pStyle w:val="Estilo"/>
        <w:rPr>
          <w:rFonts w:ascii="Verdana" w:hAnsi="Verdana"/>
          <w:sz w:val="20"/>
          <w:szCs w:val="20"/>
        </w:rPr>
      </w:pPr>
    </w:p>
    <w:p w14:paraId="06938666" w14:textId="77777777" w:rsidR="00E14761" w:rsidRP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Desarrollo Agroalimentario y Rural a que alude el presente Decreto, se entenderá referida a la Secretaría de Desarrollo Agropecuario, que se menciona en otros decretos, reglamentos, convenios u otros instrumentos jurídicos emitidos con anterioridad al presente Decreto.</w:t>
      </w:r>
    </w:p>
    <w:p w14:paraId="64979ED7" w14:textId="77777777" w:rsidR="00E14761" w:rsidRPr="00E14761" w:rsidRDefault="00E14761" w:rsidP="00E14761">
      <w:pPr>
        <w:pStyle w:val="Estilo"/>
        <w:rPr>
          <w:rFonts w:ascii="Verdana" w:hAnsi="Verdana"/>
          <w:sz w:val="20"/>
          <w:szCs w:val="20"/>
        </w:rPr>
      </w:pPr>
    </w:p>
    <w:p w14:paraId="27B58941" w14:textId="77777777" w:rsidR="00E14761" w:rsidRPr="00E14761" w:rsidRDefault="00E14761" w:rsidP="00E14761">
      <w:pPr>
        <w:pStyle w:val="Estilo"/>
        <w:rPr>
          <w:rFonts w:ascii="Verdana" w:hAnsi="Verdana"/>
          <w:sz w:val="20"/>
          <w:szCs w:val="20"/>
        </w:rPr>
      </w:pPr>
      <w:r w:rsidRPr="00E14761">
        <w:rPr>
          <w:rFonts w:ascii="Verdana" w:hAnsi="Verdana"/>
          <w:sz w:val="20"/>
          <w:szCs w:val="20"/>
        </w:rPr>
        <w:lastRenderedPageBreak/>
        <w:t>En tanto se realizan los ajustes en el Reglamento Interior y demás normatividad, las unidades administrativas que por consecuencia del presente Decreto modifiquen su denominación o adquieren atribuciones que tenían otras unidades administrativas, se sustituirán en todos los derechos, obligaciones y compromisos adquiridos por la unidad administrativa que se modifique o extinga, en la materia que se le asigne.</w:t>
      </w:r>
    </w:p>
    <w:p w14:paraId="7A5F52B5" w14:textId="77777777" w:rsidR="00E14761" w:rsidRPr="00E14761" w:rsidRDefault="00E14761" w:rsidP="00E14761">
      <w:pPr>
        <w:pStyle w:val="Estilo"/>
        <w:rPr>
          <w:rFonts w:ascii="Verdana" w:hAnsi="Verdana"/>
          <w:sz w:val="20"/>
          <w:szCs w:val="20"/>
        </w:rPr>
      </w:pPr>
    </w:p>
    <w:p w14:paraId="35F4F0A0" w14:textId="77777777" w:rsidR="00E14761" w:rsidRPr="00E14761" w:rsidRDefault="00E14761" w:rsidP="00E14761">
      <w:pPr>
        <w:pStyle w:val="Estilo"/>
        <w:rPr>
          <w:rFonts w:ascii="Verdana" w:hAnsi="Verdana"/>
          <w:sz w:val="20"/>
          <w:szCs w:val="20"/>
        </w:rPr>
      </w:pPr>
      <w:r w:rsidRPr="00E14761">
        <w:rPr>
          <w:rFonts w:ascii="Verdana" w:hAnsi="Verdana"/>
          <w:b/>
          <w:bCs/>
          <w:sz w:val="20"/>
          <w:szCs w:val="20"/>
        </w:rPr>
        <w:t>Artículo Cuarto</w:t>
      </w:r>
      <w:r w:rsidRPr="00E14761">
        <w:rPr>
          <w:rFonts w:ascii="Verdana" w:hAnsi="Verdana"/>
          <w:sz w:val="20"/>
          <w:szCs w:val="20"/>
        </w:rPr>
        <w:t>. La Secretaría de Turismo sustituye en todos los derechos, obligaciones y compromisos adquiridos por la Secretaría de Desarrollo Turístico.</w:t>
      </w:r>
    </w:p>
    <w:p w14:paraId="10C0022B" w14:textId="77777777" w:rsidR="00E14761" w:rsidRPr="00E14761" w:rsidRDefault="00E14761" w:rsidP="00E14761">
      <w:pPr>
        <w:pStyle w:val="Estilo"/>
        <w:rPr>
          <w:rFonts w:ascii="Verdana" w:hAnsi="Verdana"/>
          <w:sz w:val="20"/>
          <w:szCs w:val="20"/>
        </w:rPr>
      </w:pPr>
    </w:p>
    <w:p w14:paraId="311FEF82" w14:textId="215416BD" w:rsidR="00E14761" w:rsidRDefault="00E14761" w:rsidP="00E14761">
      <w:pPr>
        <w:pStyle w:val="Estilo"/>
        <w:rPr>
          <w:rFonts w:ascii="Verdana" w:hAnsi="Verdana"/>
          <w:sz w:val="20"/>
          <w:szCs w:val="20"/>
        </w:rPr>
      </w:pPr>
      <w:r w:rsidRPr="00E14761">
        <w:rPr>
          <w:rFonts w:ascii="Verdana" w:hAnsi="Verdana"/>
          <w:sz w:val="20"/>
          <w:szCs w:val="20"/>
        </w:rPr>
        <w:t>Para todos los efectos legales correspondientes, la Secretaría de Turismo a que alude el presente Decreto, se entenderá referida a la Secretaría de Desarrollo Turístico, que se menciona en otros decretos, reglamentos, convenios u otros instrumentos jurídicos emitidos con anterioridad al presente Decreto.</w:t>
      </w:r>
    </w:p>
    <w:p w14:paraId="31F92029" w14:textId="3D539405" w:rsidR="006B0A66" w:rsidRDefault="006B0A66" w:rsidP="00E14761">
      <w:pPr>
        <w:pStyle w:val="Estilo"/>
        <w:rPr>
          <w:rFonts w:ascii="Verdana" w:hAnsi="Verdana"/>
          <w:sz w:val="20"/>
          <w:szCs w:val="20"/>
        </w:rPr>
      </w:pPr>
    </w:p>
    <w:p w14:paraId="399BD41E" w14:textId="77777777" w:rsidR="006B0A66" w:rsidRPr="006B0A66" w:rsidRDefault="006B0A66" w:rsidP="006B0A66">
      <w:pPr>
        <w:pStyle w:val="Estilo"/>
        <w:rPr>
          <w:rFonts w:ascii="Verdana" w:hAnsi="Verdana"/>
          <w:sz w:val="20"/>
          <w:szCs w:val="20"/>
        </w:rPr>
      </w:pPr>
      <w:r w:rsidRPr="006B0A66">
        <w:rPr>
          <w:rFonts w:ascii="Verdana" w:hAnsi="Verdana"/>
          <w:sz w:val="20"/>
          <w:szCs w:val="20"/>
        </w:rPr>
        <w:t>P.O. 9 DE MAYO DE 2014.</w:t>
      </w:r>
    </w:p>
    <w:p w14:paraId="2A256847" w14:textId="77777777" w:rsidR="006B0A66" w:rsidRPr="006B0A66" w:rsidRDefault="006B0A66" w:rsidP="006B0A66">
      <w:pPr>
        <w:pStyle w:val="Estilo"/>
        <w:rPr>
          <w:rFonts w:ascii="Verdana" w:hAnsi="Verdana"/>
          <w:sz w:val="20"/>
          <w:szCs w:val="20"/>
        </w:rPr>
      </w:pPr>
    </w:p>
    <w:p w14:paraId="781E3C6A" w14:textId="77777777" w:rsidR="006B0A66" w:rsidRPr="006B0A66" w:rsidRDefault="006B0A66" w:rsidP="006B0A66">
      <w:pPr>
        <w:pStyle w:val="Estilo"/>
        <w:rPr>
          <w:rFonts w:ascii="Verdana" w:hAnsi="Verdana"/>
          <w:sz w:val="20"/>
          <w:szCs w:val="20"/>
        </w:rPr>
      </w:pPr>
      <w:r w:rsidRPr="006B0A66">
        <w:rPr>
          <w:rFonts w:ascii="Verdana" w:hAnsi="Verdana"/>
          <w:b/>
          <w:bCs/>
          <w:sz w:val="20"/>
          <w:szCs w:val="20"/>
        </w:rPr>
        <w:t>Artículo Único.</w:t>
      </w:r>
      <w:r w:rsidRPr="006B0A66">
        <w:rPr>
          <w:rFonts w:ascii="Verdana" w:hAnsi="Verdana"/>
          <w:sz w:val="20"/>
          <w:szCs w:val="20"/>
        </w:rPr>
        <w:t xml:space="preserve"> El presente Decreto </w:t>
      </w:r>
      <w:proofErr w:type="gramStart"/>
      <w:r w:rsidRPr="006B0A66">
        <w:rPr>
          <w:rFonts w:ascii="Verdana" w:hAnsi="Verdana"/>
          <w:sz w:val="20"/>
          <w:szCs w:val="20"/>
        </w:rPr>
        <w:t>entrará en vigencia</w:t>
      </w:r>
      <w:proofErr w:type="gramEnd"/>
      <w:r w:rsidRPr="006B0A66">
        <w:rPr>
          <w:rFonts w:ascii="Verdana" w:hAnsi="Verdana"/>
          <w:sz w:val="20"/>
          <w:szCs w:val="20"/>
        </w:rPr>
        <w:t xml:space="preserve"> al día siguiente al de su publicación en el Periódico Oficial del Gobierno del Estado.</w:t>
      </w:r>
    </w:p>
    <w:p w14:paraId="4A625676" w14:textId="77777777" w:rsidR="006B0A66" w:rsidRPr="00E14761" w:rsidRDefault="006B0A66" w:rsidP="00E14761">
      <w:pPr>
        <w:pStyle w:val="Estilo"/>
        <w:rPr>
          <w:rFonts w:ascii="Verdana" w:hAnsi="Verdana"/>
          <w:sz w:val="20"/>
          <w:szCs w:val="20"/>
        </w:rPr>
      </w:pPr>
    </w:p>
    <w:p w14:paraId="3134176F" w14:textId="77777777" w:rsidR="00E14761" w:rsidRPr="00E14761" w:rsidRDefault="00E14761" w:rsidP="00E14761">
      <w:pPr>
        <w:pStyle w:val="Estilo"/>
        <w:rPr>
          <w:rFonts w:ascii="Verdana" w:hAnsi="Verdana"/>
          <w:sz w:val="20"/>
          <w:szCs w:val="20"/>
        </w:rPr>
      </w:pPr>
    </w:p>
    <w:p w14:paraId="6DF14A85" w14:textId="77777777" w:rsidR="00E14761" w:rsidRPr="00C9674A" w:rsidRDefault="00E14761" w:rsidP="00C9674A">
      <w:pPr>
        <w:pStyle w:val="Estilo"/>
        <w:rPr>
          <w:rFonts w:ascii="Verdana" w:hAnsi="Verdana"/>
          <w:sz w:val="20"/>
          <w:szCs w:val="20"/>
        </w:rPr>
      </w:pP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492" w14:textId="77777777" w:rsidR="00EC7239" w:rsidRDefault="00EC7239">
      <w:pPr>
        <w:spacing w:after="0" w:line="240" w:lineRule="auto"/>
      </w:pPr>
      <w:r>
        <w:separator/>
      </w:r>
    </w:p>
  </w:endnote>
  <w:endnote w:type="continuationSeparator" w:id="0">
    <w:p w14:paraId="38578C49" w14:textId="77777777" w:rsidR="00EC7239" w:rsidRDefault="00EC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F11C" w14:textId="77777777" w:rsidR="00EC7239" w:rsidRDefault="00EC7239">
      <w:pPr>
        <w:spacing w:after="0" w:line="240" w:lineRule="auto"/>
      </w:pPr>
      <w:r>
        <w:separator/>
      </w:r>
    </w:p>
  </w:footnote>
  <w:footnote w:type="continuationSeparator" w:id="0">
    <w:p w14:paraId="6B556185" w14:textId="77777777" w:rsidR="00EC7239" w:rsidRDefault="00EC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7363E4E"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6B0A66">
            <w:rPr>
              <w:rFonts w:ascii="Arial Narrow" w:eastAsia="Arial Unicode MS" w:hAnsi="Arial Narrow" w:cs="Arial Unicode MS"/>
              <w:i/>
              <w:sz w:val="13"/>
              <w:szCs w:val="13"/>
            </w:rPr>
            <w:t>74</w:t>
          </w:r>
          <w:r w:rsidR="00A40A53">
            <w:rPr>
              <w:rFonts w:ascii="Arial Narrow" w:eastAsia="Arial Unicode MS" w:hAnsi="Arial Narrow" w:cs="Arial Unicode MS"/>
              <w:i/>
              <w:sz w:val="13"/>
              <w:szCs w:val="13"/>
            </w:rPr>
            <w:t xml:space="preserve">, </w:t>
          </w:r>
          <w:r w:rsidR="00E14761">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6B0A66">
            <w:rPr>
              <w:rFonts w:ascii="Arial Narrow" w:eastAsia="Arial Unicode MS" w:hAnsi="Arial Narrow" w:cs="Arial Unicode MS"/>
              <w:i/>
              <w:sz w:val="13"/>
              <w:szCs w:val="13"/>
            </w:rPr>
            <w:t>09-05-2014</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EC7239"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C056B"/>
    <w:rsid w:val="001E4AA2"/>
    <w:rsid w:val="00204035"/>
    <w:rsid w:val="002B7C80"/>
    <w:rsid w:val="002E637E"/>
    <w:rsid w:val="002F1374"/>
    <w:rsid w:val="00326212"/>
    <w:rsid w:val="00333C07"/>
    <w:rsid w:val="003F67D8"/>
    <w:rsid w:val="00400B12"/>
    <w:rsid w:val="0041445D"/>
    <w:rsid w:val="00436B1A"/>
    <w:rsid w:val="00456C5F"/>
    <w:rsid w:val="00471524"/>
    <w:rsid w:val="00483F9A"/>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B0A66"/>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D7A71"/>
    <w:rsid w:val="007F7D6B"/>
    <w:rsid w:val="008031D8"/>
    <w:rsid w:val="00817501"/>
    <w:rsid w:val="008321B9"/>
    <w:rsid w:val="0088030B"/>
    <w:rsid w:val="008A0DD2"/>
    <w:rsid w:val="008C3C05"/>
    <w:rsid w:val="00964391"/>
    <w:rsid w:val="00992329"/>
    <w:rsid w:val="00994907"/>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03CB5"/>
    <w:rsid w:val="00D14CA3"/>
    <w:rsid w:val="00D20DE7"/>
    <w:rsid w:val="00D2748A"/>
    <w:rsid w:val="00D57BA0"/>
    <w:rsid w:val="00D63DEC"/>
    <w:rsid w:val="00D67C9F"/>
    <w:rsid w:val="00D910DA"/>
    <w:rsid w:val="00DA05BC"/>
    <w:rsid w:val="00DD1DA2"/>
    <w:rsid w:val="00DE53FF"/>
    <w:rsid w:val="00E14761"/>
    <w:rsid w:val="00E3353F"/>
    <w:rsid w:val="00E66131"/>
    <w:rsid w:val="00E846DB"/>
    <w:rsid w:val="00EA05FE"/>
    <w:rsid w:val="00EC7239"/>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341</Pages>
  <Words>131865</Words>
  <Characters>725260</Characters>
  <Application>Microsoft Office Word</Application>
  <DocSecurity>0</DocSecurity>
  <Lines>6043</Lines>
  <Paragraphs>1710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62</cp:revision>
  <cp:lastPrinted>2021-05-14T18:06:00Z</cp:lastPrinted>
  <dcterms:created xsi:type="dcterms:W3CDTF">2021-05-10T17:45:00Z</dcterms:created>
  <dcterms:modified xsi:type="dcterms:W3CDTF">2021-05-14T18:08:00Z</dcterms:modified>
</cp:coreProperties>
</file>