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521D9119" w14:textId="77777777" w:rsidR="00234A07" w:rsidRPr="00234A07" w:rsidRDefault="00234A07" w:rsidP="00234A07">
      <w:pPr>
        <w:pStyle w:val="Estilo"/>
        <w:rPr>
          <w:rFonts w:ascii="Verdana" w:hAnsi="Verdana"/>
          <w:sz w:val="20"/>
          <w:szCs w:val="20"/>
        </w:rPr>
      </w:pPr>
      <w:r w:rsidRPr="00234A07">
        <w:rPr>
          <w:rFonts w:ascii="Verdana" w:hAnsi="Verdana"/>
          <w:sz w:val="20"/>
          <w:szCs w:val="20"/>
        </w:rPr>
        <w:t>ÚLTIMA REFORMA PUBLICADA EN EL PERIÓDICO OFICIAL: 1 DE JULIO DE 2016.</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w:t>
      </w:r>
      <w:r w:rsidRPr="00E3353F">
        <w:rPr>
          <w:rFonts w:ascii="Verdana" w:eastAsia="Calibri" w:hAnsi="Verdana" w:cs="Times New Roman"/>
          <w:sz w:val="20"/>
          <w:szCs w:val="20"/>
        </w:rPr>
        <w:lastRenderedPageBreak/>
        <w:t>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321. Los que contraigan un matrimonio ilícito, así como los que siendo mayores de edad contraigan matrimonio con un menor sin autorización de los padres de éste, del tutor </w:t>
      </w:r>
      <w:r w:rsidRPr="00E3353F">
        <w:rPr>
          <w:rFonts w:ascii="Verdana" w:eastAsia="Calibri" w:hAnsi="Verdana" w:cs="Times New Roman"/>
          <w:sz w:val="20"/>
          <w:szCs w:val="20"/>
        </w:rPr>
        <w:lastRenderedPageBreak/>
        <w:t>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 xml:space="preserve">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w:t>
      </w:r>
      <w:r w:rsidRPr="00BC1828">
        <w:rPr>
          <w:rFonts w:ascii="Verdana" w:hAnsi="Verdana"/>
          <w:sz w:val="20"/>
          <w:szCs w:val="20"/>
        </w:rPr>
        <w:lastRenderedPageBreak/>
        <w:t>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w:t>
      </w:r>
      <w:r w:rsidRPr="00E3353F">
        <w:rPr>
          <w:rFonts w:ascii="Verdana" w:eastAsia="Calibri" w:hAnsi="Verdana" w:cs="Times New Roman"/>
          <w:sz w:val="20"/>
          <w:szCs w:val="20"/>
        </w:rPr>
        <w:lastRenderedPageBreak/>
        <w:t>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lastRenderedPageBreak/>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lastRenderedPageBreak/>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lastRenderedPageBreak/>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483. En los bienes de la segunda clase, la propiedad y la mitad del usufructo pertenecen al hijo; la administración y la otra mitad del usufructo corresponden a las </w:t>
      </w:r>
      <w:r w:rsidRPr="00E3353F">
        <w:rPr>
          <w:rFonts w:ascii="Verdana" w:eastAsia="Calibri" w:hAnsi="Verdana" w:cs="Times New Roman"/>
          <w:sz w:val="20"/>
          <w:szCs w:val="20"/>
        </w:rPr>
        <w:lastRenderedPageBreak/>
        <w:t>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w:t>
      </w:r>
      <w:r w:rsidRPr="00E3353F">
        <w:rPr>
          <w:rFonts w:ascii="Verdana" w:eastAsia="Calibri" w:hAnsi="Verdana" w:cs="Times New Roman"/>
          <w:sz w:val="20"/>
          <w:szCs w:val="20"/>
        </w:rPr>
        <w:lastRenderedPageBreak/>
        <w:t>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773. Tienen derecho de habitar la casa y de aprovechar los frutos de la parcela afecta al patrimonio de la familia, el cónyuge del que lo constituye y las personas a quienes tiene </w:t>
      </w:r>
      <w:r w:rsidRPr="00E3353F">
        <w:rPr>
          <w:rFonts w:ascii="Verdana" w:eastAsia="Calibri" w:hAnsi="Verdana" w:cs="Times New Roman"/>
          <w:sz w:val="20"/>
          <w:szCs w:val="20"/>
        </w:rPr>
        <w:lastRenderedPageBreak/>
        <w:t>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3996709C" w14:textId="77777777" w:rsidR="00365D1D" w:rsidRPr="00E3353F" w:rsidRDefault="00365D1D"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w:t>
      </w:r>
      <w:r w:rsidRPr="00E3353F">
        <w:rPr>
          <w:rFonts w:ascii="Verdana" w:eastAsia="Calibri" w:hAnsi="Verdana" w:cs="Times New Roman"/>
          <w:sz w:val="20"/>
          <w:szCs w:val="20"/>
        </w:rPr>
        <w:lastRenderedPageBreak/>
        <w:t>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w:t>
      </w:r>
      <w:r w:rsidRPr="00E3353F">
        <w:rPr>
          <w:rFonts w:ascii="Verdana" w:eastAsia="Calibri" w:hAnsi="Verdana" w:cs="Times New Roman"/>
          <w:sz w:val="20"/>
          <w:szCs w:val="20"/>
        </w:rPr>
        <w:lastRenderedPageBreak/>
        <w:t>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w:t>
      </w:r>
      <w:r w:rsidRPr="00E3353F">
        <w:rPr>
          <w:rFonts w:ascii="Verdana" w:eastAsia="Calibri" w:hAnsi="Verdana" w:cs="Times New Roman"/>
          <w:sz w:val="20"/>
          <w:szCs w:val="20"/>
        </w:rPr>
        <w:lastRenderedPageBreak/>
        <w:t xml:space="preserve">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1192. Cuando para el mejor aprovechamiento del agua de que se tiene derecho a disponer, fuere necesario construir una presa y el que haya de hacerlo no sea dueño del </w:t>
      </w:r>
      <w:r w:rsidRPr="00E3353F">
        <w:rPr>
          <w:rFonts w:ascii="Verdana" w:eastAsia="Calibri" w:hAnsi="Verdana" w:cs="Times New Roman"/>
          <w:sz w:val="20"/>
          <w:szCs w:val="20"/>
        </w:rPr>
        <w:lastRenderedPageBreak/>
        <w:t>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1450. Si el deudor se ha obligado a uno de dos hechos, o a una de dos cosas, o a un hecho o a una cosa, cumple prestando cualquiera de esos hechos o cosas; mas no puede, </w:t>
      </w:r>
      <w:r w:rsidRPr="00E3353F">
        <w:rPr>
          <w:rFonts w:ascii="Verdana" w:eastAsia="Calibri" w:hAnsi="Verdana" w:cs="Times New Roman"/>
          <w:sz w:val="20"/>
          <w:szCs w:val="20"/>
        </w:rPr>
        <w:lastRenderedPageBreak/>
        <w:t>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w:t>
      </w:r>
      <w:r w:rsidRPr="00E3353F">
        <w:rPr>
          <w:rFonts w:ascii="Verdana" w:eastAsia="Calibri" w:hAnsi="Verdana" w:cs="Times New Roman"/>
          <w:sz w:val="20"/>
          <w:szCs w:val="20"/>
        </w:rPr>
        <w:lastRenderedPageBreak/>
        <w:t>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E3353F">
        <w:rPr>
          <w:rFonts w:ascii="Verdana" w:eastAsia="Calibri" w:hAnsi="Verdana" w:cs="Times New Roman"/>
          <w:sz w:val="20"/>
          <w:szCs w:val="20"/>
        </w:rPr>
        <w:lastRenderedPageBreak/>
        <w:t>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w:t>
      </w:r>
      <w:r w:rsidRPr="00E3353F">
        <w:rPr>
          <w:rFonts w:ascii="Verdana" w:eastAsia="Calibri" w:hAnsi="Verdana" w:cs="Times New Roman"/>
          <w:sz w:val="20"/>
          <w:szCs w:val="20"/>
        </w:rPr>
        <w:lastRenderedPageBreak/>
        <w:t>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w:t>
      </w:r>
      <w:r w:rsidRPr="00E3353F">
        <w:rPr>
          <w:rFonts w:ascii="Verdana" w:eastAsia="Calibri" w:hAnsi="Verdana" w:cs="Times New Roman"/>
          <w:sz w:val="20"/>
          <w:szCs w:val="20"/>
        </w:rPr>
        <w:lastRenderedPageBreak/>
        <w:t>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1886. Consistiendo el préstamo en dinero, pagará el deudor devolviendo una cantidad igual a la recibida conforme a la ley monetaria vigente al tiempo de hacerse el pago, sin que esta prescripción sea renunciable. Si se pacta que el pago debe hacerse en moneda </w:t>
      </w:r>
      <w:r w:rsidRPr="00E3353F">
        <w:rPr>
          <w:rFonts w:ascii="Verdana" w:eastAsia="Calibri" w:hAnsi="Verdana" w:cs="Times New Roman"/>
          <w:sz w:val="20"/>
          <w:szCs w:val="20"/>
        </w:rPr>
        <w:lastRenderedPageBreak/>
        <w:t>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w:t>
      </w:r>
      <w:r w:rsidRPr="00B07BDF">
        <w:rPr>
          <w:rFonts w:ascii="Verdana" w:hAnsi="Verdana"/>
          <w:sz w:val="20"/>
          <w:szCs w:val="20"/>
        </w:rPr>
        <w:lastRenderedPageBreak/>
        <w:t>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w:t>
      </w:r>
      <w:r w:rsidRPr="00E3353F">
        <w:rPr>
          <w:rFonts w:ascii="Verdana" w:eastAsia="Calibri" w:hAnsi="Verdana" w:cs="Times New Roman"/>
          <w:sz w:val="20"/>
          <w:szCs w:val="20"/>
        </w:rPr>
        <w:lastRenderedPageBreak/>
        <w:t xml:space="preserve">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2003. Si el usufructuario no manifestó su calidad de tal al hacer el arrendamiento, y por haberse consolidado la propiedad con el usufructo exige el propietario la desocupación </w:t>
      </w:r>
      <w:r w:rsidRPr="00E3353F">
        <w:rPr>
          <w:rFonts w:ascii="Verdana" w:eastAsia="Calibri" w:hAnsi="Verdana" w:cs="Times New Roman"/>
          <w:sz w:val="20"/>
          <w:szCs w:val="20"/>
        </w:rPr>
        <w:lastRenderedPageBreak/>
        <w:t>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2122. En la prestación de servicios profesionales pueden incluirse las expensas que hayan de hacerse en el negocio en que aquéllos se presten. A falta de convenio sobre su </w:t>
      </w:r>
      <w:r w:rsidRPr="00E3353F">
        <w:rPr>
          <w:rFonts w:ascii="Verdana" w:eastAsia="Calibri" w:hAnsi="Verdana" w:cs="Times New Roman"/>
          <w:sz w:val="20"/>
          <w:szCs w:val="20"/>
        </w:rPr>
        <w:lastRenderedPageBreak/>
        <w:t>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2225. El socio excluido es responsable de la parte de pérdida que le corresponda, y los otros socios pueden detener la parte del capital y utilidades de aquél hasta concluir las </w:t>
      </w:r>
      <w:r w:rsidRPr="00E3353F">
        <w:rPr>
          <w:rFonts w:ascii="Verdana" w:eastAsia="Calibri" w:hAnsi="Verdana" w:cs="Times New Roman"/>
          <w:sz w:val="20"/>
          <w:szCs w:val="20"/>
        </w:rPr>
        <w:lastRenderedPageBreak/>
        <w:t>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w:t>
      </w:r>
      <w:r w:rsidRPr="007E0CF5">
        <w:rPr>
          <w:rFonts w:ascii="Verdana" w:hAnsi="Verdana"/>
          <w:sz w:val="20"/>
          <w:szCs w:val="20"/>
        </w:rPr>
        <w:lastRenderedPageBreak/>
        <w:t>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En los casos que se resuelva la rescisión del contrato por el incumplimiento del pensionario, el Juez dictará invariablemente en la sentencia la cancelación de la hipoteca en beneficio </w:t>
      </w:r>
      <w:r w:rsidRPr="007E0CF5">
        <w:rPr>
          <w:rFonts w:ascii="Verdana" w:hAnsi="Verdana"/>
          <w:sz w:val="20"/>
          <w:szCs w:val="20"/>
        </w:rPr>
        <w:lastRenderedPageBreak/>
        <w:t>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w:t>
      </w:r>
      <w:r w:rsidRPr="000E6407">
        <w:rPr>
          <w:rFonts w:ascii="Verdana" w:hAnsi="Verdana"/>
          <w:sz w:val="20"/>
          <w:szCs w:val="20"/>
        </w:rPr>
        <w:lastRenderedPageBreak/>
        <w:t>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w:t>
      </w:r>
      <w:r w:rsidRPr="001774E7">
        <w:rPr>
          <w:rFonts w:ascii="Verdana" w:hAnsi="Verdana"/>
          <w:sz w:val="20"/>
          <w:szCs w:val="20"/>
        </w:rPr>
        <w:lastRenderedPageBreak/>
        <w:t>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lastRenderedPageBreak/>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lastRenderedPageBreak/>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77777777" w:rsidR="00ED7FF9" w:rsidRP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A695" w14:textId="77777777" w:rsidR="007D5F79" w:rsidRDefault="007D5F79">
      <w:pPr>
        <w:spacing w:after="0" w:line="240" w:lineRule="auto"/>
      </w:pPr>
      <w:r>
        <w:separator/>
      </w:r>
    </w:p>
  </w:endnote>
  <w:endnote w:type="continuationSeparator" w:id="0">
    <w:p w14:paraId="41E9BE7B" w14:textId="77777777" w:rsidR="007D5F79" w:rsidRDefault="007D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33B9" w14:textId="77777777" w:rsidR="007D5F79" w:rsidRDefault="007D5F79">
      <w:pPr>
        <w:spacing w:after="0" w:line="240" w:lineRule="auto"/>
      </w:pPr>
      <w:r>
        <w:separator/>
      </w:r>
    </w:p>
  </w:footnote>
  <w:footnote w:type="continuationSeparator" w:id="0">
    <w:p w14:paraId="2A762804" w14:textId="77777777" w:rsidR="007D5F79" w:rsidRDefault="007D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C4C8858"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105</w:t>
          </w:r>
          <w:r w:rsidR="00A40A53">
            <w:rPr>
              <w:rFonts w:ascii="Arial Narrow" w:eastAsia="Arial Unicode MS" w:hAnsi="Arial Narrow" w:cs="Arial Unicode MS"/>
              <w:i/>
              <w:sz w:val="13"/>
              <w:szCs w:val="13"/>
            </w:rPr>
            <w:t xml:space="preserve">, </w:t>
          </w:r>
          <w:r w:rsidR="007E0CF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E0CF5">
            <w:rPr>
              <w:rFonts w:ascii="Arial Narrow" w:eastAsia="Arial Unicode MS" w:hAnsi="Arial Narrow" w:cs="Arial Unicode MS"/>
              <w:i/>
              <w:sz w:val="13"/>
              <w:szCs w:val="13"/>
            </w:rPr>
            <w:t>0</w:t>
          </w:r>
          <w:r w:rsidR="00234A07">
            <w:rPr>
              <w:rFonts w:ascii="Arial Narrow" w:eastAsia="Arial Unicode MS" w:hAnsi="Arial Narrow" w:cs="Arial Unicode MS"/>
              <w:i/>
              <w:sz w:val="13"/>
              <w:szCs w:val="13"/>
            </w:rPr>
            <w:t>1</w:t>
          </w:r>
          <w:r w:rsidR="00D11BEB">
            <w:rPr>
              <w:rFonts w:ascii="Arial Narrow" w:eastAsia="Arial Unicode MS" w:hAnsi="Arial Narrow" w:cs="Arial Unicode MS"/>
              <w:i/>
              <w:sz w:val="13"/>
              <w:szCs w:val="13"/>
            </w:rPr>
            <w:t>-0</w:t>
          </w:r>
          <w:r w:rsidR="00234A07">
            <w:rPr>
              <w:rFonts w:ascii="Arial Narrow" w:eastAsia="Arial Unicode MS" w:hAnsi="Arial Narrow" w:cs="Arial Unicode MS"/>
              <w:i/>
              <w:sz w:val="13"/>
              <w:szCs w:val="13"/>
            </w:rPr>
            <w:t>7</w:t>
          </w:r>
          <w:r w:rsidR="00D11BEB">
            <w:rPr>
              <w:rFonts w:ascii="Arial Narrow" w:eastAsia="Arial Unicode MS" w:hAnsi="Arial Narrow" w:cs="Arial Unicode MS"/>
              <w:i/>
              <w:sz w:val="13"/>
              <w:szCs w:val="13"/>
            </w:rPr>
            <w:t>-2016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7D5F79"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86273"/>
    <w:rsid w:val="00097872"/>
    <w:rsid w:val="000B153A"/>
    <w:rsid w:val="000B7516"/>
    <w:rsid w:val="000D38F5"/>
    <w:rsid w:val="000E6407"/>
    <w:rsid w:val="0010204C"/>
    <w:rsid w:val="00110F00"/>
    <w:rsid w:val="00120D4C"/>
    <w:rsid w:val="001472A4"/>
    <w:rsid w:val="0015649F"/>
    <w:rsid w:val="001647CB"/>
    <w:rsid w:val="00171839"/>
    <w:rsid w:val="00174EE2"/>
    <w:rsid w:val="001774E7"/>
    <w:rsid w:val="001C056B"/>
    <w:rsid w:val="001E4AA2"/>
    <w:rsid w:val="00204035"/>
    <w:rsid w:val="0022379F"/>
    <w:rsid w:val="00234A07"/>
    <w:rsid w:val="00286C3F"/>
    <w:rsid w:val="002B7C80"/>
    <w:rsid w:val="002E637E"/>
    <w:rsid w:val="002F1374"/>
    <w:rsid w:val="00317749"/>
    <w:rsid w:val="00326212"/>
    <w:rsid w:val="00333C07"/>
    <w:rsid w:val="00365D1D"/>
    <w:rsid w:val="003C43F3"/>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D15BF"/>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5F79"/>
    <w:rsid w:val="007D7A71"/>
    <w:rsid w:val="007E0CF5"/>
    <w:rsid w:val="007F7D6B"/>
    <w:rsid w:val="008031D8"/>
    <w:rsid w:val="0080757F"/>
    <w:rsid w:val="00815DFB"/>
    <w:rsid w:val="00817501"/>
    <w:rsid w:val="0082184D"/>
    <w:rsid w:val="008321B9"/>
    <w:rsid w:val="0088030B"/>
    <w:rsid w:val="00881F5E"/>
    <w:rsid w:val="008A0DD2"/>
    <w:rsid w:val="008A3CBE"/>
    <w:rsid w:val="008B10A5"/>
    <w:rsid w:val="008C3C05"/>
    <w:rsid w:val="009048CA"/>
    <w:rsid w:val="00925186"/>
    <w:rsid w:val="009573D5"/>
    <w:rsid w:val="00964391"/>
    <w:rsid w:val="00992329"/>
    <w:rsid w:val="00994907"/>
    <w:rsid w:val="009D20D2"/>
    <w:rsid w:val="009E6797"/>
    <w:rsid w:val="009F0AB3"/>
    <w:rsid w:val="009F7883"/>
    <w:rsid w:val="00A40A53"/>
    <w:rsid w:val="00A4758D"/>
    <w:rsid w:val="00A54C01"/>
    <w:rsid w:val="00A93CC8"/>
    <w:rsid w:val="00A956DB"/>
    <w:rsid w:val="00AA4830"/>
    <w:rsid w:val="00AA6993"/>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42CB"/>
    <w:rsid w:val="00E66131"/>
    <w:rsid w:val="00E846DB"/>
    <w:rsid w:val="00EA05FE"/>
    <w:rsid w:val="00EA3DA8"/>
    <w:rsid w:val="00EC7239"/>
    <w:rsid w:val="00ED7FF9"/>
    <w:rsid w:val="00EE1304"/>
    <w:rsid w:val="00EF6949"/>
    <w:rsid w:val="00F04A4F"/>
    <w:rsid w:val="00F41ADE"/>
    <w:rsid w:val="00F55596"/>
    <w:rsid w:val="00F7169E"/>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350</Pages>
  <Words>135969</Words>
  <Characters>747830</Characters>
  <Application>Microsoft Office Word</Application>
  <DocSecurity>0</DocSecurity>
  <Lines>6231</Lines>
  <Paragraphs>1764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96</cp:revision>
  <cp:lastPrinted>2021-05-17T15:28:00Z</cp:lastPrinted>
  <dcterms:created xsi:type="dcterms:W3CDTF">2021-05-10T17:45:00Z</dcterms:created>
  <dcterms:modified xsi:type="dcterms:W3CDTF">2021-05-17T15:29:00Z</dcterms:modified>
</cp:coreProperties>
</file>