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6B0C0EE1" w14:textId="77777777" w:rsidR="00F80239" w:rsidRPr="00F80239" w:rsidRDefault="00F80239" w:rsidP="00F80239">
      <w:pPr>
        <w:pStyle w:val="Estilo"/>
        <w:rPr>
          <w:rFonts w:ascii="Verdana" w:hAnsi="Verdana"/>
          <w:sz w:val="20"/>
          <w:szCs w:val="20"/>
        </w:rPr>
      </w:pPr>
      <w:r w:rsidRPr="00F80239">
        <w:rPr>
          <w:rFonts w:ascii="Verdana" w:hAnsi="Verdana"/>
          <w:sz w:val="20"/>
          <w:szCs w:val="20"/>
        </w:rPr>
        <w:t>ÚLTIMA REFORMA PUBLICADA EN EL PERIÓDICO OFICIAL: 26 DE MAYO DE 2017.</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lastRenderedPageBreak/>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w:t>
      </w:r>
      <w:r w:rsidRPr="00E3353F">
        <w:rPr>
          <w:rFonts w:ascii="Verdana" w:eastAsia="Calibri" w:hAnsi="Verdana" w:cs="Times New Roman"/>
          <w:sz w:val="20"/>
          <w:szCs w:val="20"/>
        </w:rPr>
        <w:lastRenderedPageBreak/>
        <w:t>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321. Los que contraigan un matrimonio ilícito, así como los que siendo mayores de edad contraigan matrimonio con un menor sin autorización de los padres de éste, del tutor </w:t>
      </w:r>
      <w:r w:rsidRPr="00E3353F">
        <w:rPr>
          <w:rFonts w:ascii="Verdana" w:eastAsia="Calibri" w:hAnsi="Verdana" w:cs="Times New Roman"/>
          <w:sz w:val="20"/>
          <w:szCs w:val="20"/>
        </w:rPr>
        <w:lastRenderedPageBreak/>
        <w:t>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 xml:space="preserve">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w:t>
      </w:r>
      <w:r w:rsidRPr="00BC1828">
        <w:rPr>
          <w:rFonts w:ascii="Verdana" w:hAnsi="Verdana"/>
          <w:sz w:val="20"/>
          <w:szCs w:val="20"/>
        </w:rPr>
        <w:lastRenderedPageBreak/>
        <w:t>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w:t>
      </w:r>
      <w:r w:rsidRPr="00E3353F">
        <w:rPr>
          <w:rFonts w:ascii="Verdana" w:eastAsia="Calibri" w:hAnsi="Verdana" w:cs="Times New Roman"/>
          <w:sz w:val="20"/>
          <w:szCs w:val="20"/>
        </w:rPr>
        <w:lastRenderedPageBreak/>
        <w:t>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lastRenderedPageBreak/>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6ED39E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Art. 365. Los alimentos han de ser proporcionados a la posibilidad del que debe darlos y a la necesidad del que debe recibirlos.</w:t>
      </w:r>
    </w:p>
    <w:p w14:paraId="65D426A4" w14:textId="77777777" w:rsidR="00025515" w:rsidRPr="00025515" w:rsidRDefault="00025515" w:rsidP="00025515">
      <w:pPr>
        <w:pStyle w:val="Estilo"/>
        <w:rPr>
          <w:rFonts w:ascii="Verdana" w:hAnsi="Verdana"/>
          <w:sz w:val="20"/>
          <w:szCs w:val="20"/>
        </w:rPr>
      </w:pPr>
    </w:p>
    <w:p w14:paraId="16DB50D9" w14:textId="77777777" w:rsidR="00025515" w:rsidRPr="00025515" w:rsidRDefault="00025515" w:rsidP="00025515">
      <w:pPr>
        <w:pStyle w:val="Estilo"/>
        <w:jc w:val="right"/>
        <w:rPr>
          <w:rFonts w:ascii="Verdana" w:hAnsi="Verdana"/>
          <w:sz w:val="20"/>
          <w:szCs w:val="20"/>
        </w:rPr>
      </w:pPr>
      <w:r w:rsidRPr="00025515">
        <w:rPr>
          <w:rFonts w:ascii="Verdana" w:hAnsi="Verdana"/>
          <w:sz w:val="20"/>
          <w:szCs w:val="20"/>
        </w:rPr>
        <w:t>(REFORMADO, P.O. 1 DE JULIO DE 2016)</w:t>
      </w:r>
    </w:p>
    <w:p w14:paraId="76B9648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Determinados por convenio o sentencia, los alimentos tendrán una actualización automática mínima equivalente al aumento porcentual anual correspondiente a la Unidad de Medida y Actualización diaria, salvo que el deudor alimentario demuestre que sus ingresos no aumentaron en igual proporción.</w:t>
      </w:r>
    </w:p>
    <w:p w14:paraId="41537F9E" w14:textId="77777777" w:rsidR="00025515" w:rsidRPr="00025515" w:rsidRDefault="00025515" w:rsidP="00025515">
      <w:pPr>
        <w:pStyle w:val="Estilo"/>
        <w:rPr>
          <w:rFonts w:ascii="Verdana" w:hAnsi="Verdana"/>
          <w:sz w:val="20"/>
          <w:szCs w:val="20"/>
        </w:rPr>
      </w:pPr>
    </w:p>
    <w:p w14:paraId="3687463B" w14:textId="77777777" w:rsidR="00025515" w:rsidRDefault="00025515" w:rsidP="00025515">
      <w:pPr>
        <w:pStyle w:val="Estilo"/>
        <w:rPr>
          <w:rFonts w:ascii="Verdana" w:hAnsi="Verdana"/>
          <w:sz w:val="20"/>
          <w:szCs w:val="20"/>
        </w:rPr>
      </w:pPr>
    </w:p>
    <w:p w14:paraId="0F84FBBF" w14:textId="77777777" w:rsidR="00025515" w:rsidRDefault="00025515" w:rsidP="00025515">
      <w:pPr>
        <w:pStyle w:val="Estilo"/>
        <w:rPr>
          <w:rFonts w:ascii="Verdana" w:hAnsi="Verdana"/>
          <w:sz w:val="20"/>
          <w:szCs w:val="20"/>
        </w:rPr>
      </w:pPr>
    </w:p>
    <w:p w14:paraId="3B5396C2" w14:textId="7E9E0724" w:rsidR="00025515" w:rsidRPr="00025515" w:rsidRDefault="00025515" w:rsidP="00025515">
      <w:pPr>
        <w:pStyle w:val="Estilo"/>
        <w:jc w:val="right"/>
        <w:rPr>
          <w:rFonts w:ascii="Verdana" w:hAnsi="Verdana"/>
          <w:sz w:val="20"/>
          <w:szCs w:val="20"/>
        </w:rPr>
      </w:pPr>
      <w:r w:rsidRPr="00025515">
        <w:rPr>
          <w:rFonts w:ascii="Verdana" w:hAnsi="Verdana"/>
          <w:sz w:val="20"/>
          <w:szCs w:val="20"/>
        </w:rPr>
        <w:lastRenderedPageBreak/>
        <w:t>(ADICIONADO, P.O. 20 DE MARZO DE 2009)</w:t>
      </w:r>
    </w:p>
    <w:p w14:paraId="10CB5976" w14:textId="77777777" w:rsidR="00025515" w:rsidRPr="00025515" w:rsidRDefault="00025515" w:rsidP="00025515">
      <w:pPr>
        <w:pStyle w:val="Estilo"/>
        <w:rPr>
          <w:rFonts w:ascii="Verdana" w:hAnsi="Verdana"/>
          <w:sz w:val="20"/>
          <w:szCs w:val="20"/>
        </w:rPr>
      </w:pPr>
      <w:r w:rsidRPr="00025515">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5D7B83C" w14:textId="77777777" w:rsidR="00025515" w:rsidRDefault="00025515"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lastRenderedPageBreak/>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483. En los bienes de la segunda clase, la propiedad y la mitad del usufructo pertenecen al hijo; la administración y la otra mitad del usufructo corresponden a las </w:t>
      </w:r>
      <w:r w:rsidRPr="00E3353F">
        <w:rPr>
          <w:rFonts w:ascii="Verdana" w:eastAsia="Calibri" w:hAnsi="Verdana" w:cs="Times New Roman"/>
          <w:sz w:val="20"/>
          <w:szCs w:val="20"/>
        </w:rPr>
        <w:lastRenderedPageBreak/>
        <w:t>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lastRenderedPageBreak/>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w:t>
      </w:r>
      <w:r w:rsidRPr="00E3353F">
        <w:rPr>
          <w:rFonts w:ascii="Verdana" w:eastAsia="Calibri" w:hAnsi="Verdana" w:cs="Times New Roman"/>
          <w:sz w:val="20"/>
          <w:szCs w:val="20"/>
        </w:rPr>
        <w:lastRenderedPageBreak/>
        <w:t>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E3353F">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E3353F">
        <w:rPr>
          <w:rFonts w:ascii="Verdana" w:eastAsia="Calibri" w:hAnsi="Verdana" w:cs="Times New Roman"/>
          <w:sz w:val="20"/>
          <w:szCs w:val="20"/>
        </w:rPr>
        <w:lastRenderedPageBreak/>
        <w:t>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773. Tienen derecho de habitar la casa y de aprovechar los frutos de la parcela afecta al patrimonio de la familia, el cónyuge del que lo constituye y las personas a quienes tiene </w:t>
      </w:r>
      <w:r w:rsidRPr="00E3353F">
        <w:rPr>
          <w:rFonts w:ascii="Verdana" w:eastAsia="Calibri" w:hAnsi="Verdana" w:cs="Times New Roman"/>
          <w:sz w:val="20"/>
          <w:szCs w:val="20"/>
        </w:rPr>
        <w:lastRenderedPageBreak/>
        <w:t>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3996709C" w14:textId="77777777" w:rsidR="00365D1D" w:rsidRPr="00E3353F" w:rsidRDefault="00365D1D"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w:t>
      </w:r>
      <w:r w:rsidRPr="00E3353F">
        <w:rPr>
          <w:rFonts w:ascii="Verdana" w:eastAsia="Calibri" w:hAnsi="Verdana" w:cs="Times New Roman"/>
          <w:sz w:val="20"/>
          <w:szCs w:val="20"/>
        </w:rPr>
        <w:lastRenderedPageBreak/>
        <w:t>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w:t>
      </w:r>
      <w:r w:rsidRPr="00E3353F">
        <w:rPr>
          <w:rFonts w:ascii="Verdana" w:eastAsia="Calibri" w:hAnsi="Verdana" w:cs="Times New Roman"/>
          <w:sz w:val="20"/>
          <w:szCs w:val="20"/>
        </w:rPr>
        <w:lastRenderedPageBreak/>
        <w:t>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w:t>
      </w:r>
      <w:r w:rsidRPr="00E3353F">
        <w:rPr>
          <w:rFonts w:ascii="Verdana" w:eastAsia="Calibri" w:hAnsi="Verdana" w:cs="Times New Roman"/>
          <w:sz w:val="20"/>
          <w:szCs w:val="20"/>
        </w:rPr>
        <w:lastRenderedPageBreak/>
        <w:t xml:space="preserve">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1192. Cuando para el mejor aprovechamiento del agua de que se tiene derecho a disponer, fuere necesario construir una presa y el que haya de hacerlo no sea dueño del </w:t>
      </w:r>
      <w:r w:rsidRPr="00E3353F">
        <w:rPr>
          <w:rFonts w:ascii="Verdana" w:eastAsia="Calibri" w:hAnsi="Verdana" w:cs="Times New Roman"/>
          <w:sz w:val="20"/>
          <w:szCs w:val="20"/>
        </w:rPr>
        <w:lastRenderedPageBreak/>
        <w:t>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1450. Si el deudor se ha obligado a uno de dos hechos, o a una de dos cosas, o a un hecho o a una cosa, cumple prestando cualquiera de esos hechos o cosas; mas no puede, </w:t>
      </w:r>
      <w:r w:rsidRPr="00E3353F">
        <w:rPr>
          <w:rFonts w:ascii="Verdana" w:eastAsia="Calibri" w:hAnsi="Verdana" w:cs="Times New Roman"/>
          <w:sz w:val="20"/>
          <w:szCs w:val="20"/>
        </w:rPr>
        <w:lastRenderedPageBreak/>
        <w:t>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w:t>
      </w:r>
      <w:r w:rsidRPr="00E3353F">
        <w:rPr>
          <w:rFonts w:ascii="Verdana" w:eastAsia="Calibri" w:hAnsi="Verdana" w:cs="Times New Roman"/>
          <w:sz w:val="20"/>
          <w:szCs w:val="20"/>
        </w:rPr>
        <w:lastRenderedPageBreak/>
        <w:t>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1532. Si el cedente se hubiere hecho responsable de la solvencia del deudor y no se fijare el tiempo que esta responsabilidad deba durar, se limitará a un año contado desde </w:t>
      </w:r>
      <w:r w:rsidRPr="00E3353F">
        <w:rPr>
          <w:rFonts w:ascii="Verdana" w:eastAsia="Calibri" w:hAnsi="Verdana" w:cs="Times New Roman"/>
          <w:sz w:val="20"/>
          <w:szCs w:val="20"/>
        </w:rPr>
        <w:lastRenderedPageBreak/>
        <w:t>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w:t>
      </w:r>
      <w:r w:rsidRPr="00E3353F">
        <w:rPr>
          <w:rFonts w:ascii="Verdana" w:eastAsia="Calibri" w:hAnsi="Verdana" w:cs="Times New Roman"/>
          <w:sz w:val="20"/>
          <w:szCs w:val="20"/>
        </w:rPr>
        <w:lastRenderedPageBreak/>
        <w:t>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w:t>
      </w:r>
      <w:r w:rsidRPr="00E3353F">
        <w:rPr>
          <w:rFonts w:ascii="Verdana" w:eastAsia="Calibri" w:hAnsi="Verdana" w:cs="Times New Roman"/>
          <w:sz w:val="20"/>
          <w:szCs w:val="20"/>
        </w:rPr>
        <w:lastRenderedPageBreak/>
        <w:t>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1886. Consistiendo el préstamo en dinero, pagará el deudor devolviendo una cantidad igual a la recibida conforme a la ley monetaria vigente al tiempo de hacerse el pago, sin que esta prescripción sea renunciable. Si se pacta que el pago debe hacerse en moneda </w:t>
      </w:r>
      <w:r w:rsidRPr="00E3353F">
        <w:rPr>
          <w:rFonts w:ascii="Verdana" w:eastAsia="Calibri" w:hAnsi="Verdana" w:cs="Times New Roman"/>
          <w:sz w:val="20"/>
          <w:szCs w:val="20"/>
        </w:rPr>
        <w:lastRenderedPageBreak/>
        <w:t>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w:t>
      </w:r>
      <w:r w:rsidRPr="00B07BDF">
        <w:rPr>
          <w:rFonts w:ascii="Verdana" w:hAnsi="Verdana"/>
          <w:sz w:val="20"/>
          <w:szCs w:val="20"/>
        </w:rPr>
        <w:lastRenderedPageBreak/>
        <w:t>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6733F677" w14:textId="77777777" w:rsidR="0022379F" w:rsidRDefault="0022379F" w:rsidP="00B07BDF">
      <w:pPr>
        <w:pStyle w:val="Estilo"/>
        <w:jc w:val="right"/>
        <w:rPr>
          <w:rFonts w:ascii="Verdana" w:hAnsi="Verdana"/>
          <w:sz w:val="20"/>
          <w:szCs w:val="20"/>
        </w:rPr>
      </w:pPr>
    </w:p>
    <w:p w14:paraId="76AC82C1" w14:textId="77777777" w:rsidR="0022379F" w:rsidRDefault="0022379F" w:rsidP="00B07BDF">
      <w:pPr>
        <w:pStyle w:val="Estilo"/>
        <w:jc w:val="right"/>
        <w:rPr>
          <w:rFonts w:ascii="Verdana" w:hAnsi="Verdana"/>
          <w:sz w:val="20"/>
          <w:szCs w:val="20"/>
        </w:rPr>
      </w:pPr>
    </w:p>
    <w:p w14:paraId="3AD278CA" w14:textId="4F832EF0"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w:t>
      </w:r>
      <w:r w:rsidRPr="00E3353F">
        <w:rPr>
          <w:rFonts w:ascii="Verdana" w:eastAsia="Calibri" w:hAnsi="Verdana" w:cs="Times New Roman"/>
          <w:sz w:val="20"/>
          <w:szCs w:val="20"/>
        </w:rPr>
        <w:lastRenderedPageBreak/>
        <w:t xml:space="preserve">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2003. Si el usufructuario no manifestó su calidad de tal al hacer el arrendamiento, y por haberse consolidado la propiedad con el usufructo exige el propietario la desocupación </w:t>
      </w:r>
      <w:r w:rsidRPr="00E3353F">
        <w:rPr>
          <w:rFonts w:ascii="Verdana" w:eastAsia="Calibri" w:hAnsi="Verdana" w:cs="Times New Roman"/>
          <w:sz w:val="20"/>
          <w:szCs w:val="20"/>
        </w:rPr>
        <w:lastRenderedPageBreak/>
        <w:t>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 xml:space="preserve">Si el negocio por el que se otorgó el poder trasciende la vigencia de éste, se entenderán por prorrogadas las facultades otorgadas hasta la conclusión </w:t>
      </w:r>
      <w:proofErr w:type="gramStart"/>
      <w:r w:rsidRPr="00F27F3F">
        <w:rPr>
          <w:rFonts w:ascii="Verdana" w:hAnsi="Verdana"/>
          <w:sz w:val="20"/>
          <w:szCs w:val="20"/>
        </w:rPr>
        <w:t>del mismo</w:t>
      </w:r>
      <w:proofErr w:type="gramEnd"/>
      <w:r w:rsidRPr="00F27F3F">
        <w:rPr>
          <w:rFonts w:ascii="Verdana" w:hAnsi="Verdana"/>
          <w:sz w:val="20"/>
          <w:szCs w:val="20"/>
        </w:rPr>
        <w:t>,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lastRenderedPageBreak/>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2230. Las facultades que no se hayan concedido a los administradores serán ejercitadas por todos los socios, resolviéndose los asuntos por mayoría de votos. La mayoría se computará por cantidades; pero cuando una sola persona represente el mayor </w:t>
      </w:r>
      <w:r w:rsidRPr="00E3353F">
        <w:rPr>
          <w:rFonts w:ascii="Verdana" w:eastAsia="Calibri" w:hAnsi="Verdana" w:cs="Times New Roman"/>
          <w:sz w:val="20"/>
          <w:szCs w:val="20"/>
        </w:rPr>
        <w:lastRenderedPageBreak/>
        <w:t>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lastRenderedPageBreak/>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lastRenderedPageBreak/>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lastRenderedPageBreak/>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lastRenderedPageBreak/>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Igualmente podrá registrarse en forma preventiva, el embargo sobre bienes inmuebles a petición del ejecutante, o su representante, mediante simple aviso por escrito que deberá expedir el Actuario en el momento de la diligencia judicial que contenga los nombres de </w:t>
      </w:r>
      <w:r w:rsidRPr="001774E7">
        <w:rPr>
          <w:rFonts w:ascii="Verdana" w:hAnsi="Verdana"/>
          <w:sz w:val="20"/>
          <w:szCs w:val="20"/>
        </w:rPr>
        <w:lastRenderedPageBreak/>
        <w:t>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2583. Los extranjeros y las personas morales son capaces de adquirir bienes por testamento o por intestado; pero su capacidad tiene las limitaciones establecidas en la </w:t>
      </w:r>
      <w:r w:rsidRPr="00E3353F">
        <w:rPr>
          <w:rFonts w:ascii="Verdana" w:eastAsia="Calibri" w:hAnsi="Verdana" w:cs="Times New Roman"/>
          <w:sz w:val="20"/>
          <w:szCs w:val="20"/>
        </w:rPr>
        <w:lastRenderedPageBreak/>
        <w:t>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w:t>
      </w:r>
      <w:r w:rsidRPr="00E3353F">
        <w:rPr>
          <w:rFonts w:ascii="Verdana" w:eastAsia="Calibri" w:hAnsi="Verdana" w:cs="Times New Roman"/>
          <w:sz w:val="20"/>
          <w:szCs w:val="20"/>
        </w:rPr>
        <w:lastRenderedPageBreak/>
        <w:t>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2639. Aunque el testador nombre algunos herederos individualmente y a otros colectivamente, como si dijera: "Instituyo por mis herederos a Pedro y a Pablo y a los hijos </w:t>
      </w:r>
      <w:r w:rsidRPr="00E3353F">
        <w:rPr>
          <w:rFonts w:ascii="Verdana" w:eastAsia="Calibri" w:hAnsi="Verdana" w:cs="Times New Roman"/>
          <w:sz w:val="20"/>
          <w:szCs w:val="20"/>
        </w:rPr>
        <w:lastRenderedPageBreak/>
        <w:t>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2738. Se consideran fideicomisarias y, en consecuencia, prohibidas, las disposiciones que contengan prohibiciones de enajenar, o que llamen a un tercero a lo que quede de la </w:t>
      </w:r>
      <w:r w:rsidRPr="00E3353F">
        <w:rPr>
          <w:rFonts w:ascii="Verdana" w:eastAsia="Calibri" w:hAnsi="Verdana" w:cs="Times New Roman"/>
          <w:sz w:val="20"/>
          <w:szCs w:val="20"/>
        </w:rPr>
        <w:lastRenderedPageBreak/>
        <w:t>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2804-A. Testamento público simplificado es aquél que se otorga ante notario respecto de un inmueble cuando así lo determine el adquirente en la misma escritura que consigne </w:t>
      </w:r>
      <w:r w:rsidRPr="004D6254">
        <w:rPr>
          <w:rFonts w:ascii="Verdana" w:hAnsi="Verdana"/>
          <w:sz w:val="20"/>
          <w:szCs w:val="20"/>
        </w:rPr>
        <w:lastRenderedPageBreak/>
        <w:t>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w:t>
      </w:r>
      <w:r w:rsidRPr="00E3353F">
        <w:rPr>
          <w:rFonts w:ascii="Verdana" w:eastAsia="Calibri" w:hAnsi="Verdana" w:cs="Times New Roman"/>
          <w:sz w:val="20"/>
          <w:szCs w:val="20"/>
        </w:rPr>
        <w:lastRenderedPageBreak/>
        <w:t xml:space="preserve">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2964. Cuando fuere heredada la Beneficencia Pública o hereden menores, participará el Ministerio Público en la aprobación de las cuentas. En tratándose de la Universidad de </w:t>
      </w:r>
      <w:r w:rsidRPr="00E3353F">
        <w:rPr>
          <w:rFonts w:ascii="Verdana" w:eastAsia="Calibri" w:hAnsi="Verdana" w:cs="Times New Roman"/>
          <w:sz w:val="20"/>
          <w:szCs w:val="20"/>
        </w:rPr>
        <w:lastRenderedPageBreak/>
        <w:t>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3012. Si el testador hubiere legado alguna pensión o renta vitalicia, sin gravar con ella en particular a algún heredero o legatario, se capitalizará el seis por ciento anual y se </w:t>
      </w:r>
      <w:r w:rsidRPr="00E3353F">
        <w:rPr>
          <w:rFonts w:ascii="Verdana" w:eastAsia="Calibri" w:hAnsi="Verdana" w:cs="Times New Roman"/>
          <w:sz w:val="20"/>
          <w:szCs w:val="20"/>
        </w:rPr>
        <w:lastRenderedPageBreak/>
        <w:t>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lastRenderedPageBreak/>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w:t>
      </w:r>
      <w:r w:rsidRPr="00317749">
        <w:rPr>
          <w:rFonts w:ascii="Verdana" w:hAnsi="Verdana"/>
          <w:sz w:val="20"/>
          <w:szCs w:val="20"/>
        </w:rPr>
        <w:lastRenderedPageBreak/>
        <w:t>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lastRenderedPageBreak/>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El Ejecutivo del Estado contará con un plazo de noventa días para reformar el Reglamento del Registro Público de la Propiedad para el Estado de Guanajuato, y de ciento ochenta días para asegurar el funcionamiento del Registro Público en términos del presente Decreto, respectivamente; contados a partir de la entrada en vigor del presente Decreto.</w:t>
      </w: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B6A0" w14:textId="77777777" w:rsidR="00FD0992" w:rsidRDefault="00FD0992">
      <w:pPr>
        <w:spacing w:after="0" w:line="240" w:lineRule="auto"/>
      </w:pPr>
      <w:r>
        <w:separator/>
      </w:r>
    </w:p>
  </w:endnote>
  <w:endnote w:type="continuationSeparator" w:id="0">
    <w:p w14:paraId="4C7C18B8" w14:textId="77777777" w:rsidR="00FD0992" w:rsidRDefault="00FD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59F0" w14:textId="77777777" w:rsidR="00FD0992" w:rsidRDefault="00FD0992">
      <w:pPr>
        <w:spacing w:after="0" w:line="240" w:lineRule="auto"/>
      </w:pPr>
      <w:r>
        <w:separator/>
      </w:r>
    </w:p>
  </w:footnote>
  <w:footnote w:type="continuationSeparator" w:id="0">
    <w:p w14:paraId="212DBEE5" w14:textId="77777777" w:rsidR="00FD0992" w:rsidRDefault="00FD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2F3E4A6"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F80239">
            <w:rPr>
              <w:rFonts w:ascii="Arial Narrow" w:eastAsia="Arial Unicode MS" w:hAnsi="Arial Narrow" w:cs="Arial Unicode MS"/>
              <w:i/>
              <w:sz w:val="13"/>
              <w:szCs w:val="13"/>
            </w:rPr>
            <w:t>84</w:t>
          </w:r>
          <w:r w:rsidR="00A40A53">
            <w:rPr>
              <w:rFonts w:ascii="Arial Narrow" w:eastAsia="Arial Unicode MS" w:hAnsi="Arial Narrow" w:cs="Arial Unicode MS"/>
              <w:i/>
              <w:sz w:val="13"/>
              <w:szCs w:val="13"/>
            </w:rPr>
            <w:t xml:space="preserve">, </w:t>
          </w:r>
          <w:r w:rsidR="00F80239">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F80239">
            <w:rPr>
              <w:rFonts w:ascii="Arial Narrow" w:eastAsia="Arial Unicode MS" w:hAnsi="Arial Narrow" w:cs="Arial Unicode MS"/>
              <w:i/>
              <w:sz w:val="13"/>
              <w:szCs w:val="13"/>
            </w:rPr>
            <w:t>26-05-2017</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FD0992"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25515"/>
    <w:rsid w:val="00050F9D"/>
    <w:rsid w:val="000513FE"/>
    <w:rsid w:val="00086273"/>
    <w:rsid w:val="00097872"/>
    <w:rsid w:val="000B153A"/>
    <w:rsid w:val="000B7516"/>
    <w:rsid w:val="000D38F5"/>
    <w:rsid w:val="000E6407"/>
    <w:rsid w:val="0010204C"/>
    <w:rsid w:val="00110F00"/>
    <w:rsid w:val="00120D4C"/>
    <w:rsid w:val="001472A4"/>
    <w:rsid w:val="0015649F"/>
    <w:rsid w:val="001647CB"/>
    <w:rsid w:val="00171839"/>
    <w:rsid w:val="00174EE2"/>
    <w:rsid w:val="001774E7"/>
    <w:rsid w:val="001C056B"/>
    <w:rsid w:val="001E4AA2"/>
    <w:rsid w:val="00204035"/>
    <w:rsid w:val="00213524"/>
    <w:rsid w:val="0022379F"/>
    <w:rsid w:val="00234A07"/>
    <w:rsid w:val="00286C3F"/>
    <w:rsid w:val="002B7C80"/>
    <w:rsid w:val="002E637E"/>
    <w:rsid w:val="002F1374"/>
    <w:rsid w:val="00317749"/>
    <w:rsid w:val="00326212"/>
    <w:rsid w:val="00333C07"/>
    <w:rsid w:val="00365D1D"/>
    <w:rsid w:val="003C43F3"/>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862B8"/>
    <w:rsid w:val="005A2000"/>
    <w:rsid w:val="005A6946"/>
    <w:rsid w:val="005B6971"/>
    <w:rsid w:val="005C0F35"/>
    <w:rsid w:val="005D15BF"/>
    <w:rsid w:val="005E6032"/>
    <w:rsid w:val="00606959"/>
    <w:rsid w:val="00606C06"/>
    <w:rsid w:val="00663DF0"/>
    <w:rsid w:val="00676D53"/>
    <w:rsid w:val="00693A36"/>
    <w:rsid w:val="006A0AD0"/>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5F79"/>
    <w:rsid w:val="007D7A71"/>
    <w:rsid w:val="007E0CF5"/>
    <w:rsid w:val="007F7D6B"/>
    <w:rsid w:val="008031D8"/>
    <w:rsid w:val="0080757F"/>
    <w:rsid w:val="00815DFB"/>
    <w:rsid w:val="00817501"/>
    <w:rsid w:val="0082184D"/>
    <w:rsid w:val="008321B9"/>
    <w:rsid w:val="0088030B"/>
    <w:rsid w:val="00881F5E"/>
    <w:rsid w:val="008A0DD2"/>
    <w:rsid w:val="008A3CBE"/>
    <w:rsid w:val="008B10A5"/>
    <w:rsid w:val="008C3C05"/>
    <w:rsid w:val="008D4B2E"/>
    <w:rsid w:val="009048CA"/>
    <w:rsid w:val="00925186"/>
    <w:rsid w:val="009573D5"/>
    <w:rsid w:val="00964391"/>
    <w:rsid w:val="00992329"/>
    <w:rsid w:val="00994907"/>
    <w:rsid w:val="009D20D2"/>
    <w:rsid w:val="009D4138"/>
    <w:rsid w:val="009E6797"/>
    <w:rsid w:val="009F0AB3"/>
    <w:rsid w:val="009F7883"/>
    <w:rsid w:val="00A40A53"/>
    <w:rsid w:val="00A4758D"/>
    <w:rsid w:val="00A54C01"/>
    <w:rsid w:val="00A93CC8"/>
    <w:rsid w:val="00A956DB"/>
    <w:rsid w:val="00AA4830"/>
    <w:rsid w:val="00AA6993"/>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57A8"/>
    <w:rsid w:val="00BF65D2"/>
    <w:rsid w:val="00C20A01"/>
    <w:rsid w:val="00C6224F"/>
    <w:rsid w:val="00C85375"/>
    <w:rsid w:val="00C91175"/>
    <w:rsid w:val="00C9674A"/>
    <w:rsid w:val="00CB2BFD"/>
    <w:rsid w:val="00CB342C"/>
    <w:rsid w:val="00CC21D9"/>
    <w:rsid w:val="00CD1130"/>
    <w:rsid w:val="00CD65E9"/>
    <w:rsid w:val="00CF3F56"/>
    <w:rsid w:val="00CF77D6"/>
    <w:rsid w:val="00D00FA8"/>
    <w:rsid w:val="00D03CB5"/>
    <w:rsid w:val="00D11BEB"/>
    <w:rsid w:val="00D14CA3"/>
    <w:rsid w:val="00D20DE7"/>
    <w:rsid w:val="00D2748A"/>
    <w:rsid w:val="00D57BA0"/>
    <w:rsid w:val="00D63DEC"/>
    <w:rsid w:val="00D67C9F"/>
    <w:rsid w:val="00D910DA"/>
    <w:rsid w:val="00DA05BC"/>
    <w:rsid w:val="00DD1DA2"/>
    <w:rsid w:val="00DE53FF"/>
    <w:rsid w:val="00E14761"/>
    <w:rsid w:val="00E3353F"/>
    <w:rsid w:val="00E642CB"/>
    <w:rsid w:val="00E66131"/>
    <w:rsid w:val="00E846DB"/>
    <w:rsid w:val="00EA05FE"/>
    <w:rsid w:val="00EA3DA8"/>
    <w:rsid w:val="00EC7239"/>
    <w:rsid w:val="00ED7FF9"/>
    <w:rsid w:val="00EE1304"/>
    <w:rsid w:val="00EF6949"/>
    <w:rsid w:val="00F04A4F"/>
    <w:rsid w:val="00F27F3F"/>
    <w:rsid w:val="00F41ADE"/>
    <w:rsid w:val="00F55596"/>
    <w:rsid w:val="00F7169E"/>
    <w:rsid w:val="00F80239"/>
    <w:rsid w:val="00FD0992"/>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351</Pages>
  <Words>136246</Words>
  <Characters>749353</Characters>
  <Application>Microsoft Office Word</Application>
  <DocSecurity>0</DocSecurity>
  <Lines>6244</Lines>
  <Paragraphs>1767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102</cp:revision>
  <cp:lastPrinted>2021-05-17T15:37:00Z</cp:lastPrinted>
  <dcterms:created xsi:type="dcterms:W3CDTF">2021-05-10T17:45:00Z</dcterms:created>
  <dcterms:modified xsi:type="dcterms:W3CDTF">2021-05-17T15:39:00Z</dcterms:modified>
</cp:coreProperties>
</file>