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07BF9" w:rsidR="00661E6B" w:rsidP="00005063" w:rsidRDefault="00661E6B" w14:paraId="48E83B5E" w14:textId="5D674D29">
      <w:pPr>
        <w:rPr>
          <w:rFonts w:ascii="Verdana" w:hAnsi="Verdana"/>
          <w:sz w:val="20"/>
          <w:szCs w:val="20"/>
        </w:rPr>
      </w:pPr>
    </w:p>
    <w:p w:rsidRPr="00256EA6" w:rsidR="00D07BF9" w:rsidP="00D07BF9" w:rsidRDefault="00D07BF9" w14:paraId="62ABA0FB" w14:textId="77777777">
      <w:pPr>
        <w:pStyle w:val="Estilo"/>
        <w:jc w:val="center"/>
        <w:rPr>
          <w:rFonts w:ascii="Verdana" w:hAnsi="Verdana"/>
          <w:b/>
          <w:bCs/>
          <w:color w:val="808080"/>
          <w:sz w:val="20"/>
          <w:szCs w:val="20"/>
        </w:rPr>
      </w:pPr>
      <w:r w:rsidRPr="00256EA6">
        <w:rPr>
          <w:rFonts w:ascii="Verdana" w:hAnsi="Verdana"/>
          <w:b/>
          <w:bCs/>
          <w:color w:val="808080"/>
          <w:sz w:val="20"/>
          <w:szCs w:val="20"/>
        </w:rPr>
        <w:t>LEY DE FISCALIZACIÓN SUPERIOR DEL ESTADO DE GUANAJUATO</w:t>
      </w:r>
    </w:p>
    <w:p w:rsidRPr="00D07BF9" w:rsidR="00D07BF9" w:rsidP="00D07BF9" w:rsidRDefault="00D07BF9" w14:paraId="6D4BB764" w14:textId="77777777">
      <w:pPr>
        <w:pStyle w:val="Estilo"/>
        <w:rPr>
          <w:rFonts w:ascii="Verdana" w:hAnsi="Verdana"/>
          <w:sz w:val="20"/>
          <w:szCs w:val="20"/>
        </w:rPr>
      </w:pPr>
    </w:p>
    <w:p w:rsidRPr="004D1DA8" w:rsidR="00D07BF9" w:rsidP="004D1DA8" w:rsidRDefault="00D07BF9" w14:paraId="0CC75AFC" w14:textId="77777777">
      <w:pPr>
        <w:pStyle w:val="Estilo"/>
        <w:jc w:val="center"/>
        <w:rPr>
          <w:rFonts w:ascii="Verdana" w:hAnsi="Verdana"/>
          <w:b/>
          <w:bCs/>
          <w:sz w:val="20"/>
          <w:szCs w:val="20"/>
        </w:rPr>
      </w:pPr>
      <w:r w:rsidRPr="004D1DA8">
        <w:rPr>
          <w:rFonts w:ascii="Verdana" w:hAnsi="Verdana"/>
          <w:b/>
          <w:bCs/>
          <w:sz w:val="20"/>
          <w:szCs w:val="20"/>
        </w:rPr>
        <w:t>ÚLTIMA REFORMA PUBLICADA EN EL PERIÓDICO OFICIAL: 28 DE OCTUBRE DE 2016.</w:t>
      </w:r>
    </w:p>
    <w:p w:rsidRPr="00D07BF9" w:rsidR="00D07BF9" w:rsidP="00D07BF9" w:rsidRDefault="00D07BF9" w14:paraId="56FA3F80" w14:textId="77777777">
      <w:pPr>
        <w:pStyle w:val="Estilo"/>
        <w:rPr>
          <w:rFonts w:ascii="Verdana" w:hAnsi="Verdana"/>
          <w:sz w:val="20"/>
          <w:szCs w:val="20"/>
        </w:rPr>
      </w:pPr>
      <w:r w:rsidRPr="00E13CB2">
        <w:rPr>
          <w:rFonts w:ascii="Verdana" w:hAnsi="Verdana"/>
          <w:sz w:val="20"/>
          <w:szCs w:val="20"/>
        </w:rPr>
        <w:t>[N. DE. E. CONTIENE LA FE DE ERRATAS PUBLICADA EN EL PERIÓDICO OFICIAL DEL 2 DE DICIEMBRE DE 2016.]</w:t>
      </w:r>
    </w:p>
    <w:p w:rsidRPr="00D07BF9" w:rsidR="00D07BF9" w:rsidP="00D07BF9" w:rsidRDefault="00D07BF9" w14:paraId="5962F60D" w14:textId="77777777">
      <w:pPr>
        <w:pStyle w:val="Estilo"/>
        <w:rPr>
          <w:rFonts w:ascii="Verdana" w:hAnsi="Verdana"/>
          <w:sz w:val="20"/>
          <w:szCs w:val="20"/>
        </w:rPr>
      </w:pPr>
    </w:p>
    <w:p w:rsidRPr="00D07BF9" w:rsidR="00D07BF9" w:rsidP="00D07BF9" w:rsidRDefault="00D07BF9" w14:paraId="448647C9" w14:textId="77777777">
      <w:pPr>
        <w:pStyle w:val="Estilo"/>
        <w:rPr>
          <w:rFonts w:ascii="Verdana" w:hAnsi="Verdana"/>
          <w:sz w:val="20"/>
          <w:szCs w:val="20"/>
        </w:rPr>
      </w:pPr>
      <w:r w:rsidRPr="00D07BF9">
        <w:rPr>
          <w:rFonts w:ascii="Verdana" w:hAnsi="Verdana"/>
          <w:sz w:val="20"/>
          <w:szCs w:val="20"/>
        </w:rPr>
        <w:t>Ley publicada en la Décima Tercera Parte del Periódico Oficial del Estado de Guanajuato, el viernes 25 de septiembre de 2015.</w:t>
      </w:r>
    </w:p>
    <w:p w:rsidRPr="00D07BF9" w:rsidR="00D07BF9" w:rsidP="00D07BF9" w:rsidRDefault="00D07BF9" w14:paraId="6E7CB58B" w14:textId="77777777">
      <w:pPr>
        <w:pStyle w:val="Estilo"/>
        <w:rPr>
          <w:rFonts w:ascii="Verdana" w:hAnsi="Verdana"/>
          <w:sz w:val="20"/>
          <w:szCs w:val="20"/>
        </w:rPr>
      </w:pPr>
    </w:p>
    <w:p w:rsidRPr="00D07BF9" w:rsidR="00D07BF9" w:rsidP="00D07BF9" w:rsidRDefault="00D07BF9" w14:paraId="414D994C" w14:textId="77777777">
      <w:pPr>
        <w:pStyle w:val="Estilo"/>
        <w:rPr>
          <w:rFonts w:ascii="Verdana" w:hAnsi="Verdana"/>
          <w:sz w:val="20"/>
          <w:szCs w:val="20"/>
        </w:rPr>
      </w:pPr>
      <w:r w:rsidRPr="00D07BF9">
        <w:rPr>
          <w:rFonts w:ascii="Verdana" w:hAnsi="Verdana"/>
          <w:sz w:val="20"/>
          <w:szCs w:val="20"/>
        </w:rPr>
        <w:t xml:space="preserve">MIGUEL MÁRQUEZ </w:t>
      </w:r>
      <w:proofErr w:type="spellStart"/>
      <w:r w:rsidRPr="00D07BF9">
        <w:rPr>
          <w:rFonts w:ascii="Verdana" w:hAnsi="Verdana"/>
          <w:sz w:val="20"/>
          <w:szCs w:val="20"/>
        </w:rPr>
        <w:t>MÁRQUEZ</w:t>
      </w:r>
      <w:proofErr w:type="spellEnd"/>
      <w:r w:rsidRPr="00D07BF9">
        <w:rPr>
          <w:rFonts w:ascii="Verdana" w:hAnsi="Verdana"/>
          <w:sz w:val="20"/>
          <w:szCs w:val="20"/>
        </w:rPr>
        <w:t xml:space="preserve">, GOBERNADOR CONSTITUCIONAL DEL ESTADO LIBRE Y SOBERANO DE GUANAJUATO, A LOS HABITANTES </w:t>
      </w:r>
      <w:proofErr w:type="gramStart"/>
      <w:r w:rsidRPr="00D07BF9">
        <w:rPr>
          <w:rFonts w:ascii="Verdana" w:hAnsi="Verdana"/>
          <w:sz w:val="20"/>
          <w:szCs w:val="20"/>
        </w:rPr>
        <w:t>DEL MISMO</w:t>
      </w:r>
      <w:proofErr w:type="gramEnd"/>
      <w:r w:rsidRPr="00D07BF9">
        <w:rPr>
          <w:rFonts w:ascii="Verdana" w:hAnsi="Verdana"/>
          <w:sz w:val="20"/>
          <w:szCs w:val="20"/>
        </w:rPr>
        <w:t xml:space="preserve"> SABED:</w:t>
      </w:r>
    </w:p>
    <w:p w:rsidRPr="00D07BF9" w:rsidR="00D07BF9" w:rsidP="00D07BF9" w:rsidRDefault="00D07BF9" w14:paraId="58FEBF91" w14:textId="77777777">
      <w:pPr>
        <w:pStyle w:val="Estilo"/>
        <w:rPr>
          <w:rFonts w:ascii="Verdana" w:hAnsi="Verdana"/>
          <w:sz w:val="20"/>
          <w:szCs w:val="20"/>
        </w:rPr>
      </w:pPr>
    </w:p>
    <w:p w:rsidRPr="00D07BF9" w:rsidR="00D07BF9" w:rsidP="00D07BF9" w:rsidRDefault="00D07BF9" w14:paraId="4007F80A" w14:textId="3F12DF88">
      <w:pPr>
        <w:pStyle w:val="Estilo"/>
        <w:rPr>
          <w:rFonts w:ascii="Verdana" w:hAnsi="Verdana"/>
          <w:sz w:val="20"/>
          <w:szCs w:val="20"/>
        </w:rPr>
      </w:pPr>
      <w:r w:rsidRPr="2C48A54A" w:rsidR="2C48A54A">
        <w:rPr>
          <w:rFonts w:ascii="Verdana" w:hAnsi="Verdana"/>
          <w:sz w:val="20"/>
          <w:szCs w:val="20"/>
        </w:rPr>
        <w:t>QUE EL H. CONGRESO CONSTITUCIONAL DEL ESTADO LIBRE Y SOBERANO DE GUANAJUATO, HA TENIDO A BIEN DIRIGIRME EL SIGUIENTE:</w:t>
      </w:r>
    </w:p>
    <w:p w:rsidRPr="00D07BF9" w:rsidR="00D07BF9" w:rsidP="00D07BF9" w:rsidRDefault="00D07BF9" w14:paraId="0CC373B9" w14:textId="77777777">
      <w:pPr>
        <w:pStyle w:val="Estilo"/>
        <w:rPr>
          <w:rFonts w:ascii="Verdana" w:hAnsi="Verdana"/>
          <w:sz w:val="20"/>
          <w:szCs w:val="20"/>
        </w:rPr>
      </w:pPr>
    </w:p>
    <w:p w:rsidRPr="004D1DA8" w:rsidR="00D07BF9" w:rsidP="004D1DA8" w:rsidRDefault="00D07BF9" w14:paraId="413B3CC0" w14:textId="77777777">
      <w:pPr>
        <w:pStyle w:val="Estilo"/>
        <w:jc w:val="center"/>
        <w:rPr>
          <w:rFonts w:ascii="Verdana" w:hAnsi="Verdana"/>
          <w:b/>
          <w:bCs/>
          <w:sz w:val="20"/>
          <w:szCs w:val="20"/>
        </w:rPr>
      </w:pPr>
      <w:r w:rsidRPr="004D1DA8">
        <w:rPr>
          <w:rFonts w:ascii="Verdana" w:hAnsi="Verdana"/>
          <w:b/>
          <w:bCs/>
          <w:sz w:val="20"/>
          <w:szCs w:val="20"/>
        </w:rPr>
        <w:t>DECRETO NÚMERO 320</w:t>
      </w:r>
    </w:p>
    <w:p w:rsidRPr="00D07BF9" w:rsidR="00D07BF9" w:rsidP="00D07BF9" w:rsidRDefault="00D07BF9" w14:paraId="1896629A" w14:textId="77777777">
      <w:pPr>
        <w:pStyle w:val="Estilo"/>
        <w:rPr>
          <w:rFonts w:ascii="Verdana" w:hAnsi="Verdana"/>
          <w:sz w:val="20"/>
          <w:szCs w:val="20"/>
        </w:rPr>
      </w:pPr>
    </w:p>
    <w:p w:rsidRPr="00D07BF9" w:rsidR="00D07BF9" w:rsidP="00D07BF9" w:rsidRDefault="00D07BF9" w14:paraId="5C51610C" w14:textId="77777777">
      <w:pPr>
        <w:pStyle w:val="Estilo"/>
        <w:rPr>
          <w:rFonts w:ascii="Verdana" w:hAnsi="Verdana"/>
          <w:sz w:val="20"/>
          <w:szCs w:val="20"/>
        </w:rPr>
      </w:pPr>
      <w:r w:rsidRPr="00D07BF9">
        <w:rPr>
          <w:rFonts w:ascii="Verdana" w:hAnsi="Verdana"/>
          <w:sz w:val="20"/>
          <w:szCs w:val="20"/>
        </w:rPr>
        <w:t>LA SEXAGÉSIMA SEGUNDA LEGISLATURA CONSTITUCIONAL DEL ESTADO LIBRE Y SOBERANO DE GUANAJUATO, DECRETA:</w:t>
      </w:r>
    </w:p>
    <w:p w:rsidRPr="00D07BF9" w:rsidR="00D07BF9" w:rsidP="00D07BF9" w:rsidRDefault="00D07BF9" w14:paraId="3904DE8E" w14:textId="77777777">
      <w:pPr>
        <w:pStyle w:val="Estilo"/>
        <w:rPr>
          <w:rFonts w:ascii="Verdana" w:hAnsi="Verdana"/>
          <w:sz w:val="20"/>
          <w:szCs w:val="20"/>
        </w:rPr>
      </w:pPr>
    </w:p>
    <w:p w:rsidRPr="00D07BF9" w:rsidR="00D07BF9" w:rsidP="00D07BF9" w:rsidRDefault="00D07BF9" w14:paraId="0ADAB539" w14:textId="77777777">
      <w:pPr>
        <w:pStyle w:val="Estilo"/>
        <w:rPr>
          <w:rFonts w:ascii="Verdana" w:hAnsi="Verdana"/>
          <w:sz w:val="20"/>
          <w:szCs w:val="20"/>
        </w:rPr>
      </w:pPr>
      <w:r w:rsidRPr="00D07BF9">
        <w:rPr>
          <w:rFonts w:ascii="Verdana" w:hAnsi="Verdana"/>
          <w:sz w:val="20"/>
          <w:szCs w:val="20"/>
        </w:rPr>
        <w:t>Artículo Único. Se expide la Ley de Fiscalización Superior del Estado de Guanajuato, para quedar en los siguientes términos:</w:t>
      </w:r>
    </w:p>
    <w:p w:rsidRPr="00D07BF9" w:rsidR="00D07BF9" w:rsidP="00D07BF9" w:rsidRDefault="00D07BF9" w14:paraId="0366F1B3" w14:textId="77777777">
      <w:pPr>
        <w:pStyle w:val="Estilo"/>
        <w:rPr>
          <w:rFonts w:ascii="Verdana" w:hAnsi="Verdana"/>
          <w:sz w:val="20"/>
          <w:szCs w:val="20"/>
        </w:rPr>
      </w:pPr>
    </w:p>
    <w:p w:rsidRPr="004D1DA8" w:rsidR="00D07BF9" w:rsidP="004D1DA8" w:rsidRDefault="00D07BF9" w14:paraId="51A72775" w14:textId="77777777">
      <w:pPr>
        <w:pStyle w:val="Estilo"/>
        <w:jc w:val="center"/>
        <w:rPr>
          <w:rFonts w:ascii="Verdana" w:hAnsi="Verdana"/>
          <w:b/>
          <w:bCs/>
          <w:sz w:val="20"/>
          <w:szCs w:val="20"/>
        </w:rPr>
      </w:pPr>
      <w:r w:rsidRPr="004D1DA8">
        <w:rPr>
          <w:rFonts w:ascii="Verdana" w:hAnsi="Verdana"/>
          <w:b/>
          <w:bCs/>
          <w:sz w:val="20"/>
          <w:szCs w:val="20"/>
        </w:rPr>
        <w:t>TITULO PRIMERO</w:t>
      </w:r>
    </w:p>
    <w:p w:rsidRPr="004D1DA8" w:rsidR="00D07BF9" w:rsidP="004D1DA8" w:rsidRDefault="00D07BF9" w14:paraId="145F1EA7" w14:textId="77777777">
      <w:pPr>
        <w:pStyle w:val="Estilo"/>
        <w:jc w:val="center"/>
        <w:rPr>
          <w:rFonts w:ascii="Verdana" w:hAnsi="Verdana"/>
          <w:b/>
          <w:bCs/>
          <w:sz w:val="20"/>
          <w:szCs w:val="20"/>
        </w:rPr>
      </w:pPr>
      <w:r w:rsidRPr="004D1DA8">
        <w:rPr>
          <w:rFonts w:ascii="Verdana" w:hAnsi="Verdana"/>
          <w:b/>
          <w:bCs/>
          <w:sz w:val="20"/>
          <w:szCs w:val="20"/>
        </w:rPr>
        <w:t>FUNCIÓN DE LA FISCALIZACIÓN SUPERIOR</w:t>
      </w:r>
    </w:p>
    <w:p w:rsidRPr="004D1DA8" w:rsidR="00D07BF9" w:rsidP="004D1DA8" w:rsidRDefault="00D07BF9" w14:paraId="2027AC5C" w14:textId="77777777">
      <w:pPr>
        <w:pStyle w:val="Estilo"/>
        <w:jc w:val="center"/>
        <w:rPr>
          <w:rFonts w:ascii="Verdana" w:hAnsi="Verdana"/>
          <w:b/>
          <w:bCs/>
          <w:sz w:val="20"/>
          <w:szCs w:val="20"/>
        </w:rPr>
      </w:pPr>
    </w:p>
    <w:p w:rsidRPr="004D1DA8" w:rsidR="00D07BF9" w:rsidP="004D1DA8" w:rsidRDefault="00D07BF9" w14:paraId="2D0C0809" w14:textId="77777777">
      <w:pPr>
        <w:pStyle w:val="Estilo"/>
        <w:jc w:val="center"/>
        <w:rPr>
          <w:rFonts w:ascii="Verdana" w:hAnsi="Verdana"/>
          <w:b/>
          <w:bCs/>
          <w:sz w:val="20"/>
          <w:szCs w:val="20"/>
        </w:rPr>
      </w:pPr>
    </w:p>
    <w:p w:rsidRPr="004D1DA8" w:rsidR="00D07BF9" w:rsidP="004D1DA8" w:rsidRDefault="00D07BF9" w14:paraId="419D071A" w14:textId="77777777">
      <w:pPr>
        <w:pStyle w:val="Estilo"/>
        <w:jc w:val="center"/>
        <w:rPr>
          <w:rFonts w:ascii="Verdana" w:hAnsi="Verdana"/>
          <w:b/>
          <w:bCs/>
          <w:sz w:val="20"/>
          <w:szCs w:val="20"/>
        </w:rPr>
      </w:pPr>
      <w:r w:rsidRPr="004D1DA8">
        <w:rPr>
          <w:rFonts w:ascii="Verdana" w:hAnsi="Verdana"/>
          <w:b/>
          <w:bCs/>
          <w:sz w:val="20"/>
          <w:szCs w:val="20"/>
        </w:rPr>
        <w:t>Capítulo I</w:t>
      </w:r>
    </w:p>
    <w:p w:rsidRPr="004D1DA8" w:rsidR="00D07BF9" w:rsidP="004D1DA8" w:rsidRDefault="00D07BF9" w14:paraId="19A6110E" w14:textId="77777777">
      <w:pPr>
        <w:pStyle w:val="Estilo"/>
        <w:jc w:val="center"/>
        <w:rPr>
          <w:rFonts w:ascii="Verdana" w:hAnsi="Verdana"/>
          <w:b/>
          <w:bCs/>
          <w:sz w:val="20"/>
          <w:szCs w:val="20"/>
        </w:rPr>
      </w:pPr>
      <w:r w:rsidRPr="004D1DA8">
        <w:rPr>
          <w:rFonts w:ascii="Verdana" w:hAnsi="Verdana"/>
          <w:b/>
          <w:bCs/>
          <w:sz w:val="20"/>
          <w:szCs w:val="20"/>
        </w:rPr>
        <w:t>Disposiciones Generales</w:t>
      </w:r>
    </w:p>
    <w:p w:rsidRPr="00D07BF9" w:rsidR="00D07BF9" w:rsidP="00D07BF9" w:rsidRDefault="00D07BF9" w14:paraId="12E8FD03" w14:textId="77777777">
      <w:pPr>
        <w:pStyle w:val="Estilo"/>
        <w:rPr>
          <w:rFonts w:ascii="Verdana" w:hAnsi="Verdana"/>
          <w:sz w:val="20"/>
          <w:szCs w:val="20"/>
        </w:rPr>
      </w:pPr>
    </w:p>
    <w:p w:rsidRPr="004D1DA8" w:rsidR="00D07BF9" w:rsidP="004D1DA8" w:rsidRDefault="00D07BF9" w14:paraId="0F3F150A" w14:textId="77777777">
      <w:pPr>
        <w:pStyle w:val="Estilo"/>
        <w:jc w:val="right"/>
        <w:rPr>
          <w:rFonts w:ascii="Verdana" w:hAnsi="Verdana"/>
          <w:b/>
          <w:bCs/>
          <w:sz w:val="20"/>
          <w:szCs w:val="20"/>
        </w:rPr>
      </w:pPr>
      <w:r w:rsidRPr="004D1DA8">
        <w:rPr>
          <w:rFonts w:ascii="Verdana" w:hAnsi="Verdana"/>
          <w:b/>
          <w:bCs/>
          <w:sz w:val="20"/>
          <w:szCs w:val="20"/>
        </w:rPr>
        <w:t>Objeto de la ley</w:t>
      </w:r>
    </w:p>
    <w:p w:rsidRPr="00D07BF9" w:rsidR="00D07BF9" w:rsidP="00D07BF9" w:rsidRDefault="00D07BF9" w14:paraId="0216D5E9" w14:textId="77777777">
      <w:pPr>
        <w:pStyle w:val="Estilo"/>
        <w:rPr>
          <w:rFonts w:ascii="Verdana" w:hAnsi="Verdana"/>
          <w:sz w:val="20"/>
          <w:szCs w:val="20"/>
        </w:rPr>
      </w:pPr>
      <w:r w:rsidRPr="00D07BF9">
        <w:rPr>
          <w:rFonts w:ascii="Verdana" w:hAnsi="Verdana"/>
          <w:sz w:val="20"/>
          <w:szCs w:val="20"/>
        </w:rPr>
        <w:t>Artículo 1. La presente ley tiene por objeto reglamentar la función de fiscalización a que se refieren los artículos 63 fracciones XVIII, XIX y XXVIII y 66 de la Constitución Política para el Estado de Guanajuato, así como establecer las bases de la organización y funcionamiento de la Auditoría Superior del estado de Guanajuato.</w:t>
      </w:r>
    </w:p>
    <w:p w:rsidRPr="00D07BF9" w:rsidR="00D07BF9" w:rsidP="00D07BF9" w:rsidRDefault="00D07BF9" w14:paraId="411904BD" w14:textId="77777777">
      <w:pPr>
        <w:pStyle w:val="Estilo"/>
        <w:rPr>
          <w:rFonts w:ascii="Verdana" w:hAnsi="Verdana"/>
          <w:sz w:val="20"/>
          <w:szCs w:val="20"/>
        </w:rPr>
      </w:pPr>
    </w:p>
    <w:p w:rsidRPr="004D1DA8" w:rsidR="00D07BF9" w:rsidP="004D1DA8" w:rsidRDefault="00D07BF9" w14:paraId="77D7B03C" w14:textId="77777777">
      <w:pPr>
        <w:pStyle w:val="Estilo"/>
        <w:jc w:val="right"/>
        <w:rPr>
          <w:rFonts w:ascii="Verdana" w:hAnsi="Verdana"/>
          <w:b/>
          <w:bCs/>
          <w:sz w:val="20"/>
          <w:szCs w:val="20"/>
        </w:rPr>
      </w:pPr>
      <w:r w:rsidRPr="004D1DA8">
        <w:rPr>
          <w:rFonts w:ascii="Verdana" w:hAnsi="Verdana"/>
          <w:b/>
          <w:bCs/>
          <w:sz w:val="20"/>
          <w:szCs w:val="20"/>
        </w:rPr>
        <w:t>Sujetos de la ley</w:t>
      </w:r>
    </w:p>
    <w:p w:rsidRPr="00D07BF9" w:rsidR="00D07BF9" w:rsidP="00D07BF9" w:rsidRDefault="00D07BF9" w14:paraId="2890DC05" w14:textId="77777777">
      <w:pPr>
        <w:pStyle w:val="Estilo"/>
        <w:rPr>
          <w:rFonts w:ascii="Verdana" w:hAnsi="Verdana"/>
          <w:sz w:val="20"/>
          <w:szCs w:val="20"/>
        </w:rPr>
      </w:pPr>
      <w:r w:rsidRPr="00D07BF9">
        <w:rPr>
          <w:rFonts w:ascii="Verdana" w:hAnsi="Verdana"/>
          <w:sz w:val="20"/>
          <w:szCs w:val="20"/>
        </w:rPr>
        <w:t>Artículo 2. Son sujetos de fiscalización:</w:t>
      </w:r>
    </w:p>
    <w:p w:rsidRPr="00D07BF9" w:rsidR="00D07BF9" w:rsidP="00D07BF9" w:rsidRDefault="00D07BF9" w14:paraId="585566C9" w14:textId="77777777">
      <w:pPr>
        <w:pStyle w:val="Estilo"/>
        <w:rPr>
          <w:rFonts w:ascii="Verdana" w:hAnsi="Verdana"/>
          <w:sz w:val="20"/>
          <w:szCs w:val="20"/>
        </w:rPr>
      </w:pPr>
    </w:p>
    <w:p w:rsidRPr="00D07BF9" w:rsidR="00D07BF9" w:rsidP="00D07BF9" w:rsidRDefault="00D07BF9" w14:paraId="5F5504FC" w14:textId="77777777">
      <w:pPr>
        <w:pStyle w:val="Estilo"/>
        <w:rPr>
          <w:rFonts w:ascii="Verdana" w:hAnsi="Verdana"/>
          <w:sz w:val="20"/>
          <w:szCs w:val="20"/>
        </w:rPr>
      </w:pPr>
      <w:r w:rsidRPr="00D07BF9">
        <w:rPr>
          <w:rFonts w:ascii="Verdana" w:hAnsi="Verdana"/>
          <w:sz w:val="20"/>
          <w:szCs w:val="20"/>
        </w:rPr>
        <w:t>I. Los poderes Legislativo, Ejecutivo y Judicial del Estado;</w:t>
      </w:r>
    </w:p>
    <w:p w:rsidRPr="00D07BF9" w:rsidR="00D07BF9" w:rsidP="00D07BF9" w:rsidRDefault="00D07BF9" w14:paraId="5BAD1AD3" w14:textId="77777777">
      <w:pPr>
        <w:pStyle w:val="Estilo"/>
        <w:rPr>
          <w:rFonts w:ascii="Verdana" w:hAnsi="Verdana"/>
          <w:sz w:val="20"/>
          <w:szCs w:val="20"/>
        </w:rPr>
      </w:pPr>
    </w:p>
    <w:p w:rsidRPr="00D07BF9" w:rsidR="00D07BF9" w:rsidP="00D07BF9" w:rsidRDefault="00D07BF9" w14:paraId="1AEB0458" w14:textId="77777777">
      <w:pPr>
        <w:pStyle w:val="Estilo"/>
        <w:rPr>
          <w:rFonts w:ascii="Verdana" w:hAnsi="Verdana"/>
          <w:sz w:val="20"/>
          <w:szCs w:val="20"/>
        </w:rPr>
      </w:pPr>
      <w:r w:rsidRPr="00D07BF9">
        <w:rPr>
          <w:rFonts w:ascii="Verdana" w:hAnsi="Verdana"/>
          <w:sz w:val="20"/>
          <w:szCs w:val="20"/>
        </w:rPr>
        <w:t>II. Los ayuntamientos;</w:t>
      </w:r>
    </w:p>
    <w:p w:rsidRPr="00D07BF9" w:rsidR="00D07BF9" w:rsidP="00D07BF9" w:rsidRDefault="00D07BF9" w14:paraId="451268D4" w14:textId="77777777">
      <w:pPr>
        <w:pStyle w:val="Estilo"/>
        <w:rPr>
          <w:rFonts w:ascii="Verdana" w:hAnsi="Verdana"/>
          <w:sz w:val="20"/>
          <w:szCs w:val="20"/>
        </w:rPr>
      </w:pPr>
    </w:p>
    <w:p w:rsidRPr="00D07BF9" w:rsidR="00D07BF9" w:rsidP="00D07BF9" w:rsidRDefault="00D07BF9" w14:paraId="6E4C6414" w14:textId="77777777">
      <w:pPr>
        <w:pStyle w:val="Estilo"/>
        <w:rPr>
          <w:rFonts w:ascii="Verdana" w:hAnsi="Verdana"/>
          <w:sz w:val="20"/>
          <w:szCs w:val="20"/>
        </w:rPr>
      </w:pPr>
      <w:r w:rsidRPr="00D07BF9">
        <w:rPr>
          <w:rFonts w:ascii="Verdana" w:hAnsi="Verdana"/>
          <w:sz w:val="20"/>
          <w:szCs w:val="20"/>
        </w:rPr>
        <w:t>III. Las dependencias y entidades de la administración pública estatal y municipal; y</w:t>
      </w:r>
    </w:p>
    <w:p w:rsidRPr="00D07BF9" w:rsidR="00D07BF9" w:rsidP="00D07BF9" w:rsidRDefault="00D07BF9" w14:paraId="03A85605" w14:textId="77777777">
      <w:pPr>
        <w:pStyle w:val="Estilo"/>
        <w:rPr>
          <w:rFonts w:ascii="Verdana" w:hAnsi="Verdana"/>
          <w:sz w:val="20"/>
          <w:szCs w:val="20"/>
        </w:rPr>
      </w:pPr>
    </w:p>
    <w:p w:rsidRPr="00D07BF9" w:rsidR="00D07BF9" w:rsidP="00D07BF9" w:rsidRDefault="00D07BF9" w14:paraId="6BF8AFF1" w14:textId="77777777">
      <w:pPr>
        <w:pStyle w:val="Estilo"/>
        <w:rPr>
          <w:rFonts w:ascii="Verdana" w:hAnsi="Verdana"/>
          <w:sz w:val="20"/>
          <w:szCs w:val="20"/>
        </w:rPr>
      </w:pPr>
      <w:r w:rsidRPr="00D07BF9">
        <w:rPr>
          <w:rFonts w:ascii="Verdana" w:hAnsi="Verdana"/>
          <w:sz w:val="20"/>
          <w:szCs w:val="20"/>
        </w:rPr>
        <w:t>IV. Los organismos autónomos.</w:t>
      </w:r>
    </w:p>
    <w:p w:rsidRPr="00D07BF9" w:rsidR="00D07BF9" w:rsidP="00D07BF9" w:rsidRDefault="00D07BF9" w14:paraId="3E829E3F" w14:textId="77777777">
      <w:pPr>
        <w:pStyle w:val="Estilo"/>
        <w:rPr>
          <w:rFonts w:ascii="Verdana" w:hAnsi="Verdana"/>
          <w:sz w:val="20"/>
          <w:szCs w:val="20"/>
        </w:rPr>
      </w:pPr>
    </w:p>
    <w:p w:rsidRPr="00D07BF9" w:rsidR="00D07BF9" w:rsidP="00D07BF9" w:rsidRDefault="00D07BF9" w14:paraId="33FDADBB" w14:textId="77777777">
      <w:pPr>
        <w:pStyle w:val="Estilo"/>
        <w:rPr>
          <w:rFonts w:ascii="Verdana" w:hAnsi="Verdana"/>
          <w:sz w:val="20"/>
          <w:szCs w:val="20"/>
        </w:rPr>
      </w:pPr>
      <w:r w:rsidRPr="00D07BF9">
        <w:rPr>
          <w:rFonts w:ascii="Verdana" w:hAnsi="Verdana"/>
          <w:sz w:val="20"/>
          <w:szCs w:val="20"/>
        </w:rPr>
        <w:t>La función de fiscalización también comprende los recursos públicos que se destinen y ejerzan por cualquier entidad, persona física o jurídico colectiva, pública o privada y los transferidos a fideicomisos, mandatos, fondos, comités, patronatos, consejos o cualquier otra figura jurídica.</w:t>
      </w:r>
    </w:p>
    <w:p w:rsidRPr="00D07BF9" w:rsidR="00D07BF9" w:rsidP="00D07BF9" w:rsidRDefault="00D07BF9" w14:paraId="25FEA66B" w14:textId="77777777">
      <w:pPr>
        <w:pStyle w:val="Estilo"/>
        <w:rPr>
          <w:rFonts w:ascii="Verdana" w:hAnsi="Verdana"/>
          <w:sz w:val="20"/>
          <w:szCs w:val="20"/>
        </w:rPr>
      </w:pPr>
    </w:p>
    <w:p w:rsidRPr="00260A46" w:rsidR="00D07BF9" w:rsidP="004D1DA8" w:rsidRDefault="00D07BF9" w14:paraId="3543154A" w14:textId="77777777">
      <w:pPr>
        <w:pStyle w:val="Estilo"/>
        <w:jc w:val="right"/>
        <w:rPr>
          <w:rFonts w:ascii="Verdana" w:hAnsi="Verdana"/>
          <w:b/>
          <w:bCs/>
          <w:sz w:val="20"/>
          <w:szCs w:val="20"/>
        </w:rPr>
      </w:pPr>
      <w:r w:rsidRPr="00260A46">
        <w:rPr>
          <w:rFonts w:ascii="Verdana" w:hAnsi="Verdana"/>
          <w:b/>
          <w:bCs/>
          <w:sz w:val="20"/>
          <w:szCs w:val="20"/>
        </w:rPr>
        <w:t>Competencia</w:t>
      </w:r>
    </w:p>
    <w:p w:rsidRPr="00D07BF9" w:rsidR="00D07BF9" w:rsidP="00D07BF9" w:rsidRDefault="00D07BF9" w14:paraId="6994771F" w14:textId="77777777">
      <w:pPr>
        <w:pStyle w:val="Estilo"/>
        <w:rPr>
          <w:rFonts w:ascii="Verdana" w:hAnsi="Verdana"/>
          <w:sz w:val="20"/>
          <w:szCs w:val="20"/>
        </w:rPr>
      </w:pPr>
      <w:r w:rsidRPr="00D07BF9">
        <w:rPr>
          <w:rFonts w:ascii="Verdana" w:hAnsi="Verdana"/>
          <w:sz w:val="20"/>
          <w:szCs w:val="20"/>
        </w:rPr>
        <w:t>Artículo 3. La Auditoría Superior del estado de Guanajuato es competente para:</w:t>
      </w:r>
    </w:p>
    <w:p w:rsidRPr="00D07BF9" w:rsidR="00D07BF9" w:rsidP="00D07BF9" w:rsidRDefault="00D07BF9" w14:paraId="7FAAC5C9" w14:textId="77777777">
      <w:pPr>
        <w:pStyle w:val="Estilo"/>
        <w:rPr>
          <w:rFonts w:ascii="Verdana" w:hAnsi="Verdana"/>
          <w:sz w:val="20"/>
          <w:szCs w:val="20"/>
        </w:rPr>
      </w:pPr>
    </w:p>
    <w:p w:rsidRPr="00D07BF9" w:rsidR="00D07BF9" w:rsidP="00D07BF9" w:rsidRDefault="00D07BF9" w14:paraId="5572B4F1" w14:textId="77777777">
      <w:pPr>
        <w:pStyle w:val="Estilo"/>
        <w:rPr>
          <w:rFonts w:ascii="Verdana" w:hAnsi="Verdana"/>
          <w:sz w:val="20"/>
          <w:szCs w:val="20"/>
        </w:rPr>
      </w:pPr>
      <w:r w:rsidRPr="00D07BF9">
        <w:rPr>
          <w:rFonts w:ascii="Verdana" w:hAnsi="Verdana"/>
          <w:sz w:val="20"/>
          <w:szCs w:val="20"/>
        </w:rPr>
        <w:t xml:space="preserve">I. Practicar auditorías y revisiones, mediante visitas o inspecciones, solicitando información y documentación durante el desarrollo de </w:t>
      </w:r>
      <w:proofErr w:type="gramStart"/>
      <w:r w:rsidRPr="00D07BF9">
        <w:rPr>
          <w:rFonts w:ascii="Verdana" w:hAnsi="Verdana"/>
          <w:sz w:val="20"/>
          <w:szCs w:val="20"/>
        </w:rPr>
        <w:t>las mismas</w:t>
      </w:r>
      <w:proofErr w:type="gramEnd"/>
      <w:r w:rsidRPr="00D07BF9">
        <w:rPr>
          <w:rFonts w:ascii="Verdana" w:hAnsi="Verdana"/>
          <w:sz w:val="20"/>
          <w:szCs w:val="20"/>
        </w:rPr>
        <w:t>;</w:t>
      </w:r>
    </w:p>
    <w:p w:rsidRPr="00D07BF9" w:rsidR="00D07BF9" w:rsidP="00D07BF9" w:rsidRDefault="00D07BF9" w14:paraId="2C946462" w14:textId="77777777">
      <w:pPr>
        <w:pStyle w:val="Estilo"/>
        <w:rPr>
          <w:rFonts w:ascii="Verdana" w:hAnsi="Verdana"/>
          <w:sz w:val="20"/>
          <w:szCs w:val="20"/>
        </w:rPr>
      </w:pPr>
    </w:p>
    <w:p w:rsidRPr="00D07BF9" w:rsidR="00D07BF9" w:rsidP="00D07BF9" w:rsidRDefault="00D07BF9" w14:paraId="53DBCD7B" w14:textId="77777777">
      <w:pPr>
        <w:pStyle w:val="Estilo"/>
        <w:rPr>
          <w:rFonts w:ascii="Verdana" w:hAnsi="Verdana"/>
          <w:sz w:val="20"/>
          <w:szCs w:val="20"/>
        </w:rPr>
      </w:pPr>
      <w:r w:rsidRPr="00D07BF9">
        <w:rPr>
          <w:rFonts w:ascii="Verdana" w:hAnsi="Verdana"/>
          <w:sz w:val="20"/>
          <w:szCs w:val="20"/>
        </w:rPr>
        <w:t>II. Solicitar información vinculada a las atribuciones de los sujetos de fiscalización que resulte necesaria para la planeación a cargo de la Auditoría Superior.</w:t>
      </w:r>
    </w:p>
    <w:p w:rsidRPr="00D07BF9" w:rsidR="00D07BF9" w:rsidP="00D07BF9" w:rsidRDefault="00D07BF9" w14:paraId="3266C545" w14:textId="77777777">
      <w:pPr>
        <w:pStyle w:val="Estilo"/>
        <w:rPr>
          <w:rFonts w:ascii="Verdana" w:hAnsi="Verdana"/>
          <w:sz w:val="20"/>
          <w:szCs w:val="20"/>
        </w:rPr>
      </w:pPr>
    </w:p>
    <w:p w:rsidRPr="00D07BF9" w:rsidR="00D07BF9" w:rsidP="00D07BF9" w:rsidRDefault="00D07BF9" w14:paraId="2BAABCE3" w14:textId="77777777">
      <w:pPr>
        <w:pStyle w:val="Estilo"/>
        <w:rPr>
          <w:rFonts w:ascii="Verdana" w:hAnsi="Verdana"/>
          <w:sz w:val="20"/>
          <w:szCs w:val="20"/>
        </w:rPr>
      </w:pPr>
      <w:r w:rsidRPr="00D07BF9">
        <w:rPr>
          <w:rFonts w:ascii="Verdana" w:hAnsi="Verdana"/>
          <w:sz w:val="20"/>
          <w:szCs w:val="20"/>
        </w:rPr>
        <w:t>La información que se proporcione no será motivo de observaciones o recomendaciones en dicha fase de planeación, sin perjuicio de que pueda ser utilizada por la Auditoría Superior dentro del proceso de fiscalización correspondiente;</w:t>
      </w:r>
    </w:p>
    <w:p w:rsidRPr="00D07BF9" w:rsidR="00D07BF9" w:rsidP="00D07BF9" w:rsidRDefault="00D07BF9" w14:paraId="501D1B9E" w14:textId="77777777">
      <w:pPr>
        <w:pStyle w:val="Estilo"/>
        <w:rPr>
          <w:rFonts w:ascii="Verdana" w:hAnsi="Verdana"/>
          <w:sz w:val="20"/>
          <w:szCs w:val="20"/>
        </w:rPr>
      </w:pPr>
    </w:p>
    <w:p w:rsidRPr="00D07BF9" w:rsidR="00D07BF9" w:rsidP="00D07BF9" w:rsidRDefault="00D07BF9" w14:paraId="07B95D5C" w14:textId="77777777">
      <w:pPr>
        <w:pStyle w:val="Estilo"/>
        <w:rPr>
          <w:rFonts w:ascii="Verdana" w:hAnsi="Verdana"/>
          <w:sz w:val="20"/>
          <w:szCs w:val="20"/>
        </w:rPr>
      </w:pPr>
      <w:r w:rsidRPr="00D07BF9">
        <w:rPr>
          <w:rFonts w:ascii="Verdana" w:hAnsi="Verdana"/>
          <w:sz w:val="20"/>
          <w:szCs w:val="20"/>
        </w:rPr>
        <w:t>III. Fiscalizar la gestión financiera de los sujetos de fiscalización, a través de sus cuentas públicas;</w:t>
      </w:r>
    </w:p>
    <w:p w:rsidRPr="00D07BF9" w:rsidR="00D07BF9" w:rsidP="00D07BF9" w:rsidRDefault="00D07BF9" w14:paraId="6D3F478B" w14:textId="77777777">
      <w:pPr>
        <w:pStyle w:val="Estilo"/>
        <w:rPr>
          <w:rFonts w:ascii="Verdana" w:hAnsi="Verdana"/>
          <w:sz w:val="20"/>
          <w:szCs w:val="20"/>
        </w:rPr>
      </w:pPr>
    </w:p>
    <w:p w:rsidRPr="00D07BF9" w:rsidR="00D07BF9" w:rsidP="00D07BF9" w:rsidRDefault="00D07BF9" w14:paraId="2FA89762" w14:textId="77777777">
      <w:pPr>
        <w:pStyle w:val="Estilo"/>
        <w:rPr>
          <w:rFonts w:ascii="Verdana" w:hAnsi="Verdana"/>
          <w:sz w:val="20"/>
          <w:szCs w:val="20"/>
        </w:rPr>
      </w:pPr>
      <w:r w:rsidRPr="00D07BF9">
        <w:rPr>
          <w:rFonts w:ascii="Verdana" w:hAnsi="Verdana"/>
          <w:sz w:val="20"/>
          <w:szCs w:val="20"/>
        </w:rPr>
        <w:t>IV. Investigar los actos u omisiones de los que se presuma alguna irregularidad o conducta ilícita en la gestión financiera de los sujetos de fiscalización;</w:t>
      </w:r>
    </w:p>
    <w:p w:rsidRPr="00D07BF9" w:rsidR="00D07BF9" w:rsidP="00D07BF9" w:rsidRDefault="00D07BF9" w14:paraId="71C4560D" w14:textId="77777777">
      <w:pPr>
        <w:pStyle w:val="Estilo"/>
        <w:rPr>
          <w:rFonts w:ascii="Verdana" w:hAnsi="Verdana"/>
          <w:sz w:val="20"/>
          <w:szCs w:val="20"/>
        </w:rPr>
      </w:pPr>
    </w:p>
    <w:p w:rsidRPr="00D07BF9" w:rsidR="00D07BF9" w:rsidP="00D07BF9" w:rsidRDefault="00D07BF9" w14:paraId="14262D8E" w14:textId="77777777">
      <w:pPr>
        <w:pStyle w:val="Estilo"/>
        <w:rPr>
          <w:rFonts w:ascii="Verdana" w:hAnsi="Verdana"/>
          <w:sz w:val="20"/>
          <w:szCs w:val="20"/>
        </w:rPr>
      </w:pPr>
      <w:r w:rsidRPr="00D07BF9">
        <w:rPr>
          <w:rFonts w:ascii="Verdana" w:hAnsi="Verdana"/>
          <w:sz w:val="20"/>
          <w:szCs w:val="20"/>
        </w:rPr>
        <w:t>V. Practicar auditorías de desempeño para verificar el cumplimiento de los objetivos y las metas de los programas estatales y municipales;</w:t>
      </w:r>
    </w:p>
    <w:p w:rsidRPr="00D07BF9" w:rsidR="00D07BF9" w:rsidP="00D07BF9" w:rsidRDefault="00D07BF9" w14:paraId="17AE6BBE" w14:textId="77777777">
      <w:pPr>
        <w:pStyle w:val="Estilo"/>
        <w:rPr>
          <w:rFonts w:ascii="Verdana" w:hAnsi="Verdana"/>
          <w:sz w:val="20"/>
          <w:szCs w:val="20"/>
        </w:rPr>
      </w:pPr>
    </w:p>
    <w:p w:rsidRPr="00D07BF9" w:rsidR="00D07BF9" w:rsidP="00D07BF9" w:rsidRDefault="00D07BF9" w14:paraId="1968129F" w14:textId="77777777">
      <w:pPr>
        <w:pStyle w:val="Estilo"/>
        <w:rPr>
          <w:rFonts w:ascii="Verdana" w:hAnsi="Verdana"/>
          <w:sz w:val="20"/>
          <w:szCs w:val="20"/>
        </w:rPr>
      </w:pPr>
      <w:r w:rsidRPr="00D07BF9">
        <w:rPr>
          <w:rFonts w:ascii="Verdana" w:hAnsi="Verdana"/>
          <w:sz w:val="20"/>
          <w:szCs w:val="20"/>
        </w:rPr>
        <w:t>VI. Dictaminar los daños o perjuicios que afecten a la hacienda pública del estado y de los municipios;</w:t>
      </w:r>
    </w:p>
    <w:p w:rsidRPr="00D07BF9" w:rsidR="00D07BF9" w:rsidP="00D07BF9" w:rsidRDefault="00D07BF9" w14:paraId="489F12E3" w14:textId="77777777">
      <w:pPr>
        <w:pStyle w:val="Estilo"/>
        <w:rPr>
          <w:rFonts w:ascii="Verdana" w:hAnsi="Verdana"/>
          <w:sz w:val="20"/>
          <w:szCs w:val="20"/>
        </w:rPr>
      </w:pPr>
    </w:p>
    <w:p w:rsidRPr="00D07BF9" w:rsidR="00D07BF9" w:rsidP="00D07BF9" w:rsidRDefault="00D07BF9" w14:paraId="19A45FFD" w14:textId="77777777">
      <w:pPr>
        <w:pStyle w:val="Estilo"/>
        <w:rPr>
          <w:rFonts w:ascii="Verdana" w:hAnsi="Verdana"/>
          <w:sz w:val="20"/>
          <w:szCs w:val="20"/>
        </w:rPr>
      </w:pPr>
      <w:r w:rsidRPr="00D07BF9">
        <w:rPr>
          <w:rFonts w:ascii="Verdana" w:hAnsi="Verdana"/>
          <w:sz w:val="20"/>
          <w:szCs w:val="20"/>
        </w:rPr>
        <w:t>VII. Imponer medidas de apremio para hacer cumplir las atribuciones que le confiere esta ley;</w:t>
      </w:r>
    </w:p>
    <w:p w:rsidRPr="00D07BF9" w:rsidR="00D07BF9" w:rsidP="00D07BF9" w:rsidRDefault="00D07BF9" w14:paraId="5203385D" w14:textId="77777777">
      <w:pPr>
        <w:pStyle w:val="Estilo"/>
        <w:rPr>
          <w:rFonts w:ascii="Verdana" w:hAnsi="Verdana"/>
          <w:sz w:val="20"/>
          <w:szCs w:val="20"/>
        </w:rPr>
      </w:pPr>
    </w:p>
    <w:p w:rsidRPr="00D07BF9" w:rsidR="00D07BF9" w:rsidP="00D07BF9" w:rsidRDefault="00D07BF9" w14:paraId="60961E40" w14:textId="77777777">
      <w:pPr>
        <w:pStyle w:val="Estilo"/>
        <w:rPr>
          <w:rFonts w:ascii="Verdana" w:hAnsi="Verdana"/>
          <w:sz w:val="20"/>
          <w:szCs w:val="20"/>
        </w:rPr>
      </w:pPr>
      <w:r w:rsidRPr="00D07BF9">
        <w:rPr>
          <w:rFonts w:ascii="Verdana" w:hAnsi="Verdana"/>
          <w:sz w:val="20"/>
          <w:szCs w:val="20"/>
        </w:rPr>
        <w:t>VIII. Promover ante las autoridades el fincamiento de responsabilidades;</w:t>
      </w:r>
    </w:p>
    <w:p w:rsidRPr="00D07BF9" w:rsidR="00D07BF9" w:rsidP="00D07BF9" w:rsidRDefault="00D07BF9" w14:paraId="7A136E9D" w14:textId="77777777">
      <w:pPr>
        <w:pStyle w:val="Estilo"/>
        <w:rPr>
          <w:rFonts w:ascii="Verdana" w:hAnsi="Verdana"/>
          <w:sz w:val="20"/>
          <w:szCs w:val="20"/>
        </w:rPr>
      </w:pPr>
    </w:p>
    <w:p w:rsidRPr="00D07BF9" w:rsidR="00D07BF9" w:rsidP="00D07BF9" w:rsidRDefault="00D07BF9" w14:paraId="5687766B" w14:textId="77777777">
      <w:pPr>
        <w:pStyle w:val="Estilo"/>
        <w:rPr>
          <w:rFonts w:ascii="Verdana" w:hAnsi="Verdana"/>
          <w:sz w:val="20"/>
          <w:szCs w:val="20"/>
        </w:rPr>
      </w:pPr>
      <w:r w:rsidRPr="00D07BF9">
        <w:rPr>
          <w:rFonts w:ascii="Verdana" w:hAnsi="Verdana"/>
          <w:sz w:val="20"/>
          <w:szCs w:val="20"/>
        </w:rPr>
        <w:t>IX. Dar seguimiento a las acciones de responsabilidad, observaciones y recomendaciones que se generen de las auditorías y revisiones;</w:t>
      </w:r>
    </w:p>
    <w:p w:rsidRPr="00D07BF9" w:rsidR="00D07BF9" w:rsidP="00D07BF9" w:rsidRDefault="00D07BF9" w14:paraId="25D6CA9A" w14:textId="77777777">
      <w:pPr>
        <w:pStyle w:val="Estilo"/>
        <w:rPr>
          <w:rFonts w:ascii="Verdana" w:hAnsi="Verdana"/>
          <w:sz w:val="20"/>
          <w:szCs w:val="20"/>
        </w:rPr>
      </w:pPr>
    </w:p>
    <w:p w:rsidRPr="00D07BF9" w:rsidR="00D07BF9" w:rsidP="00D07BF9" w:rsidRDefault="00D07BF9" w14:paraId="3C2746B8" w14:textId="77777777">
      <w:pPr>
        <w:pStyle w:val="Estilo"/>
        <w:rPr>
          <w:rFonts w:ascii="Verdana" w:hAnsi="Verdana"/>
          <w:sz w:val="20"/>
          <w:szCs w:val="20"/>
        </w:rPr>
      </w:pPr>
      <w:r w:rsidRPr="00D07BF9">
        <w:rPr>
          <w:rFonts w:ascii="Verdana" w:hAnsi="Verdana"/>
          <w:sz w:val="20"/>
          <w:szCs w:val="20"/>
        </w:rPr>
        <w:t>X. En caso de riesgo de ocultamiento o pérdida, realizar las acciones para la conservación, aseguramiento y resguardo de documentos, información y equipos que la contengan, que puedan ser o sean materia de fiscalización; y</w:t>
      </w:r>
    </w:p>
    <w:p w:rsidRPr="00D07BF9" w:rsidR="00D07BF9" w:rsidP="00D07BF9" w:rsidRDefault="00D07BF9" w14:paraId="49D0D357" w14:textId="77777777">
      <w:pPr>
        <w:pStyle w:val="Estilo"/>
        <w:rPr>
          <w:rFonts w:ascii="Verdana" w:hAnsi="Verdana"/>
          <w:sz w:val="20"/>
          <w:szCs w:val="20"/>
        </w:rPr>
      </w:pPr>
    </w:p>
    <w:p w:rsidRPr="00D07BF9" w:rsidR="00D07BF9" w:rsidP="00D07BF9" w:rsidRDefault="00D07BF9" w14:paraId="6B4889EB" w14:textId="77777777">
      <w:pPr>
        <w:pStyle w:val="Estilo"/>
        <w:rPr>
          <w:rFonts w:ascii="Verdana" w:hAnsi="Verdana"/>
          <w:sz w:val="20"/>
          <w:szCs w:val="20"/>
        </w:rPr>
      </w:pPr>
      <w:r w:rsidRPr="00D07BF9">
        <w:rPr>
          <w:rFonts w:ascii="Verdana" w:hAnsi="Verdana"/>
          <w:sz w:val="20"/>
          <w:szCs w:val="20"/>
        </w:rPr>
        <w:t>XI. Las demás que se desprendan de esta ley u otros ordenamientos.</w:t>
      </w:r>
    </w:p>
    <w:p w:rsidRPr="00D07BF9" w:rsidR="00D07BF9" w:rsidP="00D07BF9" w:rsidRDefault="00D07BF9" w14:paraId="58DFE9FD" w14:textId="77777777">
      <w:pPr>
        <w:pStyle w:val="Estilo"/>
        <w:rPr>
          <w:rFonts w:ascii="Verdana" w:hAnsi="Verdana"/>
          <w:sz w:val="20"/>
          <w:szCs w:val="20"/>
        </w:rPr>
      </w:pPr>
    </w:p>
    <w:p w:rsidRPr="004D1DA8" w:rsidR="00D07BF9" w:rsidP="004D1DA8" w:rsidRDefault="00D07BF9" w14:paraId="21208539" w14:textId="77777777">
      <w:pPr>
        <w:pStyle w:val="Estilo"/>
        <w:jc w:val="right"/>
        <w:rPr>
          <w:rFonts w:ascii="Verdana" w:hAnsi="Verdana"/>
          <w:b/>
          <w:bCs/>
          <w:sz w:val="20"/>
          <w:szCs w:val="20"/>
        </w:rPr>
      </w:pPr>
      <w:r w:rsidRPr="004D1DA8">
        <w:rPr>
          <w:rFonts w:ascii="Verdana" w:hAnsi="Verdana"/>
          <w:b/>
          <w:bCs/>
          <w:sz w:val="20"/>
          <w:szCs w:val="20"/>
        </w:rPr>
        <w:t>Autonomía</w:t>
      </w:r>
    </w:p>
    <w:p w:rsidRPr="00D07BF9" w:rsidR="00D07BF9" w:rsidP="00D07BF9" w:rsidRDefault="00D07BF9" w14:paraId="77A3AE46" w14:textId="77777777">
      <w:pPr>
        <w:pStyle w:val="Estilo"/>
        <w:rPr>
          <w:rFonts w:ascii="Verdana" w:hAnsi="Verdana"/>
          <w:sz w:val="20"/>
          <w:szCs w:val="20"/>
        </w:rPr>
      </w:pPr>
      <w:r w:rsidRPr="00D07BF9">
        <w:rPr>
          <w:rFonts w:ascii="Verdana" w:hAnsi="Verdana"/>
          <w:sz w:val="20"/>
          <w:szCs w:val="20"/>
        </w:rPr>
        <w:t>Artículo 4. El Congreso del Estado ejercerá las funciones técnicas de fiscalización a través de la Auditoría Superior del estado de Guanajuato, la cual tendrá autonomía técnica, de gestión y presupuestaria, en los términos que señalan la Constitución Política para el Estado de Guanajuato, esta ley y demás ordenamientos jurídicos.</w:t>
      </w:r>
    </w:p>
    <w:p w:rsidRPr="00D07BF9" w:rsidR="00D07BF9" w:rsidP="00D07BF9" w:rsidRDefault="00D07BF9" w14:paraId="5D61BA13" w14:textId="77777777">
      <w:pPr>
        <w:pStyle w:val="Estilo"/>
        <w:rPr>
          <w:rFonts w:ascii="Verdana" w:hAnsi="Verdana"/>
          <w:sz w:val="20"/>
          <w:szCs w:val="20"/>
        </w:rPr>
      </w:pPr>
    </w:p>
    <w:p w:rsidRPr="004D1DA8" w:rsidR="00D07BF9" w:rsidP="004D1DA8" w:rsidRDefault="00D07BF9" w14:paraId="092C547B" w14:textId="77777777">
      <w:pPr>
        <w:pStyle w:val="Estilo"/>
        <w:jc w:val="right"/>
        <w:rPr>
          <w:rFonts w:ascii="Verdana" w:hAnsi="Verdana"/>
          <w:b/>
          <w:bCs/>
          <w:sz w:val="20"/>
          <w:szCs w:val="20"/>
        </w:rPr>
      </w:pPr>
      <w:r w:rsidRPr="004D1DA8">
        <w:rPr>
          <w:rFonts w:ascii="Verdana" w:hAnsi="Verdana"/>
          <w:b/>
          <w:bCs/>
          <w:sz w:val="20"/>
          <w:szCs w:val="20"/>
        </w:rPr>
        <w:t>Glosario de la Ley</w:t>
      </w:r>
    </w:p>
    <w:p w:rsidRPr="00D07BF9" w:rsidR="00D07BF9" w:rsidP="00D07BF9" w:rsidRDefault="00D07BF9" w14:paraId="04B1A38A" w14:textId="77777777">
      <w:pPr>
        <w:pStyle w:val="Estilo"/>
        <w:rPr>
          <w:rFonts w:ascii="Verdana" w:hAnsi="Verdana"/>
          <w:sz w:val="20"/>
          <w:szCs w:val="20"/>
        </w:rPr>
      </w:pPr>
      <w:r w:rsidRPr="00D07BF9">
        <w:rPr>
          <w:rFonts w:ascii="Verdana" w:hAnsi="Verdana"/>
          <w:sz w:val="20"/>
          <w:szCs w:val="20"/>
        </w:rPr>
        <w:t>Artículo 5. Para efectos de esta ley, se entenderá por:</w:t>
      </w:r>
    </w:p>
    <w:p w:rsidRPr="00D07BF9" w:rsidR="00D07BF9" w:rsidP="00D07BF9" w:rsidRDefault="00D07BF9" w14:paraId="2DDBA918" w14:textId="77777777">
      <w:pPr>
        <w:pStyle w:val="Estilo"/>
        <w:rPr>
          <w:rFonts w:ascii="Verdana" w:hAnsi="Verdana"/>
          <w:sz w:val="20"/>
          <w:szCs w:val="20"/>
        </w:rPr>
      </w:pPr>
    </w:p>
    <w:p w:rsidRPr="00D07BF9" w:rsidR="00D07BF9" w:rsidP="00D07BF9" w:rsidRDefault="00D07BF9" w14:paraId="5EF2CDE4" w14:textId="77777777">
      <w:pPr>
        <w:pStyle w:val="Estilo"/>
        <w:rPr>
          <w:rFonts w:ascii="Verdana" w:hAnsi="Verdana"/>
          <w:sz w:val="20"/>
          <w:szCs w:val="20"/>
        </w:rPr>
      </w:pPr>
      <w:r w:rsidRPr="00D07BF9">
        <w:rPr>
          <w:rFonts w:ascii="Verdana" w:hAnsi="Verdana"/>
          <w:sz w:val="20"/>
          <w:szCs w:val="20"/>
        </w:rPr>
        <w:t>I. Auditoría Superior: La Auditoría Superior del estado de Guanajuato;</w:t>
      </w:r>
    </w:p>
    <w:p w:rsidRPr="00D07BF9" w:rsidR="00D07BF9" w:rsidP="00D07BF9" w:rsidRDefault="00D07BF9" w14:paraId="23D18B4E" w14:textId="77777777">
      <w:pPr>
        <w:pStyle w:val="Estilo"/>
        <w:rPr>
          <w:rFonts w:ascii="Verdana" w:hAnsi="Verdana"/>
          <w:sz w:val="20"/>
          <w:szCs w:val="20"/>
        </w:rPr>
      </w:pPr>
    </w:p>
    <w:p w:rsidRPr="00D07BF9" w:rsidR="00D07BF9" w:rsidP="00D07BF9" w:rsidRDefault="00D07BF9" w14:paraId="38DA0342" w14:textId="77777777">
      <w:pPr>
        <w:pStyle w:val="Estilo"/>
        <w:rPr>
          <w:rFonts w:ascii="Verdana" w:hAnsi="Verdana"/>
          <w:sz w:val="20"/>
          <w:szCs w:val="20"/>
        </w:rPr>
      </w:pPr>
      <w:r w:rsidRPr="00D07BF9">
        <w:rPr>
          <w:rFonts w:ascii="Verdana" w:hAnsi="Verdana"/>
          <w:sz w:val="20"/>
          <w:szCs w:val="20"/>
        </w:rPr>
        <w:t>II. Congreso: El Congreso del estado de Guanajuato;</w:t>
      </w:r>
    </w:p>
    <w:p w:rsidRPr="00D07BF9" w:rsidR="00D07BF9" w:rsidP="00D07BF9" w:rsidRDefault="00D07BF9" w14:paraId="1EBBBF3D" w14:textId="77777777">
      <w:pPr>
        <w:pStyle w:val="Estilo"/>
        <w:rPr>
          <w:rFonts w:ascii="Verdana" w:hAnsi="Verdana"/>
          <w:sz w:val="20"/>
          <w:szCs w:val="20"/>
        </w:rPr>
      </w:pPr>
    </w:p>
    <w:p w:rsidRPr="00D07BF9" w:rsidR="00D07BF9" w:rsidP="00D07BF9" w:rsidRDefault="00D07BF9" w14:paraId="23A44CD8" w14:textId="77777777">
      <w:pPr>
        <w:pStyle w:val="Estilo"/>
        <w:rPr>
          <w:rFonts w:ascii="Verdana" w:hAnsi="Verdana"/>
          <w:sz w:val="20"/>
          <w:szCs w:val="20"/>
        </w:rPr>
      </w:pPr>
      <w:r w:rsidRPr="00D07BF9">
        <w:rPr>
          <w:rFonts w:ascii="Verdana" w:hAnsi="Verdana"/>
          <w:sz w:val="20"/>
          <w:szCs w:val="20"/>
        </w:rPr>
        <w:lastRenderedPageBreak/>
        <w:t>III. Comisión: La Comisión de Hacienda y Fiscalización del Congreso del estado de Guanajuato;</w:t>
      </w:r>
    </w:p>
    <w:p w:rsidRPr="00D07BF9" w:rsidR="00D07BF9" w:rsidP="00D07BF9" w:rsidRDefault="00D07BF9" w14:paraId="7124D175" w14:textId="77777777">
      <w:pPr>
        <w:pStyle w:val="Estilo"/>
        <w:rPr>
          <w:rFonts w:ascii="Verdana" w:hAnsi="Verdana"/>
          <w:sz w:val="20"/>
          <w:szCs w:val="20"/>
        </w:rPr>
      </w:pPr>
    </w:p>
    <w:p w:rsidRPr="00D07BF9" w:rsidR="00D07BF9" w:rsidP="00D07BF9" w:rsidRDefault="00D07BF9" w14:paraId="2C847149" w14:textId="77777777">
      <w:pPr>
        <w:pStyle w:val="Estilo"/>
        <w:rPr>
          <w:rFonts w:ascii="Verdana" w:hAnsi="Verdana"/>
          <w:sz w:val="20"/>
          <w:szCs w:val="20"/>
        </w:rPr>
      </w:pPr>
      <w:r w:rsidRPr="00D07BF9">
        <w:rPr>
          <w:rFonts w:ascii="Verdana" w:hAnsi="Verdana"/>
          <w:sz w:val="20"/>
          <w:szCs w:val="20"/>
        </w:rPr>
        <w:t>IV. Fiscalización: Revisar, auditar, evaluar o verificar las cuentas públicas, el ejercicio y destino de los recursos públicos, la gestión financiera de los sujetos de fiscalización y la observancia de su normativa aplicable, así como el cumplimiento de las metas y objetivos de los planes y programas estatales y municipales, conforme a los principios de eficiencia, eficacia y economía;</w:t>
      </w:r>
    </w:p>
    <w:p w:rsidRPr="00D07BF9" w:rsidR="00D07BF9" w:rsidP="00D07BF9" w:rsidRDefault="00D07BF9" w14:paraId="6FFADA0E" w14:textId="77777777">
      <w:pPr>
        <w:pStyle w:val="Estilo"/>
        <w:rPr>
          <w:rFonts w:ascii="Verdana" w:hAnsi="Verdana"/>
          <w:sz w:val="20"/>
          <w:szCs w:val="20"/>
        </w:rPr>
      </w:pPr>
    </w:p>
    <w:p w:rsidRPr="00D07BF9" w:rsidR="00D07BF9" w:rsidP="00D07BF9" w:rsidRDefault="00D07BF9" w14:paraId="058C3171" w14:textId="77777777">
      <w:pPr>
        <w:pStyle w:val="Estilo"/>
        <w:rPr>
          <w:rFonts w:ascii="Verdana" w:hAnsi="Verdana"/>
          <w:sz w:val="20"/>
          <w:szCs w:val="20"/>
        </w:rPr>
      </w:pPr>
      <w:r w:rsidRPr="00D07BF9">
        <w:rPr>
          <w:rFonts w:ascii="Verdana" w:hAnsi="Verdana"/>
          <w:sz w:val="20"/>
          <w:szCs w:val="20"/>
        </w:rPr>
        <w:t>V. Ley: La Ley de Fiscalización Superior del Estado de Guanajuato;</w:t>
      </w:r>
    </w:p>
    <w:p w:rsidRPr="00D07BF9" w:rsidR="00D07BF9" w:rsidP="00D07BF9" w:rsidRDefault="00D07BF9" w14:paraId="6E517452" w14:textId="77777777">
      <w:pPr>
        <w:pStyle w:val="Estilo"/>
        <w:rPr>
          <w:rFonts w:ascii="Verdana" w:hAnsi="Verdana"/>
          <w:sz w:val="20"/>
          <w:szCs w:val="20"/>
        </w:rPr>
      </w:pPr>
    </w:p>
    <w:p w:rsidRPr="00D07BF9" w:rsidR="00D07BF9" w:rsidP="00D07BF9" w:rsidRDefault="00D07BF9" w14:paraId="45E85770" w14:textId="77777777">
      <w:pPr>
        <w:pStyle w:val="Estilo"/>
        <w:rPr>
          <w:rFonts w:ascii="Verdana" w:hAnsi="Verdana"/>
          <w:sz w:val="20"/>
          <w:szCs w:val="20"/>
        </w:rPr>
      </w:pPr>
      <w:r w:rsidRPr="00D07BF9">
        <w:rPr>
          <w:rFonts w:ascii="Verdana" w:hAnsi="Verdana"/>
          <w:sz w:val="20"/>
          <w:szCs w:val="20"/>
        </w:rPr>
        <w:t>VI. Organismos Autónomos: Aquéllos que por disposición constitucional o legal han sido dotados de tal carácter;</w:t>
      </w:r>
    </w:p>
    <w:p w:rsidRPr="00D07BF9" w:rsidR="00D07BF9" w:rsidP="00D07BF9" w:rsidRDefault="00D07BF9" w14:paraId="7D6F4205" w14:textId="77777777">
      <w:pPr>
        <w:pStyle w:val="Estilo"/>
        <w:rPr>
          <w:rFonts w:ascii="Verdana" w:hAnsi="Verdana"/>
          <w:sz w:val="20"/>
          <w:szCs w:val="20"/>
        </w:rPr>
      </w:pPr>
    </w:p>
    <w:p w:rsidRPr="00D07BF9" w:rsidR="00D07BF9" w:rsidP="00D07BF9" w:rsidRDefault="00D07BF9" w14:paraId="3044ADF5" w14:textId="77777777">
      <w:pPr>
        <w:pStyle w:val="Estilo"/>
        <w:rPr>
          <w:rFonts w:ascii="Verdana" w:hAnsi="Verdana"/>
          <w:sz w:val="20"/>
          <w:szCs w:val="20"/>
        </w:rPr>
      </w:pPr>
      <w:r w:rsidRPr="00D07BF9">
        <w:rPr>
          <w:rFonts w:ascii="Verdana" w:hAnsi="Verdana"/>
          <w:sz w:val="20"/>
          <w:szCs w:val="20"/>
        </w:rPr>
        <w:t xml:space="preserve">VII. Órganos de Control: Las unidades de los sujetos de fiscalización que tienen a su cargo el control, vigilancia y evaluación de </w:t>
      </w:r>
      <w:proofErr w:type="gramStart"/>
      <w:r w:rsidRPr="00D07BF9">
        <w:rPr>
          <w:rFonts w:ascii="Verdana" w:hAnsi="Verdana"/>
          <w:sz w:val="20"/>
          <w:szCs w:val="20"/>
        </w:rPr>
        <w:t>los mismos</w:t>
      </w:r>
      <w:proofErr w:type="gramEnd"/>
      <w:r w:rsidRPr="00D07BF9">
        <w:rPr>
          <w:rFonts w:ascii="Verdana" w:hAnsi="Verdana"/>
          <w:sz w:val="20"/>
          <w:szCs w:val="20"/>
        </w:rPr>
        <w:t>;</w:t>
      </w:r>
    </w:p>
    <w:p w:rsidRPr="00D07BF9" w:rsidR="00D07BF9" w:rsidP="00D07BF9" w:rsidRDefault="00D07BF9" w14:paraId="55D25875" w14:textId="77777777">
      <w:pPr>
        <w:pStyle w:val="Estilo"/>
        <w:rPr>
          <w:rFonts w:ascii="Verdana" w:hAnsi="Verdana"/>
          <w:sz w:val="20"/>
          <w:szCs w:val="20"/>
        </w:rPr>
      </w:pPr>
    </w:p>
    <w:p w:rsidRPr="00D07BF9" w:rsidR="00D07BF9" w:rsidP="00D07BF9" w:rsidRDefault="00D07BF9" w14:paraId="01987326" w14:textId="77777777">
      <w:pPr>
        <w:pStyle w:val="Estilo"/>
        <w:rPr>
          <w:rFonts w:ascii="Verdana" w:hAnsi="Verdana"/>
          <w:sz w:val="20"/>
          <w:szCs w:val="20"/>
        </w:rPr>
      </w:pPr>
      <w:r w:rsidRPr="00D07BF9">
        <w:rPr>
          <w:rFonts w:ascii="Verdana" w:hAnsi="Verdana"/>
          <w:sz w:val="20"/>
          <w:szCs w:val="20"/>
        </w:rPr>
        <w:t>VIII. Órgano de Gobierno: La Junta de Gobierno y Coordinación Política del Congreso del Estado;</w:t>
      </w:r>
    </w:p>
    <w:p w:rsidRPr="00D07BF9" w:rsidR="00D07BF9" w:rsidP="00D07BF9" w:rsidRDefault="00D07BF9" w14:paraId="508628D5" w14:textId="77777777">
      <w:pPr>
        <w:pStyle w:val="Estilo"/>
        <w:rPr>
          <w:rFonts w:ascii="Verdana" w:hAnsi="Verdana"/>
          <w:sz w:val="20"/>
          <w:szCs w:val="20"/>
        </w:rPr>
      </w:pPr>
    </w:p>
    <w:p w:rsidRPr="00D07BF9" w:rsidR="00D07BF9" w:rsidP="00D07BF9" w:rsidRDefault="00D07BF9" w14:paraId="45D95DC7" w14:textId="77777777">
      <w:pPr>
        <w:pStyle w:val="Estilo"/>
        <w:rPr>
          <w:rFonts w:ascii="Verdana" w:hAnsi="Verdana"/>
          <w:sz w:val="20"/>
          <w:szCs w:val="20"/>
        </w:rPr>
      </w:pPr>
      <w:r w:rsidRPr="00D07BF9">
        <w:rPr>
          <w:rFonts w:ascii="Verdana" w:hAnsi="Verdana"/>
          <w:sz w:val="20"/>
          <w:szCs w:val="20"/>
        </w:rPr>
        <w:t>IX. Planes: Los señalados en la Ley de Planeación para el Estado de Guanajuato;</w:t>
      </w:r>
    </w:p>
    <w:p w:rsidRPr="00D07BF9" w:rsidR="00D07BF9" w:rsidP="00D07BF9" w:rsidRDefault="00D07BF9" w14:paraId="3EEF7DE6" w14:textId="77777777">
      <w:pPr>
        <w:pStyle w:val="Estilo"/>
        <w:rPr>
          <w:rFonts w:ascii="Verdana" w:hAnsi="Verdana"/>
          <w:sz w:val="20"/>
          <w:szCs w:val="20"/>
        </w:rPr>
      </w:pPr>
    </w:p>
    <w:p w:rsidRPr="00D07BF9" w:rsidR="00D07BF9" w:rsidP="00D07BF9" w:rsidRDefault="00D07BF9" w14:paraId="04BDBBE5" w14:textId="77777777">
      <w:pPr>
        <w:pStyle w:val="Estilo"/>
        <w:rPr>
          <w:rFonts w:ascii="Verdana" w:hAnsi="Verdana"/>
          <w:sz w:val="20"/>
          <w:szCs w:val="20"/>
        </w:rPr>
      </w:pPr>
      <w:r w:rsidRPr="00D07BF9">
        <w:rPr>
          <w:rFonts w:ascii="Verdana" w:hAnsi="Verdana"/>
          <w:sz w:val="20"/>
          <w:szCs w:val="20"/>
        </w:rPr>
        <w:t>X. Programas: Los señalados en la Ley de Planeación para el Estado de Guanajuato; en la Ley para el Ejercicio y Control de los Recursos Públicos para el Estado y los Municipios de Guanajuato; y los contenidos en los presupuestos estatal y municipales del ejercicio fiscal correspondiente;</w:t>
      </w:r>
    </w:p>
    <w:p w:rsidRPr="00D07BF9" w:rsidR="00D07BF9" w:rsidP="00D07BF9" w:rsidRDefault="00D07BF9" w14:paraId="7DDE03C6" w14:textId="77777777">
      <w:pPr>
        <w:pStyle w:val="Estilo"/>
        <w:rPr>
          <w:rFonts w:ascii="Verdana" w:hAnsi="Verdana"/>
          <w:sz w:val="20"/>
          <w:szCs w:val="20"/>
        </w:rPr>
      </w:pPr>
    </w:p>
    <w:p w:rsidRPr="00D07BF9" w:rsidR="00D07BF9" w:rsidP="00D07BF9" w:rsidRDefault="00D07BF9" w14:paraId="4943BCFD" w14:textId="77777777">
      <w:pPr>
        <w:pStyle w:val="Estilo"/>
        <w:rPr>
          <w:rFonts w:ascii="Verdana" w:hAnsi="Verdana"/>
          <w:sz w:val="20"/>
          <w:szCs w:val="20"/>
        </w:rPr>
      </w:pPr>
      <w:r w:rsidRPr="00D07BF9">
        <w:rPr>
          <w:rFonts w:ascii="Verdana" w:hAnsi="Verdana"/>
          <w:sz w:val="20"/>
          <w:szCs w:val="20"/>
        </w:rPr>
        <w:t>XI. Reglamento: El Reglamento de la Ley de Fiscalización Superior.</w:t>
      </w:r>
    </w:p>
    <w:p w:rsidRPr="00D07BF9" w:rsidR="00D07BF9" w:rsidP="00D07BF9" w:rsidRDefault="00D07BF9" w14:paraId="46B60BB4" w14:textId="77777777">
      <w:pPr>
        <w:pStyle w:val="Estilo"/>
        <w:rPr>
          <w:rFonts w:ascii="Verdana" w:hAnsi="Verdana"/>
          <w:sz w:val="20"/>
          <w:szCs w:val="20"/>
        </w:rPr>
      </w:pPr>
    </w:p>
    <w:p w:rsidRPr="00260A46" w:rsidR="00D07BF9" w:rsidP="004D1DA8" w:rsidRDefault="00D07BF9" w14:paraId="50EBD168" w14:textId="77777777">
      <w:pPr>
        <w:pStyle w:val="Estilo"/>
        <w:jc w:val="right"/>
        <w:rPr>
          <w:rFonts w:ascii="Verdana" w:hAnsi="Verdana"/>
          <w:b/>
          <w:bCs/>
          <w:sz w:val="20"/>
          <w:szCs w:val="20"/>
        </w:rPr>
      </w:pPr>
      <w:r w:rsidRPr="00260A46">
        <w:rPr>
          <w:rFonts w:ascii="Verdana" w:hAnsi="Verdana"/>
          <w:b/>
          <w:bCs/>
          <w:sz w:val="20"/>
          <w:szCs w:val="20"/>
        </w:rPr>
        <w:t>Normas complementarias</w:t>
      </w:r>
    </w:p>
    <w:p w:rsidRPr="00D07BF9" w:rsidR="00D07BF9" w:rsidP="00D07BF9" w:rsidRDefault="00D07BF9" w14:paraId="01CD5488" w14:textId="77777777">
      <w:pPr>
        <w:pStyle w:val="Estilo"/>
        <w:rPr>
          <w:rFonts w:ascii="Verdana" w:hAnsi="Verdana"/>
          <w:sz w:val="20"/>
          <w:szCs w:val="20"/>
        </w:rPr>
      </w:pPr>
      <w:r w:rsidRPr="00D07BF9">
        <w:rPr>
          <w:rFonts w:ascii="Verdana" w:hAnsi="Verdana"/>
          <w:sz w:val="20"/>
          <w:szCs w:val="20"/>
        </w:rPr>
        <w:t>Artículo 6. En el Reglamento, los lineamientos, los manuales y las guías se establecerán las disposiciones complementarias para la aplicación de la presente ley.</w:t>
      </w:r>
    </w:p>
    <w:p w:rsidRPr="00D07BF9" w:rsidR="00D07BF9" w:rsidP="00D07BF9" w:rsidRDefault="00D07BF9" w14:paraId="3D309F67" w14:textId="77777777">
      <w:pPr>
        <w:pStyle w:val="Estilo"/>
        <w:rPr>
          <w:rFonts w:ascii="Verdana" w:hAnsi="Verdana"/>
          <w:sz w:val="20"/>
          <w:szCs w:val="20"/>
        </w:rPr>
      </w:pPr>
    </w:p>
    <w:p w:rsidRPr="00D07BF9" w:rsidR="00D07BF9" w:rsidP="00D07BF9" w:rsidRDefault="00D07BF9" w14:paraId="0D5FFC87" w14:textId="77777777">
      <w:pPr>
        <w:pStyle w:val="Estilo"/>
        <w:rPr>
          <w:rFonts w:ascii="Verdana" w:hAnsi="Verdana"/>
          <w:sz w:val="20"/>
          <w:szCs w:val="20"/>
        </w:rPr>
      </w:pPr>
      <w:r w:rsidRPr="00D07BF9">
        <w:rPr>
          <w:rFonts w:ascii="Verdana" w:hAnsi="Verdana"/>
          <w:sz w:val="20"/>
          <w:szCs w:val="20"/>
        </w:rPr>
        <w:t>La Auditoría Superior determinará los procedimientos y métodos de auditoría que estime adecuados para el ejercicio de su función, los cuales deberán publicarse en su página electrónica institucional, así como en el Periódico Oficial del Gobierno del Estado.</w:t>
      </w:r>
    </w:p>
    <w:p w:rsidRPr="00D07BF9" w:rsidR="00D07BF9" w:rsidP="00D07BF9" w:rsidRDefault="00D07BF9" w14:paraId="366783D0" w14:textId="77777777">
      <w:pPr>
        <w:pStyle w:val="Estilo"/>
        <w:rPr>
          <w:rFonts w:ascii="Verdana" w:hAnsi="Verdana"/>
          <w:sz w:val="20"/>
          <w:szCs w:val="20"/>
        </w:rPr>
      </w:pPr>
    </w:p>
    <w:p w:rsidRPr="004D1DA8" w:rsidR="00D07BF9" w:rsidP="004D1DA8" w:rsidRDefault="00D07BF9" w14:paraId="3C3881F4" w14:textId="77777777">
      <w:pPr>
        <w:pStyle w:val="Estilo"/>
        <w:jc w:val="right"/>
        <w:rPr>
          <w:rFonts w:ascii="Verdana" w:hAnsi="Verdana"/>
          <w:b/>
          <w:bCs/>
          <w:sz w:val="20"/>
          <w:szCs w:val="20"/>
        </w:rPr>
      </w:pPr>
      <w:r w:rsidRPr="004D1DA8">
        <w:rPr>
          <w:rFonts w:ascii="Verdana" w:hAnsi="Verdana"/>
          <w:b/>
          <w:bCs/>
          <w:sz w:val="20"/>
          <w:szCs w:val="20"/>
        </w:rPr>
        <w:t>Principios rectores</w:t>
      </w:r>
    </w:p>
    <w:p w:rsidRPr="00D07BF9" w:rsidR="00D07BF9" w:rsidP="00D07BF9" w:rsidRDefault="00D07BF9" w14:paraId="5EDE3ABE" w14:textId="77777777">
      <w:pPr>
        <w:pStyle w:val="Estilo"/>
        <w:rPr>
          <w:rFonts w:ascii="Verdana" w:hAnsi="Verdana"/>
          <w:sz w:val="20"/>
          <w:szCs w:val="20"/>
        </w:rPr>
      </w:pPr>
      <w:r w:rsidRPr="00D07BF9">
        <w:rPr>
          <w:rFonts w:ascii="Verdana" w:hAnsi="Verdana"/>
          <w:sz w:val="20"/>
          <w:szCs w:val="20"/>
        </w:rPr>
        <w:t>Artículo 7. La función de fiscalización se desarrollará conforme a los principios de objetividad, definitividad, confiabilidad, imparcialidad, independencia, transparencia, legalidad y profesionalismo.</w:t>
      </w:r>
    </w:p>
    <w:p w:rsidRPr="00D07BF9" w:rsidR="00D07BF9" w:rsidP="00D07BF9" w:rsidRDefault="00D07BF9" w14:paraId="0E806158" w14:textId="77777777">
      <w:pPr>
        <w:pStyle w:val="Estilo"/>
        <w:rPr>
          <w:rFonts w:ascii="Verdana" w:hAnsi="Verdana"/>
          <w:sz w:val="20"/>
          <w:szCs w:val="20"/>
        </w:rPr>
      </w:pPr>
    </w:p>
    <w:p w:rsidRPr="004D1DA8" w:rsidR="00D07BF9" w:rsidP="004D1DA8" w:rsidRDefault="00D07BF9" w14:paraId="6E232A08" w14:textId="77777777">
      <w:pPr>
        <w:pStyle w:val="Estilo"/>
        <w:jc w:val="right"/>
        <w:rPr>
          <w:rFonts w:ascii="Verdana" w:hAnsi="Verdana"/>
          <w:b/>
          <w:bCs/>
          <w:sz w:val="20"/>
          <w:szCs w:val="20"/>
        </w:rPr>
      </w:pPr>
      <w:r w:rsidRPr="004D1DA8">
        <w:rPr>
          <w:rFonts w:ascii="Verdana" w:hAnsi="Verdana"/>
          <w:b/>
          <w:bCs/>
          <w:sz w:val="20"/>
          <w:szCs w:val="20"/>
        </w:rPr>
        <w:t>Auditorías concomitantes</w:t>
      </w:r>
    </w:p>
    <w:p w:rsidRPr="00D07BF9" w:rsidR="00D07BF9" w:rsidP="00D07BF9" w:rsidRDefault="00D07BF9" w14:paraId="56107688" w14:textId="77777777">
      <w:pPr>
        <w:pStyle w:val="Estilo"/>
        <w:rPr>
          <w:rFonts w:ascii="Verdana" w:hAnsi="Verdana"/>
          <w:sz w:val="20"/>
          <w:szCs w:val="20"/>
        </w:rPr>
      </w:pPr>
      <w:r w:rsidRPr="00D07BF9">
        <w:rPr>
          <w:rFonts w:ascii="Verdana" w:hAnsi="Verdana"/>
          <w:sz w:val="20"/>
          <w:szCs w:val="20"/>
        </w:rPr>
        <w:t>Artículo 8. La Auditoría Superior podrá realizar auditorías de manera concomitante a la ejecución de actos de gobierno y la aplicación de recursos en los casos que así lo acuerde el Congreso.</w:t>
      </w:r>
    </w:p>
    <w:p w:rsidRPr="00D07BF9" w:rsidR="00D07BF9" w:rsidP="00D07BF9" w:rsidRDefault="00D07BF9" w14:paraId="50A02289" w14:textId="77777777">
      <w:pPr>
        <w:pStyle w:val="Estilo"/>
        <w:rPr>
          <w:rFonts w:ascii="Verdana" w:hAnsi="Verdana"/>
          <w:sz w:val="20"/>
          <w:szCs w:val="20"/>
        </w:rPr>
      </w:pPr>
    </w:p>
    <w:p w:rsidRPr="004D1DA8" w:rsidR="00D07BF9" w:rsidP="004D1DA8" w:rsidRDefault="00D07BF9" w14:paraId="2A59C786" w14:textId="77777777">
      <w:pPr>
        <w:pStyle w:val="Estilo"/>
        <w:jc w:val="right"/>
        <w:rPr>
          <w:rFonts w:ascii="Verdana" w:hAnsi="Verdana"/>
          <w:b/>
          <w:bCs/>
          <w:sz w:val="20"/>
          <w:szCs w:val="20"/>
        </w:rPr>
      </w:pPr>
      <w:r w:rsidRPr="004D1DA8">
        <w:rPr>
          <w:rFonts w:ascii="Verdana" w:hAnsi="Verdana"/>
          <w:b/>
          <w:bCs/>
          <w:sz w:val="20"/>
          <w:szCs w:val="20"/>
        </w:rPr>
        <w:t>Acciones para la planeación</w:t>
      </w:r>
    </w:p>
    <w:p w:rsidRPr="00D07BF9" w:rsidR="00D07BF9" w:rsidP="00D07BF9" w:rsidRDefault="00D07BF9" w14:paraId="51482CC8" w14:textId="77777777">
      <w:pPr>
        <w:pStyle w:val="Estilo"/>
        <w:rPr>
          <w:rFonts w:ascii="Verdana" w:hAnsi="Verdana"/>
          <w:sz w:val="20"/>
          <w:szCs w:val="20"/>
        </w:rPr>
      </w:pPr>
      <w:r w:rsidRPr="00D07BF9">
        <w:rPr>
          <w:rFonts w:ascii="Verdana" w:hAnsi="Verdana"/>
          <w:sz w:val="20"/>
          <w:szCs w:val="20"/>
        </w:rPr>
        <w:t>Artículo 9. La Auditoría Superior podrá solicitar información de forma previa a la notificación de la orden de auditoría, por lo que corresponde a los trabajos de planeación de las auditorías, sin que con ello se entienda iniciado el proceso de fiscalización en los términos de esta ley.</w:t>
      </w:r>
    </w:p>
    <w:p w:rsidRPr="00D07BF9" w:rsidR="00D07BF9" w:rsidP="00D07BF9" w:rsidRDefault="00D07BF9" w14:paraId="58EACAF9" w14:textId="77777777">
      <w:pPr>
        <w:pStyle w:val="Estilo"/>
        <w:rPr>
          <w:rFonts w:ascii="Verdana" w:hAnsi="Verdana"/>
          <w:sz w:val="20"/>
          <w:szCs w:val="20"/>
        </w:rPr>
      </w:pPr>
    </w:p>
    <w:p w:rsidRPr="00D07BF9" w:rsidR="00D07BF9" w:rsidP="00D07BF9" w:rsidRDefault="00D07BF9" w14:paraId="427995E3" w14:textId="77777777">
      <w:pPr>
        <w:pStyle w:val="Estilo"/>
        <w:rPr>
          <w:rFonts w:ascii="Verdana" w:hAnsi="Verdana"/>
          <w:sz w:val="20"/>
          <w:szCs w:val="20"/>
        </w:rPr>
      </w:pPr>
      <w:r w:rsidRPr="00D07BF9">
        <w:rPr>
          <w:rFonts w:ascii="Verdana" w:hAnsi="Verdana"/>
          <w:sz w:val="20"/>
          <w:szCs w:val="20"/>
        </w:rPr>
        <w:lastRenderedPageBreak/>
        <w:t>No se considera inicio del proceso de fiscalización, el aseguramiento o resguardo de documentos, datos o equipos que los contengan, en los casos señalados en esta ley o en su Reglamento.</w:t>
      </w:r>
    </w:p>
    <w:p w:rsidRPr="00D07BF9" w:rsidR="00D07BF9" w:rsidP="00D07BF9" w:rsidRDefault="00D07BF9" w14:paraId="4D7800BA" w14:textId="77777777">
      <w:pPr>
        <w:pStyle w:val="Estilo"/>
        <w:rPr>
          <w:rFonts w:ascii="Verdana" w:hAnsi="Verdana"/>
          <w:sz w:val="20"/>
          <w:szCs w:val="20"/>
        </w:rPr>
      </w:pPr>
    </w:p>
    <w:p w:rsidRPr="004D1DA8" w:rsidR="00D07BF9" w:rsidP="004D1DA8" w:rsidRDefault="00D07BF9" w14:paraId="0FC0C28E" w14:textId="77777777">
      <w:pPr>
        <w:pStyle w:val="Estilo"/>
        <w:jc w:val="right"/>
        <w:rPr>
          <w:rFonts w:ascii="Verdana" w:hAnsi="Verdana"/>
          <w:b/>
          <w:bCs/>
          <w:sz w:val="20"/>
          <w:szCs w:val="20"/>
        </w:rPr>
      </w:pPr>
      <w:r w:rsidRPr="004D1DA8">
        <w:rPr>
          <w:rFonts w:ascii="Verdana" w:hAnsi="Verdana"/>
          <w:b/>
          <w:bCs/>
          <w:sz w:val="20"/>
          <w:szCs w:val="20"/>
        </w:rPr>
        <w:t>Revisión de la información de ejercicios anteriores</w:t>
      </w:r>
    </w:p>
    <w:p w:rsidRPr="00D07BF9" w:rsidR="00D07BF9" w:rsidP="00D07BF9" w:rsidRDefault="00D07BF9" w14:paraId="70F47309" w14:textId="77777777">
      <w:pPr>
        <w:pStyle w:val="Estilo"/>
        <w:rPr>
          <w:rFonts w:ascii="Verdana" w:hAnsi="Verdana"/>
          <w:sz w:val="20"/>
          <w:szCs w:val="20"/>
        </w:rPr>
      </w:pPr>
      <w:r w:rsidRPr="00D07BF9">
        <w:rPr>
          <w:rFonts w:ascii="Verdana" w:hAnsi="Verdana"/>
          <w:sz w:val="20"/>
          <w:szCs w:val="20"/>
        </w:rPr>
        <w:t>Artículo 10. La Auditoría Superior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Las observaciones, acciones promovidas y recomendaciones que la Auditoría Superior emita, sólo podrán referirse al ejercicio de los recursos públicos de la cuenta pública en revisión.</w:t>
      </w:r>
    </w:p>
    <w:p w:rsidRPr="00D07BF9" w:rsidR="00D07BF9" w:rsidP="00D07BF9" w:rsidRDefault="00D07BF9" w14:paraId="6CEE1BF9" w14:textId="77777777">
      <w:pPr>
        <w:pStyle w:val="Estilo"/>
        <w:rPr>
          <w:rFonts w:ascii="Verdana" w:hAnsi="Verdana"/>
          <w:sz w:val="20"/>
          <w:szCs w:val="20"/>
        </w:rPr>
      </w:pPr>
    </w:p>
    <w:p w:rsidRPr="004D1DA8" w:rsidR="00D07BF9" w:rsidP="004D1DA8" w:rsidRDefault="00D07BF9" w14:paraId="05B41B78" w14:textId="77777777">
      <w:pPr>
        <w:pStyle w:val="Estilo"/>
        <w:jc w:val="right"/>
        <w:rPr>
          <w:rFonts w:ascii="Verdana" w:hAnsi="Verdana"/>
          <w:b/>
          <w:bCs/>
          <w:sz w:val="20"/>
          <w:szCs w:val="20"/>
        </w:rPr>
      </w:pPr>
      <w:r w:rsidRPr="004D1DA8">
        <w:rPr>
          <w:rFonts w:ascii="Verdana" w:hAnsi="Verdana"/>
          <w:b/>
          <w:bCs/>
          <w:sz w:val="20"/>
          <w:szCs w:val="20"/>
        </w:rPr>
        <w:t>Reserva de la información</w:t>
      </w:r>
    </w:p>
    <w:p w:rsidRPr="00D07BF9" w:rsidR="00D07BF9" w:rsidP="00D07BF9" w:rsidRDefault="00D07BF9" w14:paraId="698E6F62" w14:textId="77777777">
      <w:pPr>
        <w:pStyle w:val="Estilo"/>
        <w:rPr>
          <w:rFonts w:ascii="Verdana" w:hAnsi="Verdana"/>
          <w:sz w:val="20"/>
          <w:szCs w:val="20"/>
        </w:rPr>
      </w:pPr>
      <w:r w:rsidRPr="00D07BF9">
        <w:rPr>
          <w:rFonts w:ascii="Verdana" w:hAnsi="Verdana"/>
          <w:sz w:val="20"/>
          <w:szCs w:val="20"/>
        </w:rPr>
        <w:t>Artículo 11. Los servidores públicos de la Auditoría Superior, así como los prestadores de servicios profesionales externos que contrate, deberán guardar reserva y confidencialidad sobre las actuaciones, observaciones e información de que tengan conocimiento, excepto en los casos en que sean requeridos expresamente por la autoridad. La violación a esta disposición se sancionará en los términos que disponga esta ley y demás disposiciones.</w:t>
      </w:r>
    </w:p>
    <w:p w:rsidRPr="00D07BF9" w:rsidR="00D07BF9" w:rsidP="00D07BF9" w:rsidRDefault="00D07BF9" w14:paraId="1853E390" w14:textId="77777777">
      <w:pPr>
        <w:pStyle w:val="Estilo"/>
        <w:rPr>
          <w:rFonts w:ascii="Verdana" w:hAnsi="Verdana"/>
          <w:sz w:val="20"/>
          <w:szCs w:val="20"/>
        </w:rPr>
      </w:pPr>
    </w:p>
    <w:p w:rsidRPr="004D1DA8" w:rsidR="00D07BF9" w:rsidP="004D1DA8" w:rsidRDefault="00D07BF9" w14:paraId="654DC06F" w14:textId="77777777">
      <w:pPr>
        <w:pStyle w:val="Estilo"/>
        <w:jc w:val="right"/>
        <w:rPr>
          <w:rFonts w:ascii="Verdana" w:hAnsi="Verdana"/>
          <w:b/>
          <w:bCs/>
          <w:sz w:val="20"/>
          <w:szCs w:val="20"/>
        </w:rPr>
      </w:pPr>
      <w:r w:rsidRPr="004D1DA8">
        <w:rPr>
          <w:rFonts w:ascii="Verdana" w:hAnsi="Verdana"/>
          <w:b/>
          <w:bCs/>
          <w:sz w:val="20"/>
          <w:szCs w:val="20"/>
        </w:rPr>
        <w:t>Auditorías coordinadas</w:t>
      </w:r>
    </w:p>
    <w:p w:rsidRPr="00D07BF9" w:rsidR="00D07BF9" w:rsidP="00D07BF9" w:rsidRDefault="00D07BF9" w14:paraId="72DC5A35" w14:textId="77777777">
      <w:pPr>
        <w:pStyle w:val="Estilo"/>
        <w:rPr>
          <w:rFonts w:ascii="Verdana" w:hAnsi="Verdana"/>
          <w:sz w:val="20"/>
          <w:szCs w:val="20"/>
        </w:rPr>
      </w:pPr>
      <w:r w:rsidRPr="00D07BF9">
        <w:rPr>
          <w:rFonts w:ascii="Verdana" w:hAnsi="Verdana"/>
          <w:sz w:val="20"/>
          <w:szCs w:val="20"/>
        </w:rPr>
        <w:t>Artículo 12. Los procedimientos de las auditorías coordinadas se sujetarán a los convenios y acuerdos que suscriba la Auditoría Superior con otros entes de fiscalización u órganos de control y en su defecto a lo dispuesto en esta ley.</w:t>
      </w:r>
    </w:p>
    <w:p w:rsidRPr="00D07BF9" w:rsidR="00D07BF9" w:rsidP="00D07BF9" w:rsidRDefault="00D07BF9" w14:paraId="0A7D9513" w14:textId="77777777">
      <w:pPr>
        <w:pStyle w:val="Estilo"/>
        <w:rPr>
          <w:rFonts w:ascii="Verdana" w:hAnsi="Verdana"/>
          <w:sz w:val="20"/>
          <w:szCs w:val="20"/>
        </w:rPr>
      </w:pPr>
    </w:p>
    <w:p w:rsidRPr="004D1DA8" w:rsidR="00D07BF9" w:rsidP="004D1DA8" w:rsidRDefault="00D07BF9" w14:paraId="0ECCAA16" w14:textId="77777777">
      <w:pPr>
        <w:pStyle w:val="Estilo"/>
        <w:jc w:val="right"/>
        <w:rPr>
          <w:rFonts w:ascii="Verdana" w:hAnsi="Verdana"/>
          <w:b/>
          <w:bCs/>
          <w:sz w:val="20"/>
          <w:szCs w:val="20"/>
        </w:rPr>
      </w:pPr>
      <w:r w:rsidRPr="004D1DA8">
        <w:rPr>
          <w:rFonts w:ascii="Verdana" w:hAnsi="Verdana"/>
          <w:b/>
          <w:bCs/>
          <w:sz w:val="20"/>
          <w:szCs w:val="20"/>
        </w:rPr>
        <w:t>Conflicto de intereses</w:t>
      </w:r>
    </w:p>
    <w:p w:rsidRPr="00D07BF9" w:rsidR="00D07BF9" w:rsidP="00D07BF9" w:rsidRDefault="00D07BF9" w14:paraId="5CA5B999" w14:textId="77777777">
      <w:pPr>
        <w:pStyle w:val="Estilo"/>
        <w:rPr>
          <w:rFonts w:ascii="Verdana" w:hAnsi="Verdana"/>
          <w:sz w:val="20"/>
          <w:szCs w:val="20"/>
        </w:rPr>
      </w:pPr>
      <w:r w:rsidRPr="00D07BF9">
        <w:rPr>
          <w:rFonts w:ascii="Verdana" w:hAnsi="Verdana"/>
          <w:sz w:val="20"/>
          <w:szCs w:val="20"/>
        </w:rPr>
        <w:t>Artículo 13. Los servidores públicos de la Auditoría Superior tendrán la obligación de abstenerse de conocer por sí o por interpósita persona, asuntos referidos a los sujetos de fiscalización en los que hubiesen prestado servicios, de cualquier índole o naturaleza, o con los que hubieran mantenido cualquier clase de relación contractual, durante el periodo de tiempo que abarque la fiscalización de que se trate, o bien, cuando exista relación de matrimonio, concubinato o parentesco con los titulares y obligados a integrar y remitir la cuenta pública de los sujetos de fiscalización, por consanguinidad sin limitación de grado en línea recta o hasta el cuarto grado en línea colateral, por afinidad hasta el segundo grado, o cuando se trate de parientes adoptivos.</w:t>
      </w:r>
    </w:p>
    <w:p w:rsidRPr="00D07BF9" w:rsidR="00D07BF9" w:rsidP="00D07BF9" w:rsidRDefault="00D07BF9" w14:paraId="5CCE17D8" w14:textId="77777777">
      <w:pPr>
        <w:pStyle w:val="Estilo"/>
        <w:rPr>
          <w:rFonts w:ascii="Verdana" w:hAnsi="Verdana"/>
          <w:sz w:val="20"/>
          <w:szCs w:val="20"/>
        </w:rPr>
      </w:pPr>
    </w:p>
    <w:p w:rsidRPr="004D1DA8" w:rsidR="00D07BF9" w:rsidP="004D1DA8" w:rsidRDefault="00D07BF9" w14:paraId="69759D92" w14:textId="77777777">
      <w:pPr>
        <w:pStyle w:val="Estilo"/>
        <w:jc w:val="right"/>
        <w:rPr>
          <w:rFonts w:ascii="Verdana" w:hAnsi="Verdana"/>
          <w:b/>
          <w:bCs/>
          <w:sz w:val="20"/>
          <w:szCs w:val="20"/>
        </w:rPr>
      </w:pPr>
      <w:r w:rsidRPr="004D1DA8">
        <w:rPr>
          <w:rFonts w:ascii="Verdana" w:hAnsi="Verdana"/>
          <w:b/>
          <w:bCs/>
          <w:sz w:val="20"/>
          <w:szCs w:val="20"/>
        </w:rPr>
        <w:t>Representantes</w:t>
      </w:r>
    </w:p>
    <w:p w:rsidRPr="00D07BF9" w:rsidR="00D07BF9" w:rsidP="00D07BF9" w:rsidRDefault="00D07BF9" w14:paraId="602ADDA7" w14:textId="77777777">
      <w:pPr>
        <w:pStyle w:val="Estilo"/>
        <w:rPr>
          <w:rFonts w:ascii="Verdana" w:hAnsi="Verdana"/>
          <w:sz w:val="20"/>
          <w:szCs w:val="20"/>
        </w:rPr>
      </w:pPr>
      <w:r w:rsidRPr="00D07BF9">
        <w:rPr>
          <w:rFonts w:ascii="Verdana" w:hAnsi="Verdana"/>
          <w:sz w:val="20"/>
          <w:szCs w:val="20"/>
        </w:rPr>
        <w:t xml:space="preserve">Artículo 14. Las auditorías que se efectúen en los términos de esta </w:t>
      </w:r>
      <w:proofErr w:type="gramStart"/>
      <w:r w:rsidRPr="00D07BF9">
        <w:rPr>
          <w:rFonts w:ascii="Verdana" w:hAnsi="Verdana"/>
          <w:sz w:val="20"/>
          <w:szCs w:val="20"/>
        </w:rPr>
        <w:t>ley,</w:t>
      </w:r>
      <w:proofErr w:type="gramEnd"/>
      <w:r w:rsidRPr="00D07BF9">
        <w:rPr>
          <w:rFonts w:ascii="Verdana" w:hAnsi="Verdana"/>
          <w:sz w:val="20"/>
          <w:szCs w:val="20"/>
        </w:rPr>
        <w:t xml:space="preserve"> se practicarán por el personal expresamente comisionado para tal efecto por la Auditoría Superior o mediante la contratación de despachos o profesionales independientes, habilitados expresamente, siempre y cuando no exista conflicto de intereses.</w:t>
      </w:r>
    </w:p>
    <w:p w:rsidRPr="00D07BF9" w:rsidR="00D07BF9" w:rsidP="00D07BF9" w:rsidRDefault="00D07BF9" w14:paraId="678633EC" w14:textId="77777777">
      <w:pPr>
        <w:pStyle w:val="Estilo"/>
        <w:rPr>
          <w:rFonts w:ascii="Verdana" w:hAnsi="Verdana"/>
          <w:sz w:val="20"/>
          <w:szCs w:val="20"/>
        </w:rPr>
      </w:pPr>
    </w:p>
    <w:p w:rsidRPr="00D07BF9" w:rsidR="00D07BF9" w:rsidP="00D07BF9" w:rsidRDefault="00D07BF9" w14:paraId="2282BFED" w14:textId="77777777">
      <w:pPr>
        <w:pStyle w:val="Estilo"/>
        <w:rPr>
          <w:rFonts w:ascii="Verdana" w:hAnsi="Verdana"/>
          <w:sz w:val="20"/>
          <w:szCs w:val="20"/>
        </w:rPr>
      </w:pPr>
      <w:r w:rsidRPr="00D07BF9">
        <w:rPr>
          <w:rFonts w:ascii="Verdana" w:hAnsi="Verdana"/>
          <w:sz w:val="20"/>
          <w:szCs w:val="20"/>
        </w:rPr>
        <w:t xml:space="preserve">Las personas a que se refiere este </w:t>
      </w:r>
      <w:proofErr w:type="gramStart"/>
      <w:r w:rsidRPr="00D07BF9">
        <w:rPr>
          <w:rFonts w:ascii="Verdana" w:hAnsi="Verdana"/>
          <w:sz w:val="20"/>
          <w:szCs w:val="20"/>
        </w:rPr>
        <w:t>artículo,</w:t>
      </w:r>
      <w:proofErr w:type="gramEnd"/>
      <w:r w:rsidRPr="00D07BF9">
        <w:rPr>
          <w:rFonts w:ascii="Verdana" w:hAnsi="Verdana"/>
          <w:sz w:val="20"/>
          <w:szCs w:val="20"/>
        </w:rPr>
        <w:t xml:space="preserve"> tendrán el carácter de representantes de la Auditoría Superior en lo concerniente a la comisión conferida. Para tal efecto, deberán presentar previamente la orden de auditoría e identificarse plenamente como personal actuante.</w:t>
      </w:r>
    </w:p>
    <w:p w:rsidRPr="00D07BF9" w:rsidR="00D07BF9" w:rsidP="00D07BF9" w:rsidRDefault="00D07BF9" w14:paraId="0D099CC0" w14:textId="77777777">
      <w:pPr>
        <w:pStyle w:val="Estilo"/>
        <w:rPr>
          <w:rFonts w:ascii="Verdana" w:hAnsi="Verdana"/>
          <w:sz w:val="20"/>
          <w:szCs w:val="20"/>
        </w:rPr>
      </w:pPr>
    </w:p>
    <w:p w:rsidRPr="004D1DA8" w:rsidR="00D07BF9" w:rsidP="004D1DA8" w:rsidRDefault="00D07BF9" w14:paraId="44CF2753" w14:textId="77777777">
      <w:pPr>
        <w:pStyle w:val="Estilo"/>
        <w:jc w:val="right"/>
        <w:rPr>
          <w:rFonts w:ascii="Verdana" w:hAnsi="Verdana"/>
          <w:b/>
          <w:bCs/>
          <w:sz w:val="20"/>
          <w:szCs w:val="20"/>
        </w:rPr>
      </w:pPr>
      <w:r w:rsidRPr="004D1DA8">
        <w:rPr>
          <w:rFonts w:ascii="Verdana" w:hAnsi="Verdana"/>
          <w:b/>
          <w:bCs/>
          <w:sz w:val="20"/>
          <w:szCs w:val="20"/>
        </w:rPr>
        <w:t xml:space="preserve">Uso de </w:t>
      </w:r>
      <w:proofErr w:type="gramStart"/>
      <w:r w:rsidRPr="004D1DA8">
        <w:rPr>
          <w:rFonts w:ascii="Verdana" w:hAnsi="Verdana"/>
          <w:b/>
          <w:bCs/>
          <w:sz w:val="20"/>
          <w:szCs w:val="20"/>
        </w:rPr>
        <w:t>medios electrónicos y firma electrónica</w:t>
      </w:r>
      <w:proofErr w:type="gramEnd"/>
    </w:p>
    <w:p w:rsidRPr="00D07BF9" w:rsidR="00D07BF9" w:rsidP="00D07BF9" w:rsidRDefault="00D07BF9" w14:paraId="5A24701F" w14:textId="77777777">
      <w:pPr>
        <w:pStyle w:val="Estilo"/>
        <w:rPr>
          <w:rFonts w:ascii="Verdana" w:hAnsi="Verdana"/>
          <w:sz w:val="20"/>
          <w:szCs w:val="20"/>
        </w:rPr>
      </w:pPr>
      <w:r w:rsidRPr="00D07BF9">
        <w:rPr>
          <w:rFonts w:ascii="Verdana" w:hAnsi="Verdana"/>
          <w:sz w:val="20"/>
          <w:szCs w:val="20"/>
        </w:rPr>
        <w:t xml:space="preserve">Artículo 15. La entrega de la cuenta pública, la información financiera trimestral y cualquier otra obligación a cargo de los sujetos de fiscalización, así como la interposición del recurso de reconsideración, podrán llevarse a cabo en lo conducente, a través de </w:t>
      </w:r>
      <w:r w:rsidRPr="00D07BF9">
        <w:rPr>
          <w:rFonts w:ascii="Verdana" w:hAnsi="Verdana"/>
          <w:sz w:val="20"/>
          <w:szCs w:val="20"/>
        </w:rPr>
        <w:lastRenderedPageBreak/>
        <w:t>medios remotos de comunicación electrónica, en los términos establecidos en la Ley Sobre el Uso de Medios Electrónicos y Firma Electrónica para el Estado de Guanajuato y sus Municipios, así como en los lineamientos que para tal efecto emita la Auditoría Superior.</w:t>
      </w:r>
    </w:p>
    <w:p w:rsidRPr="00D07BF9" w:rsidR="00D07BF9" w:rsidP="00D07BF9" w:rsidRDefault="00D07BF9" w14:paraId="42EE2E5A" w14:textId="77777777">
      <w:pPr>
        <w:pStyle w:val="Estilo"/>
        <w:rPr>
          <w:rFonts w:ascii="Verdana" w:hAnsi="Verdana"/>
          <w:sz w:val="20"/>
          <w:szCs w:val="20"/>
        </w:rPr>
      </w:pPr>
    </w:p>
    <w:p w:rsidRPr="00D07BF9" w:rsidR="00D07BF9" w:rsidP="00D07BF9" w:rsidRDefault="00D07BF9" w14:paraId="46750B69" w14:textId="77777777">
      <w:pPr>
        <w:pStyle w:val="Estilo"/>
        <w:rPr>
          <w:rFonts w:ascii="Verdana" w:hAnsi="Verdana"/>
          <w:sz w:val="20"/>
          <w:szCs w:val="20"/>
        </w:rPr>
      </w:pPr>
      <w:r w:rsidRPr="00D07BF9">
        <w:rPr>
          <w:rFonts w:ascii="Verdana" w:hAnsi="Verdana"/>
          <w:sz w:val="20"/>
          <w:szCs w:val="20"/>
        </w:rPr>
        <w:t>El pliego de observaciones, los informes de resultados y cualquier otra notificación o comunicación a cargo de la Auditoría Superior se podrá llevar a cabo a través de medios electrónicos, en los términos señalados en el párrafo anterior.</w:t>
      </w:r>
    </w:p>
    <w:p w:rsidRPr="00D07BF9" w:rsidR="00D07BF9" w:rsidP="00D07BF9" w:rsidRDefault="00D07BF9" w14:paraId="13439762" w14:textId="77777777">
      <w:pPr>
        <w:pStyle w:val="Estilo"/>
        <w:rPr>
          <w:rFonts w:ascii="Verdana" w:hAnsi="Verdana"/>
          <w:sz w:val="20"/>
          <w:szCs w:val="20"/>
        </w:rPr>
      </w:pPr>
    </w:p>
    <w:p w:rsidRPr="00D07BF9" w:rsidR="00D07BF9" w:rsidP="00D07BF9" w:rsidRDefault="00D07BF9" w14:paraId="23135515" w14:textId="77777777">
      <w:pPr>
        <w:pStyle w:val="Estilo"/>
        <w:rPr>
          <w:rFonts w:ascii="Verdana" w:hAnsi="Verdana"/>
          <w:sz w:val="20"/>
          <w:szCs w:val="20"/>
        </w:rPr>
      </w:pPr>
    </w:p>
    <w:p w:rsidRPr="004D1DA8" w:rsidR="00D07BF9" w:rsidP="004D1DA8" w:rsidRDefault="00D07BF9" w14:paraId="37B3CF3C" w14:textId="77777777">
      <w:pPr>
        <w:pStyle w:val="Estilo"/>
        <w:jc w:val="center"/>
        <w:rPr>
          <w:rFonts w:ascii="Verdana" w:hAnsi="Verdana"/>
          <w:b/>
          <w:bCs/>
          <w:sz w:val="20"/>
          <w:szCs w:val="20"/>
        </w:rPr>
      </w:pPr>
      <w:r w:rsidRPr="004D1DA8">
        <w:rPr>
          <w:rFonts w:ascii="Verdana" w:hAnsi="Verdana"/>
          <w:b/>
          <w:bCs/>
          <w:sz w:val="20"/>
          <w:szCs w:val="20"/>
        </w:rPr>
        <w:t>Capítulo II</w:t>
      </w:r>
    </w:p>
    <w:p w:rsidRPr="004D1DA8" w:rsidR="00D07BF9" w:rsidP="004D1DA8" w:rsidRDefault="00D07BF9" w14:paraId="1D0D403E" w14:textId="77777777">
      <w:pPr>
        <w:pStyle w:val="Estilo"/>
        <w:jc w:val="center"/>
        <w:rPr>
          <w:rFonts w:ascii="Verdana" w:hAnsi="Verdana"/>
          <w:b/>
          <w:bCs/>
          <w:sz w:val="20"/>
          <w:szCs w:val="20"/>
        </w:rPr>
      </w:pPr>
      <w:r w:rsidRPr="004D1DA8">
        <w:rPr>
          <w:rFonts w:ascii="Verdana" w:hAnsi="Verdana"/>
          <w:b/>
          <w:bCs/>
          <w:sz w:val="20"/>
          <w:szCs w:val="20"/>
        </w:rPr>
        <w:t>Programa General de Fiscalización</w:t>
      </w:r>
    </w:p>
    <w:p w:rsidRPr="00D07BF9" w:rsidR="00D07BF9" w:rsidP="00D07BF9" w:rsidRDefault="00D07BF9" w14:paraId="20664F4F" w14:textId="77777777">
      <w:pPr>
        <w:pStyle w:val="Estilo"/>
        <w:rPr>
          <w:rFonts w:ascii="Verdana" w:hAnsi="Verdana"/>
          <w:sz w:val="20"/>
          <w:szCs w:val="20"/>
        </w:rPr>
      </w:pPr>
    </w:p>
    <w:p w:rsidRPr="004D1DA8" w:rsidR="00D07BF9" w:rsidP="004D1DA8" w:rsidRDefault="00D07BF9" w14:paraId="0FFD59CD" w14:textId="77777777">
      <w:pPr>
        <w:pStyle w:val="Estilo"/>
        <w:jc w:val="right"/>
        <w:rPr>
          <w:rFonts w:ascii="Verdana" w:hAnsi="Verdana"/>
          <w:b/>
          <w:bCs/>
          <w:sz w:val="20"/>
          <w:szCs w:val="20"/>
        </w:rPr>
      </w:pPr>
      <w:r w:rsidRPr="004D1DA8">
        <w:rPr>
          <w:rFonts w:ascii="Verdana" w:hAnsi="Verdana"/>
          <w:b/>
          <w:bCs/>
          <w:sz w:val="20"/>
          <w:szCs w:val="20"/>
        </w:rPr>
        <w:t>Programa General de Fiscalización</w:t>
      </w:r>
    </w:p>
    <w:p w:rsidRPr="00D07BF9" w:rsidR="00D07BF9" w:rsidP="00D07BF9" w:rsidRDefault="00D07BF9" w14:paraId="056AC79F" w14:textId="77777777">
      <w:pPr>
        <w:pStyle w:val="Estilo"/>
        <w:rPr>
          <w:rFonts w:ascii="Verdana" w:hAnsi="Verdana"/>
          <w:sz w:val="20"/>
          <w:szCs w:val="20"/>
        </w:rPr>
      </w:pPr>
      <w:r w:rsidRPr="00D07BF9">
        <w:rPr>
          <w:rFonts w:ascii="Verdana" w:hAnsi="Verdana"/>
          <w:sz w:val="20"/>
          <w:szCs w:val="20"/>
        </w:rPr>
        <w:t>Artículo 16. La Auditoría Superior establecerá un Programa General de Fiscalización, señalando los actos y sujetos de fiscalización, los que serán objeto de auditoría o revisión conforme a los criterios y normas que se establezcan en el Reglamento.</w:t>
      </w:r>
    </w:p>
    <w:p w:rsidRPr="00D07BF9" w:rsidR="00D07BF9" w:rsidP="00D07BF9" w:rsidRDefault="00D07BF9" w14:paraId="6C78D070" w14:textId="77777777">
      <w:pPr>
        <w:pStyle w:val="Estilo"/>
        <w:rPr>
          <w:rFonts w:ascii="Verdana" w:hAnsi="Verdana"/>
          <w:sz w:val="20"/>
          <w:szCs w:val="20"/>
        </w:rPr>
      </w:pPr>
    </w:p>
    <w:p w:rsidRPr="004D1DA8" w:rsidR="00D07BF9" w:rsidP="004D1DA8" w:rsidRDefault="00D07BF9" w14:paraId="71E142EF" w14:textId="77777777">
      <w:pPr>
        <w:pStyle w:val="Estilo"/>
        <w:jc w:val="right"/>
        <w:rPr>
          <w:rFonts w:ascii="Verdana" w:hAnsi="Verdana"/>
          <w:b/>
          <w:bCs/>
          <w:sz w:val="20"/>
          <w:szCs w:val="20"/>
        </w:rPr>
      </w:pPr>
      <w:r w:rsidRPr="004D1DA8">
        <w:rPr>
          <w:rFonts w:ascii="Verdana" w:hAnsi="Verdana"/>
          <w:b/>
          <w:bCs/>
          <w:sz w:val="20"/>
          <w:szCs w:val="20"/>
        </w:rPr>
        <w:t>Auditorías aprobadas por el Congreso</w:t>
      </w:r>
    </w:p>
    <w:p w:rsidRPr="00D07BF9" w:rsidR="00D07BF9" w:rsidP="00D07BF9" w:rsidRDefault="00D07BF9" w14:paraId="69D1BA8A" w14:textId="77777777">
      <w:pPr>
        <w:pStyle w:val="Estilo"/>
        <w:rPr>
          <w:rFonts w:ascii="Verdana" w:hAnsi="Verdana"/>
          <w:sz w:val="20"/>
          <w:szCs w:val="20"/>
        </w:rPr>
      </w:pPr>
      <w:r w:rsidRPr="00D07BF9">
        <w:rPr>
          <w:rFonts w:ascii="Verdana" w:hAnsi="Verdana"/>
          <w:sz w:val="20"/>
          <w:szCs w:val="20"/>
        </w:rPr>
        <w:t>Artículo 17. El Programa General de Fiscalización podrá ser adicionado por acuerdo de las dos terceras partes del Pleno del Congreso.</w:t>
      </w:r>
    </w:p>
    <w:p w:rsidRPr="00D07BF9" w:rsidR="00D07BF9" w:rsidP="00D07BF9" w:rsidRDefault="00D07BF9" w14:paraId="2DEE39BE" w14:textId="77777777">
      <w:pPr>
        <w:pStyle w:val="Estilo"/>
        <w:rPr>
          <w:rFonts w:ascii="Verdana" w:hAnsi="Verdana"/>
          <w:sz w:val="20"/>
          <w:szCs w:val="20"/>
        </w:rPr>
      </w:pPr>
    </w:p>
    <w:p w:rsidRPr="00D07BF9" w:rsidR="00D07BF9" w:rsidP="00D07BF9" w:rsidRDefault="00D07BF9" w14:paraId="272A004C" w14:textId="77777777">
      <w:pPr>
        <w:pStyle w:val="Estilo"/>
        <w:rPr>
          <w:rFonts w:ascii="Verdana" w:hAnsi="Verdana"/>
          <w:sz w:val="20"/>
          <w:szCs w:val="20"/>
        </w:rPr>
      </w:pPr>
      <w:r w:rsidRPr="00D07BF9">
        <w:rPr>
          <w:rFonts w:ascii="Verdana" w:hAnsi="Verdana"/>
          <w:sz w:val="20"/>
          <w:szCs w:val="20"/>
        </w:rPr>
        <w:t>El acuerdo señalará el sujeto de fiscalización, tipo, alcance, periodo y el momento en que la auditoría deba iniciarse.</w:t>
      </w:r>
    </w:p>
    <w:p w:rsidRPr="00D07BF9" w:rsidR="00D07BF9" w:rsidP="00D07BF9" w:rsidRDefault="00D07BF9" w14:paraId="115A2806" w14:textId="77777777">
      <w:pPr>
        <w:pStyle w:val="Estilo"/>
        <w:rPr>
          <w:rFonts w:ascii="Verdana" w:hAnsi="Verdana"/>
          <w:sz w:val="20"/>
          <w:szCs w:val="20"/>
        </w:rPr>
      </w:pPr>
    </w:p>
    <w:p w:rsidRPr="00260A46" w:rsidR="00D07BF9" w:rsidP="00260A46" w:rsidRDefault="00D07BF9" w14:paraId="4ABE1B70" w14:textId="77777777">
      <w:pPr>
        <w:pStyle w:val="Estilo"/>
        <w:jc w:val="right"/>
        <w:rPr>
          <w:rFonts w:ascii="Verdana" w:hAnsi="Verdana"/>
          <w:b/>
          <w:bCs/>
          <w:sz w:val="20"/>
          <w:szCs w:val="20"/>
        </w:rPr>
      </w:pPr>
      <w:r w:rsidRPr="00260A46">
        <w:rPr>
          <w:rFonts w:ascii="Verdana" w:hAnsi="Verdana"/>
          <w:b/>
          <w:bCs/>
          <w:sz w:val="20"/>
          <w:szCs w:val="20"/>
        </w:rPr>
        <w:t>Emisión y difusión del programa</w:t>
      </w:r>
    </w:p>
    <w:p w:rsidRPr="00D07BF9" w:rsidR="00D07BF9" w:rsidP="00D07BF9" w:rsidRDefault="00D07BF9" w14:paraId="7A2F666F" w14:textId="77777777">
      <w:pPr>
        <w:pStyle w:val="Estilo"/>
        <w:rPr>
          <w:rFonts w:ascii="Verdana" w:hAnsi="Verdana"/>
          <w:sz w:val="20"/>
          <w:szCs w:val="20"/>
        </w:rPr>
      </w:pPr>
      <w:r w:rsidRPr="00D07BF9">
        <w:rPr>
          <w:rFonts w:ascii="Verdana" w:hAnsi="Verdana"/>
          <w:sz w:val="20"/>
          <w:szCs w:val="20"/>
        </w:rPr>
        <w:t>Artículo 18. El Programa General de Fiscalización deberá emitirse en el primer bimestre del año, el cual tendrá carácter público y deberá difundirse a través de la página de internet de la Auditoría Superior. Asimismo, al avance del Programa General de Fiscalización deberá darse la misma difusión.</w:t>
      </w:r>
    </w:p>
    <w:p w:rsidRPr="00D07BF9" w:rsidR="00D07BF9" w:rsidP="00D07BF9" w:rsidRDefault="00D07BF9" w14:paraId="0779ACDC" w14:textId="77777777">
      <w:pPr>
        <w:pStyle w:val="Estilo"/>
        <w:rPr>
          <w:rFonts w:ascii="Verdana" w:hAnsi="Verdana"/>
          <w:sz w:val="20"/>
          <w:szCs w:val="20"/>
        </w:rPr>
      </w:pPr>
    </w:p>
    <w:p w:rsidRPr="00D07BF9" w:rsidR="00D07BF9" w:rsidP="00D07BF9" w:rsidRDefault="00D07BF9" w14:paraId="61E92333" w14:textId="77777777">
      <w:pPr>
        <w:pStyle w:val="Estilo"/>
        <w:rPr>
          <w:rFonts w:ascii="Verdana" w:hAnsi="Verdana"/>
          <w:sz w:val="20"/>
          <w:szCs w:val="20"/>
        </w:rPr>
      </w:pPr>
    </w:p>
    <w:p w:rsidRPr="004D1DA8" w:rsidR="00D07BF9" w:rsidP="004D1DA8" w:rsidRDefault="00D07BF9" w14:paraId="47F84CF8" w14:textId="77777777">
      <w:pPr>
        <w:pStyle w:val="Estilo"/>
        <w:jc w:val="center"/>
        <w:rPr>
          <w:rFonts w:ascii="Verdana" w:hAnsi="Verdana"/>
          <w:b/>
          <w:bCs/>
          <w:sz w:val="20"/>
          <w:szCs w:val="20"/>
        </w:rPr>
      </w:pPr>
      <w:r w:rsidRPr="004D1DA8">
        <w:rPr>
          <w:rFonts w:ascii="Verdana" w:hAnsi="Verdana"/>
          <w:b/>
          <w:bCs/>
          <w:sz w:val="20"/>
          <w:szCs w:val="20"/>
        </w:rPr>
        <w:t>Capítulo III</w:t>
      </w:r>
    </w:p>
    <w:p w:rsidRPr="004D1DA8" w:rsidR="00D07BF9" w:rsidP="004D1DA8" w:rsidRDefault="00D07BF9" w14:paraId="6EE3253C" w14:textId="77777777">
      <w:pPr>
        <w:pStyle w:val="Estilo"/>
        <w:jc w:val="center"/>
        <w:rPr>
          <w:rFonts w:ascii="Verdana" w:hAnsi="Verdana"/>
          <w:b/>
          <w:bCs/>
          <w:sz w:val="20"/>
          <w:szCs w:val="20"/>
        </w:rPr>
      </w:pPr>
      <w:r w:rsidRPr="004D1DA8">
        <w:rPr>
          <w:rFonts w:ascii="Verdana" w:hAnsi="Verdana"/>
          <w:b/>
          <w:bCs/>
          <w:sz w:val="20"/>
          <w:szCs w:val="20"/>
        </w:rPr>
        <w:t>Cuenta Pública e Información Financiera</w:t>
      </w:r>
    </w:p>
    <w:p w:rsidRPr="00D07BF9" w:rsidR="00D07BF9" w:rsidP="00D07BF9" w:rsidRDefault="00D07BF9" w14:paraId="1B18664F" w14:textId="77777777">
      <w:pPr>
        <w:pStyle w:val="Estilo"/>
        <w:rPr>
          <w:rFonts w:ascii="Verdana" w:hAnsi="Verdana"/>
          <w:sz w:val="20"/>
          <w:szCs w:val="20"/>
        </w:rPr>
      </w:pPr>
    </w:p>
    <w:p w:rsidRPr="004D1DA8" w:rsidR="00D07BF9" w:rsidP="004D1DA8" w:rsidRDefault="00D07BF9" w14:paraId="1219B3C0" w14:textId="77777777">
      <w:pPr>
        <w:pStyle w:val="Estilo"/>
        <w:jc w:val="right"/>
        <w:rPr>
          <w:rFonts w:ascii="Verdana" w:hAnsi="Verdana"/>
          <w:b/>
          <w:bCs/>
          <w:sz w:val="20"/>
          <w:szCs w:val="20"/>
        </w:rPr>
      </w:pPr>
      <w:r w:rsidRPr="004D1DA8">
        <w:rPr>
          <w:rFonts w:ascii="Verdana" w:hAnsi="Verdana"/>
          <w:b/>
          <w:bCs/>
          <w:sz w:val="20"/>
          <w:szCs w:val="20"/>
        </w:rPr>
        <w:t>Integración, publicación y difusión de la cuenta pública</w:t>
      </w:r>
    </w:p>
    <w:p w:rsidR="004D1DA8" w:rsidP="004D1DA8" w:rsidRDefault="00D07BF9" w14:paraId="1D6D5461" w14:textId="77777777">
      <w:pPr>
        <w:pStyle w:val="Estilo"/>
        <w:jc w:val="right"/>
        <w:rPr>
          <w:rFonts w:ascii="Verdana" w:hAnsi="Verdana"/>
          <w:sz w:val="20"/>
          <w:szCs w:val="20"/>
        </w:rPr>
      </w:pPr>
      <w:r w:rsidRPr="00D07BF9">
        <w:rPr>
          <w:rFonts w:ascii="Verdana" w:hAnsi="Verdana"/>
          <w:sz w:val="20"/>
          <w:szCs w:val="20"/>
        </w:rPr>
        <w:t>(REFORMADO, P.O. 28 DE OCTUBRE DE 2016)</w:t>
      </w:r>
    </w:p>
    <w:p w:rsidRPr="00D07BF9" w:rsidR="00D07BF9" w:rsidP="004D1DA8" w:rsidRDefault="00D07BF9" w14:paraId="611178F8" w14:textId="24925901">
      <w:pPr>
        <w:pStyle w:val="Estilo"/>
        <w:jc w:val="right"/>
        <w:rPr>
          <w:rFonts w:ascii="Verdana" w:hAnsi="Verdana"/>
          <w:sz w:val="20"/>
          <w:szCs w:val="20"/>
        </w:rPr>
      </w:pPr>
      <w:r w:rsidRPr="00D07BF9">
        <w:rPr>
          <w:rFonts w:ascii="Verdana" w:hAnsi="Verdana"/>
          <w:sz w:val="20"/>
          <w:szCs w:val="20"/>
        </w:rPr>
        <w:t>(F. DE E., P.O. 2 DE DICIEMBRE DE 2016)</w:t>
      </w:r>
    </w:p>
    <w:p w:rsidRPr="00D07BF9" w:rsidR="00D07BF9" w:rsidP="00D07BF9" w:rsidRDefault="00D07BF9" w14:paraId="765AA72B" w14:textId="77777777">
      <w:pPr>
        <w:pStyle w:val="Estilo"/>
        <w:rPr>
          <w:rFonts w:ascii="Verdana" w:hAnsi="Verdana"/>
          <w:sz w:val="20"/>
          <w:szCs w:val="20"/>
        </w:rPr>
      </w:pPr>
      <w:r w:rsidRPr="00D07BF9">
        <w:rPr>
          <w:rFonts w:ascii="Verdana" w:hAnsi="Verdana"/>
          <w:sz w:val="20"/>
          <w:szCs w:val="20"/>
        </w:rPr>
        <w:t>Artículo 19. La información financiera y la cuenta pública se organizará, integrará sistematizará, publicará y difundirá en el tiempo y con la forma que establezca la Ley de Disciplina Financiera de las Entidades Federativas y los Municipios, la Ley General de Contabilidad Gubernamental, las decisiones y acuerdos establecidos por el Consejo Nacional de Armonización Contable, la Ley para el Ejercicio y Control de los Recursos Públicos para el Estado y los Municipios de Guanajuato, así como los lineamientos que para tal efecto emita el Congreso.</w:t>
      </w:r>
    </w:p>
    <w:p w:rsidRPr="00D07BF9" w:rsidR="00D07BF9" w:rsidP="00D07BF9" w:rsidRDefault="00D07BF9" w14:paraId="0ECC1E1A" w14:textId="77777777">
      <w:pPr>
        <w:pStyle w:val="Estilo"/>
        <w:rPr>
          <w:rFonts w:ascii="Verdana" w:hAnsi="Verdana"/>
          <w:sz w:val="20"/>
          <w:szCs w:val="20"/>
        </w:rPr>
      </w:pPr>
    </w:p>
    <w:p w:rsidRPr="004D1DA8" w:rsidR="00D07BF9" w:rsidP="004D1DA8" w:rsidRDefault="00D07BF9" w14:paraId="47AB7A20" w14:textId="77777777">
      <w:pPr>
        <w:pStyle w:val="Estilo"/>
        <w:jc w:val="right"/>
        <w:rPr>
          <w:rFonts w:ascii="Verdana" w:hAnsi="Verdana"/>
          <w:b/>
          <w:bCs/>
          <w:sz w:val="20"/>
          <w:szCs w:val="20"/>
        </w:rPr>
      </w:pPr>
      <w:r w:rsidRPr="004D1DA8">
        <w:rPr>
          <w:rFonts w:ascii="Verdana" w:hAnsi="Verdana"/>
          <w:b/>
          <w:bCs/>
          <w:sz w:val="20"/>
          <w:szCs w:val="20"/>
        </w:rPr>
        <w:t>Presentación de la cuenta pública</w:t>
      </w:r>
    </w:p>
    <w:p w:rsidRPr="00D07BF9" w:rsidR="00D07BF9" w:rsidP="00D07BF9" w:rsidRDefault="00D07BF9" w14:paraId="1878FDB0" w14:textId="77777777">
      <w:pPr>
        <w:pStyle w:val="Estilo"/>
        <w:rPr>
          <w:rFonts w:ascii="Verdana" w:hAnsi="Verdana"/>
          <w:sz w:val="20"/>
          <w:szCs w:val="20"/>
        </w:rPr>
      </w:pPr>
      <w:r w:rsidRPr="00D07BF9">
        <w:rPr>
          <w:rFonts w:ascii="Verdana" w:hAnsi="Verdana"/>
          <w:sz w:val="20"/>
          <w:szCs w:val="20"/>
        </w:rPr>
        <w:t>Artículo 20. La cuenta pública deberá ser presentada al Congreso, a más tardar dentro de los sesenta días naturales siguientes a la fecha en que concluya el ejercicio fiscal respectivo. La cuenta pública y la información financiera deberán estar debidamente integradas y disponibles a través de las páginas de internet de los sujetos de fiscalización.</w:t>
      </w:r>
    </w:p>
    <w:p w:rsidRPr="00D07BF9" w:rsidR="00D07BF9" w:rsidP="00D07BF9" w:rsidRDefault="00D07BF9" w14:paraId="74A8F72A" w14:textId="77777777">
      <w:pPr>
        <w:pStyle w:val="Estilo"/>
        <w:rPr>
          <w:rFonts w:ascii="Verdana" w:hAnsi="Verdana"/>
          <w:sz w:val="20"/>
          <w:szCs w:val="20"/>
        </w:rPr>
      </w:pPr>
    </w:p>
    <w:p w:rsidRPr="00D07BF9" w:rsidR="00D07BF9" w:rsidP="00D07BF9" w:rsidRDefault="00D07BF9" w14:paraId="111F093C" w14:textId="77777777">
      <w:pPr>
        <w:pStyle w:val="Estilo"/>
        <w:rPr>
          <w:rFonts w:ascii="Verdana" w:hAnsi="Verdana"/>
          <w:sz w:val="20"/>
          <w:szCs w:val="20"/>
        </w:rPr>
      </w:pPr>
      <w:r w:rsidRPr="00D07BF9">
        <w:rPr>
          <w:rFonts w:ascii="Verdana" w:hAnsi="Verdana"/>
          <w:sz w:val="20"/>
          <w:szCs w:val="20"/>
        </w:rPr>
        <w:lastRenderedPageBreak/>
        <w:t>No será impedimento para que la Auditoría Superior realice la función de fiscalización, si la cuenta pública no está presentada y disponible en los plazos y requisitos señalados en esta ley. Lo anterior, sin perjuicio de la promoción de las responsabilidades a que haya lugar por la omisión de la presentación de la cuenta pública.</w:t>
      </w:r>
    </w:p>
    <w:p w:rsidRPr="00D07BF9" w:rsidR="00D07BF9" w:rsidP="00D07BF9" w:rsidRDefault="00D07BF9" w14:paraId="6EB209C0" w14:textId="77777777">
      <w:pPr>
        <w:pStyle w:val="Estilo"/>
        <w:rPr>
          <w:rFonts w:ascii="Verdana" w:hAnsi="Verdana"/>
          <w:sz w:val="20"/>
          <w:szCs w:val="20"/>
        </w:rPr>
      </w:pPr>
    </w:p>
    <w:p w:rsidRPr="00260A46" w:rsidR="00D07BF9" w:rsidP="00260A46" w:rsidRDefault="00D07BF9" w14:paraId="3F2D0B7A" w14:textId="77777777">
      <w:pPr>
        <w:pStyle w:val="Estilo"/>
        <w:jc w:val="right"/>
        <w:rPr>
          <w:rFonts w:ascii="Verdana" w:hAnsi="Verdana"/>
          <w:b/>
          <w:bCs/>
          <w:sz w:val="20"/>
          <w:szCs w:val="20"/>
        </w:rPr>
      </w:pPr>
      <w:r w:rsidRPr="00260A46">
        <w:rPr>
          <w:rFonts w:ascii="Verdana" w:hAnsi="Verdana"/>
          <w:b/>
          <w:bCs/>
          <w:sz w:val="20"/>
          <w:szCs w:val="20"/>
        </w:rPr>
        <w:t>Modificación de la cuenta pública</w:t>
      </w:r>
    </w:p>
    <w:p w:rsidRPr="00D07BF9" w:rsidR="00D07BF9" w:rsidP="00D07BF9" w:rsidRDefault="00D07BF9" w14:paraId="3E1E238F" w14:textId="77777777">
      <w:pPr>
        <w:pStyle w:val="Estilo"/>
        <w:rPr>
          <w:rFonts w:ascii="Verdana" w:hAnsi="Verdana"/>
          <w:sz w:val="20"/>
          <w:szCs w:val="20"/>
        </w:rPr>
      </w:pPr>
      <w:r w:rsidRPr="00D07BF9">
        <w:rPr>
          <w:rFonts w:ascii="Verdana" w:hAnsi="Verdana"/>
          <w:sz w:val="20"/>
          <w:szCs w:val="20"/>
        </w:rPr>
        <w:t>Artículo 21. Los sujetos de fiscalización no podrán modificar el contenido de las cuentas públicas ni de la información financiera trimestral que hayan presentado. En el supuesto de adecuaciones o ajustes, éstos deberán expresarse en la cuenta pública o en la información financiera del trimestre en que se hayan detectado.</w:t>
      </w:r>
    </w:p>
    <w:p w:rsidRPr="00D07BF9" w:rsidR="00D07BF9" w:rsidP="00D07BF9" w:rsidRDefault="00D07BF9" w14:paraId="2546EF6E" w14:textId="77777777">
      <w:pPr>
        <w:pStyle w:val="Estilo"/>
        <w:rPr>
          <w:rFonts w:ascii="Verdana" w:hAnsi="Verdana"/>
          <w:sz w:val="20"/>
          <w:szCs w:val="20"/>
        </w:rPr>
      </w:pPr>
    </w:p>
    <w:p w:rsidRPr="004D1DA8" w:rsidR="00D07BF9" w:rsidP="004D1DA8" w:rsidRDefault="00D07BF9" w14:paraId="2D5C1791" w14:textId="77777777">
      <w:pPr>
        <w:pStyle w:val="Estilo"/>
        <w:jc w:val="right"/>
        <w:rPr>
          <w:rFonts w:ascii="Verdana" w:hAnsi="Verdana"/>
          <w:b/>
          <w:bCs/>
          <w:sz w:val="20"/>
          <w:szCs w:val="20"/>
        </w:rPr>
      </w:pPr>
      <w:r w:rsidRPr="004D1DA8">
        <w:rPr>
          <w:rFonts w:ascii="Verdana" w:hAnsi="Verdana"/>
          <w:b/>
          <w:bCs/>
          <w:sz w:val="20"/>
          <w:szCs w:val="20"/>
        </w:rPr>
        <w:t>Características</w:t>
      </w:r>
    </w:p>
    <w:p w:rsidRPr="00D07BF9" w:rsidR="00D07BF9" w:rsidP="00D07BF9" w:rsidRDefault="00D07BF9" w14:paraId="4100EFE4" w14:textId="77777777">
      <w:pPr>
        <w:pStyle w:val="Estilo"/>
        <w:rPr>
          <w:rFonts w:ascii="Verdana" w:hAnsi="Verdana"/>
          <w:sz w:val="20"/>
          <w:szCs w:val="20"/>
        </w:rPr>
      </w:pPr>
      <w:r w:rsidRPr="00D07BF9">
        <w:rPr>
          <w:rFonts w:ascii="Verdana" w:hAnsi="Verdana"/>
          <w:sz w:val="20"/>
          <w:szCs w:val="20"/>
        </w:rPr>
        <w:t>Artículo 22. La cuenta pública será fiscalizada de manera posterior a su presentación, externa, independiente y autónoma de cualquier forma de control y evaluación interna de los sujetos de fiscalización y de conformidad con lo establecido en la presente ley.</w:t>
      </w:r>
    </w:p>
    <w:p w:rsidRPr="00D07BF9" w:rsidR="00D07BF9" w:rsidP="00D07BF9" w:rsidRDefault="00D07BF9" w14:paraId="5BFFCBFA" w14:textId="77777777">
      <w:pPr>
        <w:pStyle w:val="Estilo"/>
        <w:rPr>
          <w:rFonts w:ascii="Verdana" w:hAnsi="Verdana"/>
          <w:sz w:val="20"/>
          <w:szCs w:val="20"/>
        </w:rPr>
      </w:pPr>
    </w:p>
    <w:p w:rsidRPr="004D1DA8" w:rsidR="00D07BF9" w:rsidP="004D1DA8" w:rsidRDefault="00D07BF9" w14:paraId="7F4120F7" w14:textId="77777777">
      <w:pPr>
        <w:pStyle w:val="Estilo"/>
        <w:jc w:val="right"/>
        <w:rPr>
          <w:rFonts w:ascii="Verdana" w:hAnsi="Verdana"/>
          <w:b/>
          <w:bCs/>
          <w:sz w:val="20"/>
          <w:szCs w:val="20"/>
        </w:rPr>
      </w:pPr>
      <w:r w:rsidRPr="004D1DA8">
        <w:rPr>
          <w:rFonts w:ascii="Verdana" w:hAnsi="Verdana"/>
          <w:b/>
          <w:bCs/>
          <w:sz w:val="20"/>
          <w:szCs w:val="20"/>
        </w:rPr>
        <w:t>Precedentes de la revisión</w:t>
      </w:r>
    </w:p>
    <w:p w:rsidRPr="00D07BF9" w:rsidR="00D07BF9" w:rsidP="00D07BF9" w:rsidRDefault="00D07BF9" w14:paraId="009A9A32" w14:textId="77777777">
      <w:pPr>
        <w:pStyle w:val="Estilo"/>
        <w:rPr>
          <w:rFonts w:ascii="Verdana" w:hAnsi="Verdana"/>
          <w:sz w:val="20"/>
          <w:szCs w:val="20"/>
        </w:rPr>
      </w:pPr>
      <w:r w:rsidRPr="00D07BF9">
        <w:rPr>
          <w:rFonts w:ascii="Verdana" w:hAnsi="Verdana"/>
          <w:sz w:val="20"/>
          <w:szCs w:val="20"/>
        </w:rPr>
        <w:t>Artículo 23. En la revisión de la cuenta pública, la Auditoría Superior podrá considerar el contenido de las cédulas de resultados que se dieron a conocer a los sujetos de fiscalización en el análisis de la información financiera trimestral y la evidencia que las sustenta en términos de lo dispuesto en el artículo 28 de esta ley.</w:t>
      </w:r>
    </w:p>
    <w:p w:rsidRPr="00D07BF9" w:rsidR="00D07BF9" w:rsidP="00D07BF9" w:rsidRDefault="00D07BF9" w14:paraId="461A2A62" w14:textId="77777777">
      <w:pPr>
        <w:pStyle w:val="Estilo"/>
        <w:rPr>
          <w:rFonts w:ascii="Verdana" w:hAnsi="Verdana"/>
          <w:sz w:val="20"/>
          <w:szCs w:val="20"/>
        </w:rPr>
      </w:pPr>
    </w:p>
    <w:p w:rsidRPr="004D1DA8" w:rsidR="00D07BF9" w:rsidP="004D1DA8" w:rsidRDefault="00D07BF9" w14:paraId="3CC7E244" w14:textId="77777777">
      <w:pPr>
        <w:pStyle w:val="Estilo"/>
        <w:jc w:val="center"/>
        <w:rPr>
          <w:rFonts w:ascii="Verdana" w:hAnsi="Verdana"/>
          <w:b/>
          <w:bCs/>
          <w:sz w:val="20"/>
          <w:szCs w:val="20"/>
        </w:rPr>
      </w:pPr>
      <w:r w:rsidRPr="004D1DA8">
        <w:rPr>
          <w:rFonts w:ascii="Verdana" w:hAnsi="Verdana"/>
          <w:b/>
          <w:bCs/>
          <w:sz w:val="20"/>
          <w:szCs w:val="20"/>
        </w:rPr>
        <w:t>TÍTULO SEGUNDO</w:t>
      </w:r>
    </w:p>
    <w:p w:rsidRPr="004D1DA8" w:rsidR="00D07BF9" w:rsidP="004D1DA8" w:rsidRDefault="00D07BF9" w14:paraId="5B400C44" w14:textId="77777777">
      <w:pPr>
        <w:pStyle w:val="Estilo"/>
        <w:jc w:val="center"/>
        <w:rPr>
          <w:rFonts w:ascii="Verdana" w:hAnsi="Verdana"/>
          <w:b/>
          <w:bCs/>
          <w:sz w:val="20"/>
          <w:szCs w:val="20"/>
        </w:rPr>
      </w:pPr>
    </w:p>
    <w:p w:rsidRPr="004D1DA8" w:rsidR="00D07BF9" w:rsidP="004D1DA8" w:rsidRDefault="00D07BF9" w14:paraId="43236412" w14:textId="77777777">
      <w:pPr>
        <w:pStyle w:val="Estilo"/>
        <w:jc w:val="center"/>
        <w:rPr>
          <w:rFonts w:ascii="Verdana" w:hAnsi="Verdana"/>
          <w:b/>
          <w:bCs/>
          <w:sz w:val="20"/>
          <w:szCs w:val="20"/>
        </w:rPr>
      </w:pPr>
      <w:r w:rsidRPr="004D1DA8">
        <w:rPr>
          <w:rFonts w:ascii="Verdana" w:hAnsi="Verdana"/>
          <w:b/>
          <w:bCs/>
          <w:sz w:val="20"/>
          <w:szCs w:val="20"/>
        </w:rPr>
        <w:t>Proceso de Fiscalización</w:t>
      </w:r>
    </w:p>
    <w:p w:rsidRPr="004D1DA8" w:rsidR="00D07BF9" w:rsidP="004D1DA8" w:rsidRDefault="00D07BF9" w14:paraId="3FC2D870" w14:textId="77777777">
      <w:pPr>
        <w:pStyle w:val="Estilo"/>
        <w:jc w:val="center"/>
        <w:rPr>
          <w:rFonts w:ascii="Verdana" w:hAnsi="Verdana"/>
          <w:b/>
          <w:bCs/>
          <w:sz w:val="20"/>
          <w:szCs w:val="20"/>
        </w:rPr>
      </w:pPr>
    </w:p>
    <w:p w:rsidRPr="004D1DA8" w:rsidR="00D07BF9" w:rsidP="004D1DA8" w:rsidRDefault="00D07BF9" w14:paraId="30F6089F" w14:textId="77777777">
      <w:pPr>
        <w:pStyle w:val="Estilo"/>
        <w:jc w:val="center"/>
        <w:rPr>
          <w:rFonts w:ascii="Verdana" w:hAnsi="Verdana"/>
          <w:b/>
          <w:bCs/>
          <w:sz w:val="20"/>
          <w:szCs w:val="20"/>
        </w:rPr>
      </w:pPr>
    </w:p>
    <w:p w:rsidRPr="004D1DA8" w:rsidR="00D07BF9" w:rsidP="004D1DA8" w:rsidRDefault="00D07BF9" w14:paraId="69B57D9F" w14:textId="77777777">
      <w:pPr>
        <w:pStyle w:val="Estilo"/>
        <w:jc w:val="center"/>
        <w:rPr>
          <w:rFonts w:ascii="Verdana" w:hAnsi="Verdana"/>
          <w:b/>
          <w:bCs/>
          <w:sz w:val="20"/>
          <w:szCs w:val="20"/>
        </w:rPr>
      </w:pPr>
      <w:r w:rsidRPr="004D1DA8">
        <w:rPr>
          <w:rFonts w:ascii="Verdana" w:hAnsi="Verdana"/>
          <w:b/>
          <w:bCs/>
          <w:sz w:val="20"/>
          <w:szCs w:val="20"/>
        </w:rPr>
        <w:t>Capítulo I</w:t>
      </w:r>
    </w:p>
    <w:p w:rsidRPr="004D1DA8" w:rsidR="00D07BF9" w:rsidP="004D1DA8" w:rsidRDefault="00D07BF9" w14:paraId="2CBB57C7" w14:textId="77777777">
      <w:pPr>
        <w:pStyle w:val="Estilo"/>
        <w:jc w:val="center"/>
        <w:rPr>
          <w:rFonts w:ascii="Verdana" w:hAnsi="Verdana"/>
          <w:b/>
          <w:bCs/>
          <w:sz w:val="20"/>
          <w:szCs w:val="20"/>
        </w:rPr>
      </w:pPr>
      <w:r w:rsidRPr="004D1DA8">
        <w:rPr>
          <w:rFonts w:ascii="Verdana" w:hAnsi="Verdana"/>
          <w:b/>
          <w:bCs/>
          <w:sz w:val="20"/>
          <w:szCs w:val="20"/>
        </w:rPr>
        <w:t>Generalidades</w:t>
      </w:r>
    </w:p>
    <w:p w:rsidRPr="00D07BF9" w:rsidR="00D07BF9" w:rsidP="00D07BF9" w:rsidRDefault="00D07BF9" w14:paraId="2A2336CD" w14:textId="77777777">
      <w:pPr>
        <w:pStyle w:val="Estilo"/>
        <w:rPr>
          <w:rFonts w:ascii="Verdana" w:hAnsi="Verdana"/>
          <w:sz w:val="20"/>
          <w:szCs w:val="20"/>
        </w:rPr>
      </w:pPr>
    </w:p>
    <w:p w:rsidRPr="004D1DA8" w:rsidR="00D07BF9" w:rsidP="004D1DA8" w:rsidRDefault="00D07BF9" w14:paraId="23FA1138" w14:textId="77777777">
      <w:pPr>
        <w:pStyle w:val="Estilo"/>
        <w:jc w:val="right"/>
        <w:rPr>
          <w:rFonts w:ascii="Verdana" w:hAnsi="Verdana"/>
          <w:b/>
          <w:bCs/>
          <w:sz w:val="20"/>
          <w:szCs w:val="20"/>
        </w:rPr>
      </w:pPr>
      <w:r w:rsidRPr="004D1DA8">
        <w:rPr>
          <w:rFonts w:ascii="Verdana" w:hAnsi="Verdana"/>
          <w:b/>
          <w:bCs/>
          <w:sz w:val="20"/>
          <w:szCs w:val="20"/>
        </w:rPr>
        <w:t>Acceso a la información</w:t>
      </w:r>
    </w:p>
    <w:p w:rsidRPr="00D07BF9" w:rsidR="00D07BF9" w:rsidP="00D07BF9" w:rsidRDefault="00D07BF9" w14:paraId="4B735467" w14:textId="77777777">
      <w:pPr>
        <w:pStyle w:val="Estilo"/>
        <w:rPr>
          <w:rFonts w:ascii="Verdana" w:hAnsi="Verdana"/>
          <w:sz w:val="20"/>
          <w:szCs w:val="20"/>
        </w:rPr>
      </w:pPr>
      <w:r w:rsidRPr="00D07BF9">
        <w:rPr>
          <w:rFonts w:ascii="Verdana" w:hAnsi="Verdana"/>
          <w:sz w:val="20"/>
          <w:szCs w:val="20"/>
        </w:rPr>
        <w:t>Artículo 24. La Auditoría Superior tendrá acceso a contratos, convenios, documentos, datos, libros, archivos y documentación justificativa y comprobatoria relativa al ingreso, gasto público y cumplimiento de los objetivos de los programas de los sujetos de fiscalización, así como a la demás información que resulte necesaria para la fiscalización, siempre que al solicitarla se expresen los fines a que se destine dicha información.</w:t>
      </w:r>
    </w:p>
    <w:p w:rsidRPr="00D07BF9" w:rsidR="00D07BF9" w:rsidP="00D07BF9" w:rsidRDefault="00D07BF9" w14:paraId="2279E310" w14:textId="77777777">
      <w:pPr>
        <w:pStyle w:val="Estilo"/>
        <w:rPr>
          <w:rFonts w:ascii="Verdana" w:hAnsi="Verdana"/>
          <w:sz w:val="20"/>
          <w:szCs w:val="20"/>
        </w:rPr>
      </w:pPr>
    </w:p>
    <w:p w:rsidRPr="00D07BF9" w:rsidR="00D07BF9" w:rsidP="00D07BF9" w:rsidRDefault="00D07BF9" w14:paraId="3908A904" w14:textId="77777777">
      <w:pPr>
        <w:pStyle w:val="Estilo"/>
        <w:rPr>
          <w:rFonts w:ascii="Verdana" w:hAnsi="Verdana"/>
          <w:sz w:val="20"/>
          <w:szCs w:val="20"/>
        </w:rPr>
      </w:pPr>
      <w:proofErr w:type="gramStart"/>
      <w:r w:rsidRPr="00D07BF9">
        <w:rPr>
          <w:rFonts w:ascii="Verdana" w:hAnsi="Verdana"/>
          <w:sz w:val="20"/>
          <w:szCs w:val="20"/>
        </w:rPr>
        <w:t>Además</w:t>
      </w:r>
      <w:proofErr w:type="gramEnd"/>
      <w:r w:rsidRPr="00D07BF9">
        <w:rPr>
          <w:rFonts w:ascii="Verdana" w:hAnsi="Verdana"/>
          <w:sz w:val="20"/>
          <w:szCs w:val="20"/>
        </w:rPr>
        <w:t xml:space="preserve"> podrá obtener toda la información necesaria para el cumplimiento de sus funciones, de conformidad con lo previsto en esta ley, incluyendo la información relativa a las operaciones de cualquier tipo proporcionada por las instituciones de crédito o financieras, la cual podrá solicitarse a estas últimas por conducto o a través de la autorización de los sujetos de fiscalización.</w:t>
      </w:r>
    </w:p>
    <w:p w:rsidRPr="00D07BF9" w:rsidR="00D07BF9" w:rsidP="00D07BF9" w:rsidRDefault="00D07BF9" w14:paraId="1C48CDE1" w14:textId="77777777">
      <w:pPr>
        <w:pStyle w:val="Estilo"/>
        <w:rPr>
          <w:rFonts w:ascii="Verdana" w:hAnsi="Verdana"/>
          <w:sz w:val="20"/>
          <w:szCs w:val="20"/>
        </w:rPr>
      </w:pPr>
    </w:p>
    <w:p w:rsidRPr="00D07BF9" w:rsidR="00D07BF9" w:rsidP="00D07BF9" w:rsidRDefault="00D07BF9" w14:paraId="300EF8E5" w14:textId="77777777">
      <w:pPr>
        <w:pStyle w:val="Estilo"/>
        <w:rPr>
          <w:rFonts w:ascii="Verdana" w:hAnsi="Verdana"/>
          <w:sz w:val="20"/>
          <w:szCs w:val="20"/>
        </w:rPr>
      </w:pPr>
      <w:r w:rsidRPr="00D07BF9">
        <w:rPr>
          <w:rFonts w:ascii="Verdana" w:hAnsi="Verdana"/>
          <w:sz w:val="20"/>
          <w:szCs w:val="20"/>
        </w:rPr>
        <w:t>A la Auditoría Superior no le es oponible el carácter de reservado o confidencial de la información, en los términos de la Ley de Transparencia y Acceso a la Información Pública para el Estado y los Municipios de Guanajuato y demás disposiciones legales, cuando aquélla esté relacionada directamente con el ejercicio y aplicación de los ingresos y egresos sujetos a revisión, estando obligada la Auditoria Superior a mantener dicha reserva o confidencialidad.</w:t>
      </w:r>
    </w:p>
    <w:p w:rsidRPr="00D07BF9" w:rsidR="00D07BF9" w:rsidP="00D07BF9" w:rsidRDefault="00D07BF9" w14:paraId="496F3FF5" w14:textId="77777777">
      <w:pPr>
        <w:pStyle w:val="Estilo"/>
        <w:rPr>
          <w:rFonts w:ascii="Verdana" w:hAnsi="Verdana"/>
          <w:sz w:val="20"/>
          <w:szCs w:val="20"/>
        </w:rPr>
      </w:pPr>
    </w:p>
    <w:p w:rsidRPr="004D1DA8" w:rsidR="00D07BF9" w:rsidP="004D1DA8" w:rsidRDefault="00D07BF9" w14:paraId="4BF580E1" w14:textId="77777777">
      <w:pPr>
        <w:pStyle w:val="Estilo"/>
        <w:jc w:val="right"/>
        <w:rPr>
          <w:rFonts w:ascii="Verdana" w:hAnsi="Verdana"/>
          <w:b/>
          <w:bCs/>
          <w:sz w:val="20"/>
          <w:szCs w:val="20"/>
        </w:rPr>
      </w:pPr>
      <w:r w:rsidRPr="004D1DA8">
        <w:rPr>
          <w:rFonts w:ascii="Verdana" w:hAnsi="Verdana"/>
          <w:b/>
          <w:bCs/>
          <w:sz w:val="20"/>
          <w:szCs w:val="20"/>
        </w:rPr>
        <w:t>Requerimientos de información</w:t>
      </w:r>
    </w:p>
    <w:p w:rsidRPr="00D07BF9" w:rsidR="00D07BF9" w:rsidP="00D07BF9" w:rsidRDefault="00D07BF9" w14:paraId="245E20A4" w14:textId="77777777">
      <w:pPr>
        <w:pStyle w:val="Estilo"/>
        <w:rPr>
          <w:rFonts w:ascii="Verdana" w:hAnsi="Verdana"/>
          <w:sz w:val="20"/>
          <w:szCs w:val="20"/>
        </w:rPr>
      </w:pPr>
      <w:r w:rsidRPr="00D07BF9">
        <w:rPr>
          <w:rFonts w:ascii="Verdana" w:hAnsi="Verdana"/>
          <w:sz w:val="20"/>
          <w:szCs w:val="20"/>
        </w:rPr>
        <w:t xml:space="preserve">Artículo 25. Los servidores públicos y las personas físicas o morales, públicas o privadas, que capten, reciban, recauden, administren, manejen, ejerzan o custodien recursos </w:t>
      </w:r>
      <w:r w:rsidRPr="00D07BF9">
        <w:rPr>
          <w:rFonts w:ascii="Verdana" w:hAnsi="Verdana"/>
          <w:sz w:val="20"/>
          <w:szCs w:val="20"/>
        </w:rPr>
        <w:lastRenderedPageBreak/>
        <w:t>públicos, deberán atender los requerimientos que les formule la Auditoría Superior durante la planeación, el desarrollo de las auditorías y el seguimiento de las acciones que emita dentro de los plazos establecidos en esta ley, de conformidad con los procedimientos establecidos en las leyes y sin perjuicio de la competencia de otras autoridades.</w:t>
      </w:r>
    </w:p>
    <w:p w:rsidRPr="00D07BF9" w:rsidR="00D07BF9" w:rsidP="00D07BF9" w:rsidRDefault="00D07BF9" w14:paraId="4A16F271" w14:textId="77777777">
      <w:pPr>
        <w:pStyle w:val="Estilo"/>
        <w:rPr>
          <w:rFonts w:ascii="Verdana" w:hAnsi="Verdana"/>
          <w:sz w:val="20"/>
          <w:szCs w:val="20"/>
        </w:rPr>
      </w:pPr>
    </w:p>
    <w:p w:rsidRPr="00D07BF9" w:rsidR="00D07BF9" w:rsidP="00D07BF9" w:rsidRDefault="00D07BF9" w14:paraId="6D5FC219" w14:textId="77777777">
      <w:pPr>
        <w:pStyle w:val="Estilo"/>
        <w:rPr>
          <w:rFonts w:ascii="Verdana" w:hAnsi="Verdana"/>
          <w:sz w:val="20"/>
          <w:szCs w:val="20"/>
        </w:rPr>
      </w:pPr>
      <w:r w:rsidRPr="00D07BF9">
        <w:rPr>
          <w:rFonts w:ascii="Verdana" w:hAnsi="Verdana"/>
          <w:sz w:val="20"/>
          <w:szCs w:val="20"/>
        </w:rPr>
        <w:t>Los sujetos mencionados en el párrafo anterior, que incumplan las previsiones de este artículo, se harán acreedores a la imposición de una multa, de conformidad con lo dispuesto en esta ley.</w:t>
      </w:r>
    </w:p>
    <w:p w:rsidRPr="00D07BF9" w:rsidR="00D07BF9" w:rsidP="00D07BF9" w:rsidRDefault="00D07BF9" w14:paraId="0DA62C40" w14:textId="77777777">
      <w:pPr>
        <w:pStyle w:val="Estilo"/>
        <w:rPr>
          <w:rFonts w:ascii="Verdana" w:hAnsi="Verdana"/>
          <w:sz w:val="20"/>
          <w:szCs w:val="20"/>
        </w:rPr>
      </w:pPr>
    </w:p>
    <w:p w:rsidRPr="004D1DA8" w:rsidR="00D07BF9" w:rsidP="004D1DA8" w:rsidRDefault="00D07BF9" w14:paraId="3AFC4DC5" w14:textId="77777777">
      <w:pPr>
        <w:pStyle w:val="Estilo"/>
        <w:jc w:val="right"/>
        <w:rPr>
          <w:rFonts w:ascii="Verdana" w:hAnsi="Verdana"/>
          <w:b/>
          <w:bCs/>
          <w:sz w:val="20"/>
          <w:szCs w:val="20"/>
        </w:rPr>
      </w:pPr>
      <w:r w:rsidRPr="004D1DA8">
        <w:rPr>
          <w:rFonts w:ascii="Verdana" w:hAnsi="Verdana"/>
          <w:b/>
          <w:bCs/>
          <w:sz w:val="20"/>
          <w:szCs w:val="20"/>
        </w:rPr>
        <w:t>Requerimientos a los órganos de control</w:t>
      </w:r>
    </w:p>
    <w:p w:rsidRPr="00D07BF9" w:rsidR="00D07BF9" w:rsidP="00D07BF9" w:rsidRDefault="00D07BF9" w14:paraId="7C405315" w14:textId="77777777">
      <w:pPr>
        <w:pStyle w:val="Estilo"/>
        <w:rPr>
          <w:rFonts w:ascii="Verdana" w:hAnsi="Verdana"/>
          <w:sz w:val="20"/>
          <w:szCs w:val="20"/>
        </w:rPr>
      </w:pPr>
      <w:r w:rsidRPr="00D07BF9">
        <w:rPr>
          <w:rFonts w:ascii="Verdana" w:hAnsi="Verdana"/>
          <w:sz w:val="20"/>
          <w:szCs w:val="20"/>
        </w:rPr>
        <w:t>Artículo 26. La Auditoría Superior podrá requerir por escrito a los órganos de control, la información y documentación que dispongan por el ejercicio de sus funciones y que se estime necesaria en la fiscalización. La información y documentación que se proporcione se utilizará exclusivamente para los efectos del objeto de esta ley.</w:t>
      </w:r>
    </w:p>
    <w:p w:rsidRPr="00D07BF9" w:rsidR="00D07BF9" w:rsidP="00D07BF9" w:rsidRDefault="00D07BF9" w14:paraId="4AC048A3" w14:textId="77777777">
      <w:pPr>
        <w:pStyle w:val="Estilo"/>
        <w:rPr>
          <w:rFonts w:ascii="Verdana" w:hAnsi="Verdana"/>
          <w:sz w:val="20"/>
          <w:szCs w:val="20"/>
        </w:rPr>
      </w:pPr>
    </w:p>
    <w:p w:rsidRPr="004D1DA8" w:rsidR="00D07BF9" w:rsidP="004D1DA8" w:rsidRDefault="00D07BF9" w14:paraId="4DAF605E" w14:textId="77777777">
      <w:pPr>
        <w:pStyle w:val="Estilo"/>
        <w:jc w:val="right"/>
        <w:rPr>
          <w:rFonts w:ascii="Verdana" w:hAnsi="Verdana"/>
          <w:b/>
          <w:bCs/>
          <w:sz w:val="20"/>
          <w:szCs w:val="20"/>
        </w:rPr>
      </w:pPr>
      <w:r w:rsidRPr="004D1DA8">
        <w:rPr>
          <w:rFonts w:ascii="Verdana" w:hAnsi="Verdana"/>
          <w:b/>
          <w:bCs/>
          <w:sz w:val="20"/>
          <w:szCs w:val="20"/>
        </w:rPr>
        <w:t>Cumplimiento a requerimientos</w:t>
      </w:r>
    </w:p>
    <w:p w:rsidRPr="00D07BF9" w:rsidR="00D07BF9" w:rsidP="00D07BF9" w:rsidRDefault="00D07BF9" w14:paraId="5C10D71B" w14:textId="77777777">
      <w:pPr>
        <w:pStyle w:val="Estilo"/>
        <w:rPr>
          <w:rFonts w:ascii="Verdana" w:hAnsi="Verdana"/>
          <w:sz w:val="20"/>
          <w:szCs w:val="20"/>
        </w:rPr>
      </w:pPr>
      <w:r w:rsidRPr="00D07BF9">
        <w:rPr>
          <w:rFonts w:ascii="Verdana" w:hAnsi="Verdana"/>
          <w:sz w:val="20"/>
          <w:szCs w:val="20"/>
        </w:rPr>
        <w:t xml:space="preserve">Artículo 27. El cumplimiento a los requerimientos de información o documentación que formule la Auditoría </w:t>
      </w:r>
      <w:proofErr w:type="gramStart"/>
      <w:r w:rsidRPr="00D07BF9">
        <w:rPr>
          <w:rFonts w:ascii="Verdana" w:hAnsi="Verdana"/>
          <w:sz w:val="20"/>
          <w:szCs w:val="20"/>
        </w:rPr>
        <w:t>Superior,</w:t>
      </w:r>
      <w:proofErr w:type="gramEnd"/>
      <w:r w:rsidRPr="00D07BF9">
        <w:rPr>
          <w:rFonts w:ascii="Verdana" w:hAnsi="Verdana"/>
          <w:sz w:val="20"/>
          <w:szCs w:val="20"/>
        </w:rPr>
        <w:t xml:space="preserve"> deberá efectuarse dentro de los 5 días hábiles contados a partir del día siguiente al de su notificación. Cuando dicha información o documentación no se encuentre en su poder, los servidores públicos o las personas físicas o morales, públicas o privadas, deberán informar y justificar donde se encuentra, si está o no a su alcance, en caso de poder proporcionarla podrán solicitar la prórroga para tales efectos, en el supuesto de no poder acceder a ella en el plazo concedido, la Auditoría Superior la solicitará en su caso.</w:t>
      </w:r>
    </w:p>
    <w:p w:rsidRPr="00D07BF9" w:rsidR="00D07BF9" w:rsidP="00D07BF9" w:rsidRDefault="00D07BF9" w14:paraId="0D19024D" w14:textId="77777777">
      <w:pPr>
        <w:pStyle w:val="Estilo"/>
        <w:rPr>
          <w:rFonts w:ascii="Verdana" w:hAnsi="Verdana"/>
          <w:sz w:val="20"/>
          <w:szCs w:val="20"/>
        </w:rPr>
      </w:pPr>
    </w:p>
    <w:p w:rsidRPr="004D1DA8" w:rsidR="00D07BF9" w:rsidP="004D1DA8" w:rsidRDefault="00D07BF9" w14:paraId="1379EF22" w14:textId="77777777">
      <w:pPr>
        <w:pStyle w:val="Estilo"/>
        <w:jc w:val="right"/>
        <w:rPr>
          <w:rFonts w:ascii="Verdana" w:hAnsi="Verdana"/>
          <w:b/>
          <w:bCs/>
          <w:sz w:val="20"/>
          <w:szCs w:val="20"/>
        </w:rPr>
      </w:pPr>
      <w:r w:rsidRPr="004D1DA8">
        <w:rPr>
          <w:rFonts w:ascii="Verdana" w:hAnsi="Verdana"/>
          <w:b/>
          <w:bCs/>
          <w:sz w:val="20"/>
          <w:szCs w:val="20"/>
        </w:rPr>
        <w:t>Compulsa de la información</w:t>
      </w:r>
    </w:p>
    <w:p w:rsidRPr="00D07BF9" w:rsidR="00D07BF9" w:rsidP="00D07BF9" w:rsidRDefault="00D07BF9" w14:paraId="47D7B6CE" w14:textId="77777777">
      <w:pPr>
        <w:pStyle w:val="Estilo"/>
        <w:rPr>
          <w:rFonts w:ascii="Verdana" w:hAnsi="Verdana"/>
          <w:sz w:val="20"/>
          <w:szCs w:val="20"/>
        </w:rPr>
      </w:pPr>
      <w:r w:rsidRPr="00D07BF9">
        <w:rPr>
          <w:rFonts w:ascii="Verdana" w:hAnsi="Verdana"/>
          <w:sz w:val="20"/>
          <w:szCs w:val="20"/>
        </w:rPr>
        <w:t>Artículo 28. Los hechos que la Auditoría Superior conozca con motivo del proceso de fiscalización o bien, que consten en los expedientes, documentos o bases de datos que obren en su archivo, así como aquéllos proporcionados por otras autoridades, podrán servir para probar y motivar sus resultados.</w:t>
      </w:r>
    </w:p>
    <w:p w:rsidRPr="00D07BF9" w:rsidR="00D07BF9" w:rsidP="00D07BF9" w:rsidRDefault="00D07BF9" w14:paraId="398CD34E" w14:textId="77777777">
      <w:pPr>
        <w:pStyle w:val="Estilo"/>
        <w:rPr>
          <w:rFonts w:ascii="Verdana" w:hAnsi="Verdana"/>
          <w:sz w:val="20"/>
          <w:szCs w:val="20"/>
        </w:rPr>
      </w:pPr>
    </w:p>
    <w:p w:rsidRPr="00D07BF9" w:rsidR="00D07BF9" w:rsidP="00D07BF9" w:rsidRDefault="00D07BF9" w14:paraId="6A932256" w14:textId="77777777">
      <w:pPr>
        <w:pStyle w:val="Estilo"/>
        <w:rPr>
          <w:rFonts w:ascii="Verdana" w:hAnsi="Verdana"/>
          <w:sz w:val="20"/>
          <w:szCs w:val="20"/>
        </w:rPr>
      </w:pPr>
      <w:r w:rsidRPr="00D07BF9">
        <w:rPr>
          <w:rFonts w:ascii="Verdana" w:hAnsi="Verdana"/>
          <w:sz w:val="20"/>
          <w:szCs w:val="20"/>
        </w:rPr>
        <w:t>Con motivo de su función, la Auditoría Superior podrá compulsar información y documentación que obre en sus archivos con aquélla que posean los sujetos de fiscalización o terceros.</w:t>
      </w:r>
    </w:p>
    <w:p w:rsidRPr="00D07BF9" w:rsidR="00D07BF9" w:rsidP="00D07BF9" w:rsidRDefault="00D07BF9" w14:paraId="299936A1" w14:textId="77777777">
      <w:pPr>
        <w:pStyle w:val="Estilo"/>
        <w:rPr>
          <w:rFonts w:ascii="Verdana" w:hAnsi="Verdana"/>
          <w:sz w:val="20"/>
          <w:szCs w:val="20"/>
        </w:rPr>
      </w:pPr>
    </w:p>
    <w:p w:rsidRPr="004D1DA8" w:rsidR="00D07BF9" w:rsidP="004D1DA8" w:rsidRDefault="00D07BF9" w14:paraId="75D17BDA" w14:textId="77777777">
      <w:pPr>
        <w:pStyle w:val="Estilo"/>
        <w:jc w:val="right"/>
        <w:rPr>
          <w:rFonts w:ascii="Verdana" w:hAnsi="Verdana"/>
          <w:b/>
          <w:bCs/>
          <w:sz w:val="20"/>
          <w:szCs w:val="20"/>
        </w:rPr>
      </w:pPr>
      <w:r w:rsidRPr="004D1DA8">
        <w:rPr>
          <w:rFonts w:ascii="Verdana" w:hAnsi="Verdana"/>
          <w:b/>
          <w:bCs/>
          <w:sz w:val="20"/>
          <w:szCs w:val="20"/>
        </w:rPr>
        <w:t>Actas circunstanciadas</w:t>
      </w:r>
    </w:p>
    <w:p w:rsidRPr="00D07BF9" w:rsidR="00D07BF9" w:rsidP="00D07BF9" w:rsidRDefault="00D07BF9" w14:paraId="00895156" w14:textId="77777777">
      <w:pPr>
        <w:pStyle w:val="Estilo"/>
        <w:rPr>
          <w:rFonts w:ascii="Verdana" w:hAnsi="Verdana"/>
          <w:sz w:val="20"/>
          <w:szCs w:val="20"/>
        </w:rPr>
      </w:pPr>
      <w:r w:rsidRPr="00D07BF9">
        <w:rPr>
          <w:rFonts w:ascii="Verdana" w:hAnsi="Verdana"/>
          <w:sz w:val="20"/>
          <w:szCs w:val="20"/>
        </w:rPr>
        <w:t xml:space="preserve">Artículo 29. Durante sus actuaciones, los representantes de la Auditoría Superior que hubieren intervenido en las </w:t>
      </w:r>
      <w:proofErr w:type="gramStart"/>
      <w:r w:rsidRPr="00D07BF9">
        <w:rPr>
          <w:rFonts w:ascii="Verdana" w:hAnsi="Verdana"/>
          <w:sz w:val="20"/>
          <w:szCs w:val="20"/>
        </w:rPr>
        <w:t>revisiones,</w:t>
      </w:r>
      <w:proofErr w:type="gramEnd"/>
      <w:r w:rsidRPr="00D07BF9">
        <w:rPr>
          <w:rFonts w:ascii="Verdana" w:hAnsi="Verdana"/>
          <w:sz w:val="20"/>
          <w:szCs w:val="20"/>
        </w:rPr>
        <w:t xml:space="preserve"> deberán levantar actas circunstanciadas en presencia de dos testigos propuestos por el representante del sujeto de fiscalización o, en su ausencia o negativa, por la autoridad que practique la diligencia, en las que se harán constar, en su caso, los hechos u omisiones que se hubieren detectado. Las actas y sus anexos serán considerados como prueba de los hechos que consignen.</w:t>
      </w:r>
    </w:p>
    <w:p w:rsidRPr="00D07BF9" w:rsidR="00D07BF9" w:rsidP="00D07BF9" w:rsidRDefault="00D07BF9" w14:paraId="2F01FC87" w14:textId="77777777">
      <w:pPr>
        <w:pStyle w:val="Estilo"/>
        <w:rPr>
          <w:rFonts w:ascii="Verdana" w:hAnsi="Verdana"/>
          <w:sz w:val="20"/>
          <w:szCs w:val="20"/>
        </w:rPr>
      </w:pPr>
    </w:p>
    <w:p w:rsidRPr="004D1DA8" w:rsidR="00D07BF9" w:rsidP="004D1DA8" w:rsidRDefault="00D07BF9" w14:paraId="7A4187EE" w14:textId="77777777">
      <w:pPr>
        <w:pStyle w:val="Estilo"/>
        <w:jc w:val="right"/>
        <w:rPr>
          <w:rFonts w:ascii="Verdana" w:hAnsi="Verdana"/>
          <w:b/>
          <w:bCs/>
          <w:sz w:val="20"/>
          <w:szCs w:val="20"/>
        </w:rPr>
      </w:pPr>
      <w:r w:rsidRPr="004D1DA8">
        <w:rPr>
          <w:rFonts w:ascii="Verdana" w:hAnsi="Verdana"/>
          <w:b/>
          <w:bCs/>
          <w:sz w:val="20"/>
          <w:szCs w:val="20"/>
        </w:rPr>
        <w:t>Visitas</w:t>
      </w:r>
    </w:p>
    <w:p w:rsidRPr="00D07BF9" w:rsidR="00D07BF9" w:rsidP="00D07BF9" w:rsidRDefault="00D07BF9" w14:paraId="3F08A657" w14:textId="77777777">
      <w:pPr>
        <w:pStyle w:val="Estilo"/>
        <w:rPr>
          <w:rFonts w:ascii="Verdana" w:hAnsi="Verdana"/>
          <w:sz w:val="20"/>
          <w:szCs w:val="20"/>
        </w:rPr>
      </w:pPr>
      <w:r w:rsidRPr="00D07BF9">
        <w:rPr>
          <w:rFonts w:ascii="Verdana" w:hAnsi="Verdana"/>
          <w:sz w:val="20"/>
          <w:szCs w:val="20"/>
        </w:rPr>
        <w:t>Artículo 30. En el ejercicio de las funciones de fiscalización, los representantes de la Auditoría Superior podrán realizar visitas para verificar la documentación.</w:t>
      </w:r>
    </w:p>
    <w:p w:rsidRPr="00D07BF9" w:rsidR="00D07BF9" w:rsidP="00D07BF9" w:rsidRDefault="00D07BF9" w14:paraId="49E236FD" w14:textId="77777777">
      <w:pPr>
        <w:pStyle w:val="Estilo"/>
        <w:rPr>
          <w:rFonts w:ascii="Verdana" w:hAnsi="Verdana"/>
          <w:sz w:val="20"/>
          <w:szCs w:val="20"/>
        </w:rPr>
      </w:pPr>
    </w:p>
    <w:p w:rsidRPr="004D1DA8" w:rsidR="00D07BF9" w:rsidP="004D1DA8" w:rsidRDefault="00D07BF9" w14:paraId="06646A85" w14:textId="77777777">
      <w:pPr>
        <w:pStyle w:val="Estilo"/>
        <w:jc w:val="right"/>
        <w:rPr>
          <w:rFonts w:ascii="Verdana" w:hAnsi="Verdana"/>
          <w:b/>
          <w:bCs/>
          <w:sz w:val="20"/>
          <w:szCs w:val="20"/>
        </w:rPr>
      </w:pPr>
      <w:r w:rsidRPr="004D1DA8">
        <w:rPr>
          <w:rFonts w:ascii="Verdana" w:hAnsi="Verdana"/>
          <w:b/>
          <w:bCs/>
          <w:sz w:val="20"/>
          <w:szCs w:val="20"/>
        </w:rPr>
        <w:t>Notificaciones, visitas, inspecciones y verificaciones</w:t>
      </w:r>
    </w:p>
    <w:p w:rsidRPr="00D07BF9" w:rsidR="00D07BF9" w:rsidP="00D07BF9" w:rsidRDefault="00D07BF9" w14:paraId="5557254A" w14:textId="77777777">
      <w:pPr>
        <w:pStyle w:val="Estilo"/>
        <w:rPr>
          <w:rFonts w:ascii="Verdana" w:hAnsi="Verdana"/>
          <w:sz w:val="20"/>
          <w:szCs w:val="20"/>
        </w:rPr>
      </w:pPr>
      <w:r w:rsidRPr="00D07BF9">
        <w:rPr>
          <w:rFonts w:ascii="Verdana" w:hAnsi="Verdana"/>
          <w:sz w:val="20"/>
          <w:szCs w:val="20"/>
        </w:rPr>
        <w:t>Artículo 31. Para las notificaciones, visitas, inspecciones y verificaciones referidas en esta ley, y en lo no previsto por la misma, se aplicarán en lo conducente los procedimientos que para este efecto se establezcan en el Reglamento y en su defecto, en el Código Fiscal para el Estado de Guanajuato.</w:t>
      </w:r>
    </w:p>
    <w:p w:rsidRPr="00D07BF9" w:rsidR="00D07BF9" w:rsidP="00D07BF9" w:rsidRDefault="00D07BF9" w14:paraId="0B3E71D6" w14:textId="77777777">
      <w:pPr>
        <w:pStyle w:val="Estilo"/>
        <w:rPr>
          <w:rFonts w:ascii="Verdana" w:hAnsi="Verdana"/>
          <w:sz w:val="20"/>
          <w:szCs w:val="20"/>
        </w:rPr>
      </w:pPr>
    </w:p>
    <w:p w:rsidRPr="004D1DA8" w:rsidR="00D07BF9" w:rsidP="004D1DA8" w:rsidRDefault="00D07BF9" w14:paraId="75A1CC12" w14:textId="77777777">
      <w:pPr>
        <w:pStyle w:val="Estilo"/>
        <w:jc w:val="right"/>
        <w:rPr>
          <w:rFonts w:ascii="Verdana" w:hAnsi="Verdana"/>
          <w:b/>
          <w:bCs/>
          <w:sz w:val="20"/>
          <w:szCs w:val="20"/>
        </w:rPr>
      </w:pPr>
      <w:r w:rsidRPr="004D1DA8">
        <w:rPr>
          <w:rFonts w:ascii="Verdana" w:hAnsi="Verdana"/>
          <w:b/>
          <w:bCs/>
          <w:sz w:val="20"/>
          <w:szCs w:val="20"/>
        </w:rPr>
        <w:t>Fiscalización a particulares</w:t>
      </w:r>
    </w:p>
    <w:p w:rsidRPr="00D07BF9" w:rsidR="00D07BF9" w:rsidP="00D07BF9" w:rsidRDefault="00D07BF9" w14:paraId="5B1ECA9E" w14:textId="77777777">
      <w:pPr>
        <w:pStyle w:val="Estilo"/>
        <w:rPr>
          <w:rFonts w:ascii="Verdana" w:hAnsi="Verdana"/>
          <w:sz w:val="20"/>
          <w:szCs w:val="20"/>
        </w:rPr>
      </w:pPr>
      <w:r w:rsidRPr="00D07BF9">
        <w:rPr>
          <w:rFonts w:ascii="Verdana" w:hAnsi="Verdana"/>
          <w:sz w:val="20"/>
          <w:szCs w:val="20"/>
        </w:rPr>
        <w:t>Artículo 32. Para la fiscalización de los recursos públicos que se destinen y ejerzan por particulares, se practicarán auditorías que estarán destinadas exclusivamente a la revisión de la aplicación de dichos recursos a los fines para los que fueron otorgados. Para tal efecto, los particulares deberán llevar el control y registro contable de los recursos públicos que se les hayan destinado para su ejercicio.</w:t>
      </w:r>
    </w:p>
    <w:p w:rsidRPr="00D07BF9" w:rsidR="00D07BF9" w:rsidP="00D07BF9" w:rsidRDefault="00D07BF9" w14:paraId="475007CF" w14:textId="77777777">
      <w:pPr>
        <w:pStyle w:val="Estilo"/>
        <w:rPr>
          <w:rFonts w:ascii="Verdana" w:hAnsi="Verdana"/>
          <w:sz w:val="20"/>
          <w:szCs w:val="20"/>
        </w:rPr>
      </w:pPr>
    </w:p>
    <w:p w:rsidRPr="00D07BF9" w:rsidR="00D07BF9" w:rsidP="00D07BF9" w:rsidRDefault="00D07BF9" w14:paraId="64486611" w14:textId="77777777">
      <w:pPr>
        <w:pStyle w:val="Estilo"/>
        <w:rPr>
          <w:rFonts w:ascii="Verdana" w:hAnsi="Verdana"/>
          <w:sz w:val="20"/>
          <w:szCs w:val="20"/>
        </w:rPr>
      </w:pPr>
      <w:r w:rsidRPr="00D07BF9">
        <w:rPr>
          <w:rFonts w:ascii="Verdana" w:hAnsi="Verdana"/>
          <w:sz w:val="20"/>
          <w:szCs w:val="20"/>
        </w:rPr>
        <w:t>Dichas auditorías se llevarán a cabo observando los procedimientos previstos en la presente ley, o en lo conducente aquéllos que para este efecto se establezcan en el Reglamento y en su defecto o (sic) en el Código Fiscal para el Estado de Guanajuato.</w:t>
      </w:r>
    </w:p>
    <w:p w:rsidRPr="00D07BF9" w:rsidR="00D07BF9" w:rsidP="00D07BF9" w:rsidRDefault="00D07BF9" w14:paraId="48807A29" w14:textId="77777777">
      <w:pPr>
        <w:pStyle w:val="Estilo"/>
        <w:rPr>
          <w:rFonts w:ascii="Verdana" w:hAnsi="Verdana"/>
          <w:sz w:val="20"/>
          <w:szCs w:val="20"/>
        </w:rPr>
      </w:pPr>
    </w:p>
    <w:p w:rsidRPr="004D1DA8" w:rsidR="00D07BF9" w:rsidP="004D1DA8" w:rsidRDefault="00D07BF9" w14:paraId="03DB4486" w14:textId="77777777">
      <w:pPr>
        <w:pStyle w:val="Estilo"/>
        <w:jc w:val="right"/>
        <w:rPr>
          <w:rFonts w:ascii="Verdana" w:hAnsi="Verdana"/>
          <w:b/>
          <w:bCs/>
          <w:sz w:val="20"/>
          <w:szCs w:val="20"/>
        </w:rPr>
      </w:pPr>
      <w:r w:rsidRPr="004D1DA8">
        <w:rPr>
          <w:rFonts w:ascii="Verdana" w:hAnsi="Verdana"/>
          <w:b/>
          <w:bCs/>
          <w:sz w:val="20"/>
          <w:szCs w:val="20"/>
        </w:rPr>
        <w:t>Extinción de facultades</w:t>
      </w:r>
    </w:p>
    <w:p w:rsidRPr="00D07BF9" w:rsidR="00D07BF9" w:rsidP="00D07BF9" w:rsidRDefault="00D07BF9" w14:paraId="0DE0830D" w14:textId="77777777">
      <w:pPr>
        <w:pStyle w:val="Estilo"/>
        <w:rPr>
          <w:rFonts w:ascii="Verdana" w:hAnsi="Verdana"/>
          <w:sz w:val="20"/>
          <w:szCs w:val="20"/>
        </w:rPr>
      </w:pPr>
      <w:r w:rsidRPr="00D07BF9">
        <w:rPr>
          <w:rFonts w:ascii="Verdana" w:hAnsi="Verdana"/>
          <w:sz w:val="20"/>
          <w:szCs w:val="20"/>
        </w:rPr>
        <w:t>Artículo 33. No podrán fiscalizarse los conceptos de las cuentas públicas o realizarse auditorías, cuando excedan los cinco años previos al inicio de su revisión o práctica.</w:t>
      </w:r>
    </w:p>
    <w:p w:rsidRPr="00D07BF9" w:rsidR="00D07BF9" w:rsidP="00D07BF9" w:rsidRDefault="00D07BF9" w14:paraId="7910504D" w14:textId="77777777">
      <w:pPr>
        <w:pStyle w:val="Estilo"/>
        <w:rPr>
          <w:rFonts w:ascii="Verdana" w:hAnsi="Verdana"/>
          <w:sz w:val="20"/>
          <w:szCs w:val="20"/>
        </w:rPr>
      </w:pPr>
    </w:p>
    <w:p w:rsidRPr="004D1DA8" w:rsidR="00D07BF9" w:rsidP="004D1DA8" w:rsidRDefault="00D07BF9" w14:paraId="01E59E3A" w14:textId="77777777">
      <w:pPr>
        <w:pStyle w:val="Estilo"/>
        <w:jc w:val="right"/>
        <w:rPr>
          <w:rFonts w:ascii="Verdana" w:hAnsi="Verdana"/>
          <w:b/>
          <w:bCs/>
          <w:sz w:val="20"/>
          <w:szCs w:val="20"/>
        </w:rPr>
      </w:pPr>
      <w:r w:rsidRPr="004D1DA8">
        <w:rPr>
          <w:rFonts w:ascii="Verdana" w:hAnsi="Verdana"/>
          <w:b/>
          <w:bCs/>
          <w:sz w:val="20"/>
          <w:szCs w:val="20"/>
        </w:rPr>
        <w:t>Caducidad</w:t>
      </w:r>
    </w:p>
    <w:p w:rsidRPr="00D07BF9" w:rsidR="00D07BF9" w:rsidP="00D07BF9" w:rsidRDefault="00D07BF9" w14:paraId="60F3BB1C" w14:textId="77777777">
      <w:pPr>
        <w:pStyle w:val="Estilo"/>
        <w:rPr>
          <w:rFonts w:ascii="Verdana" w:hAnsi="Verdana"/>
          <w:sz w:val="20"/>
          <w:szCs w:val="20"/>
        </w:rPr>
      </w:pPr>
      <w:r w:rsidRPr="00D07BF9">
        <w:rPr>
          <w:rFonts w:ascii="Verdana" w:hAnsi="Verdana"/>
          <w:sz w:val="20"/>
          <w:szCs w:val="20"/>
        </w:rPr>
        <w:t>Artículo 34. El proceso de fiscalización caduca en un plazo de cinco años, en los siguientes términos:</w:t>
      </w:r>
    </w:p>
    <w:p w:rsidRPr="00D07BF9" w:rsidR="00D07BF9" w:rsidP="00D07BF9" w:rsidRDefault="00D07BF9" w14:paraId="015E092E" w14:textId="77777777">
      <w:pPr>
        <w:pStyle w:val="Estilo"/>
        <w:rPr>
          <w:rFonts w:ascii="Verdana" w:hAnsi="Verdana"/>
          <w:sz w:val="20"/>
          <w:szCs w:val="20"/>
        </w:rPr>
      </w:pPr>
    </w:p>
    <w:p w:rsidRPr="00D07BF9" w:rsidR="00D07BF9" w:rsidP="00D07BF9" w:rsidRDefault="00D07BF9" w14:paraId="0F92D253" w14:textId="77777777">
      <w:pPr>
        <w:pStyle w:val="Estilo"/>
        <w:rPr>
          <w:rFonts w:ascii="Verdana" w:hAnsi="Verdana"/>
          <w:sz w:val="20"/>
          <w:szCs w:val="20"/>
        </w:rPr>
      </w:pPr>
      <w:r w:rsidRPr="00D07BF9">
        <w:rPr>
          <w:rFonts w:ascii="Verdana" w:hAnsi="Verdana"/>
          <w:sz w:val="20"/>
          <w:szCs w:val="20"/>
        </w:rPr>
        <w:t>I. Tratándose de la revisión de las cuentas públicas, contados a partir del día siguiente a aquél en que se presentó o debió haberse presentado la cuenta pública, de conformidad con los plazos previstos en esta ley;</w:t>
      </w:r>
    </w:p>
    <w:p w:rsidRPr="00D07BF9" w:rsidR="00D07BF9" w:rsidP="00D07BF9" w:rsidRDefault="00D07BF9" w14:paraId="0E9B7EDE" w14:textId="77777777">
      <w:pPr>
        <w:pStyle w:val="Estilo"/>
        <w:rPr>
          <w:rFonts w:ascii="Verdana" w:hAnsi="Verdana"/>
          <w:sz w:val="20"/>
          <w:szCs w:val="20"/>
        </w:rPr>
      </w:pPr>
    </w:p>
    <w:p w:rsidRPr="00D07BF9" w:rsidR="00D07BF9" w:rsidP="00D07BF9" w:rsidRDefault="00D07BF9" w14:paraId="7E5EB8EA" w14:textId="77777777">
      <w:pPr>
        <w:pStyle w:val="Estilo"/>
        <w:rPr>
          <w:rFonts w:ascii="Verdana" w:hAnsi="Verdana"/>
          <w:sz w:val="20"/>
          <w:szCs w:val="20"/>
        </w:rPr>
      </w:pPr>
      <w:r w:rsidRPr="00D07BF9">
        <w:rPr>
          <w:rFonts w:ascii="Verdana" w:hAnsi="Verdana"/>
          <w:sz w:val="20"/>
          <w:szCs w:val="20"/>
        </w:rPr>
        <w:t>II. Tratándose de auditorías, contados a partir del día siguiente de la fecha señalada para su inicio; y</w:t>
      </w:r>
    </w:p>
    <w:p w:rsidRPr="00D07BF9" w:rsidR="00D07BF9" w:rsidP="00D07BF9" w:rsidRDefault="00D07BF9" w14:paraId="12E8DC4A" w14:textId="77777777">
      <w:pPr>
        <w:pStyle w:val="Estilo"/>
        <w:rPr>
          <w:rFonts w:ascii="Verdana" w:hAnsi="Verdana"/>
          <w:sz w:val="20"/>
          <w:szCs w:val="20"/>
        </w:rPr>
      </w:pPr>
    </w:p>
    <w:p w:rsidRPr="00D07BF9" w:rsidR="00D07BF9" w:rsidP="00D07BF9" w:rsidRDefault="00D07BF9" w14:paraId="0A57B4B7" w14:textId="77777777">
      <w:pPr>
        <w:pStyle w:val="Estilo"/>
        <w:rPr>
          <w:rFonts w:ascii="Verdana" w:hAnsi="Verdana"/>
          <w:sz w:val="20"/>
          <w:szCs w:val="20"/>
        </w:rPr>
      </w:pPr>
      <w:r w:rsidRPr="00D07BF9">
        <w:rPr>
          <w:rFonts w:ascii="Verdana" w:hAnsi="Verdana"/>
          <w:sz w:val="20"/>
          <w:szCs w:val="20"/>
        </w:rPr>
        <w:t>III. Tratándose de la investigación de situaciones excepcionales, contados a partir del día siguiente a aquél en que se presentó la denuncia por escrito.</w:t>
      </w:r>
    </w:p>
    <w:p w:rsidRPr="00D07BF9" w:rsidR="00D07BF9" w:rsidP="00D07BF9" w:rsidRDefault="00D07BF9" w14:paraId="61BC7BF0" w14:textId="77777777">
      <w:pPr>
        <w:pStyle w:val="Estilo"/>
        <w:rPr>
          <w:rFonts w:ascii="Verdana" w:hAnsi="Verdana"/>
          <w:sz w:val="20"/>
          <w:szCs w:val="20"/>
        </w:rPr>
      </w:pPr>
    </w:p>
    <w:p w:rsidRPr="00D07BF9" w:rsidR="00D07BF9" w:rsidP="00D07BF9" w:rsidRDefault="00D07BF9" w14:paraId="16EB8D84" w14:textId="77777777">
      <w:pPr>
        <w:pStyle w:val="Estilo"/>
        <w:rPr>
          <w:rFonts w:ascii="Verdana" w:hAnsi="Verdana"/>
          <w:sz w:val="20"/>
          <w:szCs w:val="20"/>
        </w:rPr>
      </w:pPr>
      <w:r w:rsidRPr="00D07BF9">
        <w:rPr>
          <w:rFonts w:ascii="Verdana" w:hAnsi="Verdana"/>
          <w:sz w:val="20"/>
          <w:szCs w:val="20"/>
        </w:rPr>
        <w:t>El plazo señalado en este artículo no está sujeto a interrupción o suspensión y opera por el simple transcurso del tiempo. La caducidad podrá declararse de oficio o a petición de parte.</w:t>
      </w:r>
    </w:p>
    <w:p w:rsidRPr="00D07BF9" w:rsidR="00D07BF9" w:rsidP="00D07BF9" w:rsidRDefault="00D07BF9" w14:paraId="65A0C6EF" w14:textId="77777777">
      <w:pPr>
        <w:pStyle w:val="Estilo"/>
        <w:rPr>
          <w:rFonts w:ascii="Verdana" w:hAnsi="Verdana"/>
          <w:sz w:val="20"/>
          <w:szCs w:val="20"/>
        </w:rPr>
      </w:pPr>
    </w:p>
    <w:p w:rsidRPr="00D07BF9" w:rsidR="00D07BF9" w:rsidP="00D07BF9" w:rsidRDefault="00D07BF9" w14:paraId="63FCB1B0" w14:textId="77777777">
      <w:pPr>
        <w:pStyle w:val="Estilo"/>
        <w:rPr>
          <w:rFonts w:ascii="Verdana" w:hAnsi="Verdana"/>
          <w:sz w:val="20"/>
          <w:szCs w:val="20"/>
        </w:rPr>
      </w:pPr>
    </w:p>
    <w:p w:rsidRPr="004D1DA8" w:rsidR="00D07BF9" w:rsidP="004D1DA8" w:rsidRDefault="00D07BF9" w14:paraId="7039983B" w14:textId="77777777">
      <w:pPr>
        <w:pStyle w:val="Estilo"/>
        <w:jc w:val="center"/>
        <w:rPr>
          <w:rFonts w:ascii="Verdana" w:hAnsi="Verdana"/>
          <w:b/>
          <w:bCs/>
          <w:sz w:val="20"/>
          <w:szCs w:val="20"/>
        </w:rPr>
      </w:pPr>
      <w:r w:rsidRPr="004D1DA8">
        <w:rPr>
          <w:rFonts w:ascii="Verdana" w:hAnsi="Verdana"/>
          <w:b/>
          <w:bCs/>
          <w:sz w:val="20"/>
          <w:szCs w:val="20"/>
        </w:rPr>
        <w:t>Capítulo II</w:t>
      </w:r>
    </w:p>
    <w:p w:rsidRPr="004D1DA8" w:rsidR="00D07BF9" w:rsidP="004D1DA8" w:rsidRDefault="00D07BF9" w14:paraId="3B0FAAB8" w14:textId="77777777">
      <w:pPr>
        <w:pStyle w:val="Estilo"/>
        <w:jc w:val="center"/>
        <w:rPr>
          <w:rFonts w:ascii="Verdana" w:hAnsi="Verdana"/>
          <w:b/>
          <w:bCs/>
          <w:sz w:val="20"/>
          <w:szCs w:val="20"/>
        </w:rPr>
      </w:pPr>
      <w:r w:rsidRPr="004D1DA8">
        <w:rPr>
          <w:rFonts w:ascii="Verdana" w:hAnsi="Verdana"/>
          <w:b/>
          <w:bCs/>
          <w:sz w:val="20"/>
          <w:szCs w:val="20"/>
        </w:rPr>
        <w:t>Revisión de la Cuenta Pública y Auditorías</w:t>
      </w:r>
    </w:p>
    <w:p w:rsidRPr="00D07BF9" w:rsidR="00D07BF9" w:rsidP="00D07BF9" w:rsidRDefault="00D07BF9" w14:paraId="631534AD" w14:textId="77777777">
      <w:pPr>
        <w:pStyle w:val="Estilo"/>
        <w:rPr>
          <w:rFonts w:ascii="Verdana" w:hAnsi="Verdana"/>
          <w:sz w:val="20"/>
          <w:szCs w:val="20"/>
        </w:rPr>
      </w:pPr>
    </w:p>
    <w:p w:rsidRPr="004D1DA8" w:rsidR="00D07BF9" w:rsidP="004D1DA8" w:rsidRDefault="00D07BF9" w14:paraId="3F92B6E6" w14:textId="77777777">
      <w:pPr>
        <w:pStyle w:val="Estilo"/>
        <w:jc w:val="right"/>
        <w:rPr>
          <w:rFonts w:ascii="Verdana" w:hAnsi="Verdana"/>
          <w:b/>
          <w:bCs/>
          <w:sz w:val="20"/>
          <w:szCs w:val="20"/>
        </w:rPr>
      </w:pPr>
      <w:r w:rsidRPr="004D1DA8">
        <w:rPr>
          <w:rFonts w:ascii="Verdana" w:hAnsi="Verdana"/>
          <w:b/>
          <w:bCs/>
          <w:sz w:val="20"/>
          <w:szCs w:val="20"/>
        </w:rPr>
        <w:t>Plazo</w:t>
      </w:r>
    </w:p>
    <w:p w:rsidRPr="00D07BF9" w:rsidR="00D07BF9" w:rsidP="00D07BF9" w:rsidRDefault="00D07BF9" w14:paraId="7A7F7E87" w14:textId="77777777">
      <w:pPr>
        <w:pStyle w:val="Estilo"/>
        <w:rPr>
          <w:rFonts w:ascii="Verdana" w:hAnsi="Verdana"/>
          <w:sz w:val="20"/>
          <w:szCs w:val="20"/>
        </w:rPr>
      </w:pPr>
      <w:r w:rsidRPr="00D07BF9">
        <w:rPr>
          <w:rFonts w:ascii="Verdana" w:hAnsi="Verdana"/>
          <w:sz w:val="20"/>
          <w:szCs w:val="20"/>
        </w:rPr>
        <w:t>Artículo 35. El proceso de revisión de cuenta pública y auditorías a cargo de la Auditoría Superior tendrá un plazo máximo de duración de seis meses. Dicho plazo se computará a partir de la fecha de notificación de su inicio al sujeto de fiscalización. Para los efectos de este plazo, el proceso concluirá con la entrega del informe de resultados al Congreso.</w:t>
      </w:r>
    </w:p>
    <w:p w:rsidRPr="00D07BF9" w:rsidR="00D07BF9" w:rsidP="00D07BF9" w:rsidRDefault="00D07BF9" w14:paraId="0825ED3E" w14:textId="77777777">
      <w:pPr>
        <w:pStyle w:val="Estilo"/>
        <w:rPr>
          <w:rFonts w:ascii="Verdana" w:hAnsi="Verdana"/>
          <w:sz w:val="20"/>
          <w:szCs w:val="20"/>
        </w:rPr>
      </w:pPr>
    </w:p>
    <w:p w:rsidRPr="00D07BF9" w:rsidR="00D07BF9" w:rsidP="00D07BF9" w:rsidRDefault="00D07BF9" w14:paraId="320B2217" w14:textId="77777777">
      <w:pPr>
        <w:pStyle w:val="Estilo"/>
        <w:rPr>
          <w:rFonts w:ascii="Verdana" w:hAnsi="Verdana"/>
          <w:sz w:val="20"/>
          <w:szCs w:val="20"/>
        </w:rPr>
      </w:pPr>
      <w:r w:rsidRPr="00D07BF9">
        <w:rPr>
          <w:rFonts w:ascii="Verdana" w:hAnsi="Verdana"/>
          <w:sz w:val="20"/>
          <w:szCs w:val="20"/>
        </w:rPr>
        <w:t xml:space="preserve">El incumplimiento del plazo señalado en el párrafo </w:t>
      </w:r>
      <w:proofErr w:type="gramStart"/>
      <w:r w:rsidRPr="00D07BF9">
        <w:rPr>
          <w:rFonts w:ascii="Verdana" w:hAnsi="Verdana"/>
          <w:sz w:val="20"/>
          <w:szCs w:val="20"/>
        </w:rPr>
        <w:t>anterior,</w:t>
      </w:r>
      <w:proofErr w:type="gramEnd"/>
      <w:r w:rsidRPr="00D07BF9">
        <w:rPr>
          <w:rFonts w:ascii="Verdana" w:hAnsi="Verdana"/>
          <w:sz w:val="20"/>
          <w:szCs w:val="20"/>
        </w:rPr>
        <w:t xml:space="preserve"> solo tendrá como consecuencia una responsabilidad administrativa en su caso, sin perjuicio de que deba continuarse con el proceso de fiscalización hasta su total conclusión y de la validez del informe de resultados.</w:t>
      </w:r>
    </w:p>
    <w:p w:rsidRPr="00D07BF9" w:rsidR="00D07BF9" w:rsidP="00D07BF9" w:rsidRDefault="00D07BF9" w14:paraId="70279987" w14:textId="77777777">
      <w:pPr>
        <w:pStyle w:val="Estilo"/>
        <w:rPr>
          <w:rFonts w:ascii="Verdana" w:hAnsi="Verdana"/>
          <w:sz w:val="20"/>
          <w:szCs w:val="20"/>
        </w:rPr>
      </w:pPr>
    </w:p>
    <w:p w:rsidRPr="004D1DA8" w:rsidR="00D07BF9" w:rsidP="004D1DA8" w:rsidRDefault="00D07BF9" w14:paraId="3A39D3B1" w14:textId="77777777">
      <w:pPr>
        <w:pStyle w:val="Estilo"/>
        <w:jc w:val="right"/>
        <w:rPr>
          <w:rFonts w:ascii="Verdana" w:hAnsi="Verdana"/>
          <w:b/>
          <w:bCs/>
          <w:sz w:val="20"/>
          <w:szCs w:val="20"/>
        </w:rPr>
      </w:pPr>
      <w:r w:rsidRPr="004D1DA8">
        <w:rPr>
          <w:rFonts w:ascii="Verdana" w:hAnsi="Verdana"/>
          <w:b/>
          <w:bCs/>
          <w:sz w:val="20"/>
          <w:szCs w:val="20"/>
        </w:rPr>
        <w:t>Alcance mínimo</w:t>
      </w:r>
    </w:p>
    <w:p w:rsidRPr="00D07BF9" w:rsidR="00D07BF9" w:rsidP="00D07BF9" w:rsidRDefault="00D07BF9" w14:paraId="577B0CAF" w14:textId="77777777">
      <w:pPr>
        <w:pStyle w:val="Estilo"/>
        <w:rPr>
          <w:rFonts w:ascii="Verdana" w:hAnsi="Verdana"/>
          <w:sz w:val="20"/>
          <w:szCs w:val="20"/>
        </w:rPr>
      </w:pPr>
      <w:r w:rsidRPr="00D07BF9">
        <w:rPr>
          <w:rFonts w:ascii="Verdana" w:hAnsi="Verdana"/>
          <w:sz w:val="20"/>
          <w:szCs w:val="20"/>
        </w:rPr>
        <w:t>Artículo 36. En la fiscalización de la cuenta pública y práctica de auditorías, la Auditoría Superior deberá cubrir un alcance de al menos un 30% del ingreso o gasto.</w:t>
      </w:r>
    </w:p>
    <w:p w:rsidRPr="00D07BF9" w:rsidR="00D07BF9" w:rsidP="00D07BF9" w:rsidRDefault="00D07BF9" w14:paraId="26A2782F" w14:textId="77777777">
      <w:pPr>
        <w:pStyle w:val="Estilo"/>
        <w:rPr>
          <w:rFonts w:ascii="Verdana" w:hAnsi="Verdana"/>
          <w:sz w:val="20"/>
          <w:szCs w:val="20"/>
        </w:rPr>
      </w:pPr>
    </w:p>
    <w:p w:rsidRPr="004D1DA8" w:rsidR="00D07BF9" w:rsidP="004D1DA8" w:rsidRDefault="00D07BF9" w14:paraId="41E9580C" w14:textId="77777777">
      <w:pPr>
        <w:pStyle w:val="Estilo"/>
        <w:jc w:val="right"/>
        <w:rPr>
          <w:rFonts w:ascii="Verdana" w:hAnsi="Verdana"/>
          <w:b/>
          <w:bCs/>
          <w:sz w:val="20"/>
          <w:szCs w:val="20"/>
        </w:rPr>
      </w:pPr>
      <w:r w:rsidRPr="004D1DA8">
        <w:rPr>
          <w:rFonts w:ascii="Verdana" w:hAnsi="Verdana"/>
          <w:b/>
          <w:bCs/>
          <w:sz w:val="20"/>
          <w:szCs w:val="20"/>
        </w:rPr>
        <w:lastRenderedPageBreak/>
        <w:t>Fases</w:t>
      </w:r>
    </w:p>
    <w:p w:rsidRPr="00D07BF9" w:rsidR="00D07BF9" w:rsidP="00D07BF9" w:rsidRDefault="00D07BF9" w14:paraId="2FE3AE4F" w14:textId="77777777">
      <w:pPr>
        <w:pStyle w:val="Estilo"/>
        <w:rPr>
          <w:rFonts w:ascii="Verdana" w:hAnsi="Verdana"/>
          <w:sz w:val="20"/>
          <w:szCs w:val="20"/>
        </w:rPr>
      </w:pPr>
      <w:r w:rsidRPr="00D07BF9">
        <w:rPr>
          <w:rFonts w:ascii="Verdana" w:hAnsi="Verdana"/>
          <w:sz w:val="20"/>
          <w:szCs w:val="20"/>
        </w:rPr>
        <w:t>Artículo 37. El proceso de revisión de cuenta pública y auditorías constará de las siguientes fases:</w:t>
      </w:r>
    </w:p>
    <w:p w:rsidRPr="00D07BF9" w:rsidR="00D07BF9" w:rsidP="00D07BF9" w:rsidRDefault="00D07BF9" w14:paraId="4CA2E065" w14:textId="77777777">
      <w:pPr>
        <w:pStyle w:val="Estilo"/>
        <w:rPr>
          <w:rFonts w:ascii="Verdana" w:hAnsi="Verdana"/>
          <w:sz w:val="20"/>
          <w:szCs w:val="20"/>
        </w:rPr>
      </w:pPr>
    </w:p>
    <w:p w:rsidRPr="00D07BF9" w:rsidR="00D07BF9" w:rsidP="00D07BF9" w:rsidRDefault="00D07BF9" w14:paraId="1F875869" w14:textId="77777777">
      <w:pPr>
        <w:pStyle w:val="Estilo"/>
        <w:rPr>
          <w:rFonts w:ascii="Verdana" w:hAnsi="Verdana"/>
          <w:sz w:val="20"/>
          <w:szCs w:val="20"/>
        </w:rPr>
      </w:pPr>
      <w:r w:rsidRPr="00D07BF9">
        <w:rPr>
          <w:rFonts w:ascii="Verdana" w:hAnsi="Verdana"/>
          <w:sz w:val="20"/>
          <w:szCs w:val="20"/>
        </w:rPr>
        <w:t>I. La Auditoría Superior iniciará con la notificación de la orden de inicio, conforme a las disposiciones de esta ley, el Reglamento, los lineamientos, los manuales y las guías.</w:t>
      </w:r>
    </w:p>
    <w:p w:rsidRPr="00D07BF9" w:rsidR="00D07BF9" w:rsidP="00D07BF9" w:rsidRDefault="00D07BF9" w14:paraId="26578631" w14:textId="77777777">
      <w:pPr>
        <w:pStyle w:val="Estilo"/>
        <w:rPr>
          <w:rFonts w:ascii="Verdana" w:hAnsi="Verdana"/>
          <w:sz w:val="20"/>
          <w:szCs w:val="20"/>
        </w:rPr>
      </w:pPr>
    </w:p>
    <w:p w:rsidRPr="00D07BF9" w:rsidR="00D07BF9" w:rsidP="00D07BF9" w:rsidRDefault="00D07BF9" w14:paraId="06C3DBAC" w14:textId="77777777">
      <w:pPr>
        <w:pStyle w:val="Estilo"/>
        <w:rPr>
          <w:rFonts w:ascii="Verdana" w:hAnsi="Verdana"/>
          <w:sz w:val="20"/>
          <w:szCs w:val="20"/>
        </w:rPr>
      </w:pPr>
      <w:r w:rsidRPr="00D07BF9">
        <w:rPr>
          <w:rFonts w:ascii="Verdana" w:hAnsi="Verdana"/>
          <w:sz w:val="20"/>
          <w:szCs w:val="20"/>
        </w:rPr>
        <w:t>La orden de inicio deberá contener por lo menos los requisitos siguientes:</w:t>
      </w:r>
    </w:p>
    <w:p w:rsidRPr="00D07BF9" w:rsidR="00D07BF9" w:rsidP="00D07BF9" w:rsidRDefault="00D07BF9" w14:paraId="22CF0F1B" w14:textId="77777777">
      <w:pPr>
        <w:pStyle w:val="Estilo"/>
        <w:rPr>
          <w:rFonts w:ascii="Verdana" w:hAnsi="Verdana"/>
          <w:sz w:val="20"/>
          <w:szCs w:val="20"/>
        </w:rPr>
      </w:pPr>
    </w:p>
    <w:p w:rsidRPr="00D07BF9" w:rsidR="00D07BF9" w:rsidP="00D07BF9" w:rsidRDefault="00D07BF9" w14:paraId="7C834C6E" w14:textId="77777777">
      <w:pPr>
        <w:pStyle w:val="Estilo"/>
        <w:rPr>
          <w:rFonts w:ascii="Verdana" w:hAnsi="Verdana"/>
          <w:sz w:val="20"/>
          <w:szCs w:val="20"/>
        </w:rPr>
      </w:pPr>
      <w:r w:rsidRPr="00D07BF9">
        <w:rPr>
          <w:rFonts w:ascii="Verdana" w:hAnsi="Verdana"/>
          <w:sz w:val="20"/>
          <w:szCs w:val="20"/>
        </w:rPr>
        <w:t>a) Sujeto de fiscalización;</w:t>
      </w:r>
    </w:p>
    <w:p w:rsidRPr="00D07BF9" w:rsidR="00D07BF9" w:rsidP="00D07BF9" w:rsidRDefault="00D07BF9" w14:paraId="54181F0E" w14:textId="77777777">
      <w:pPr>
        <w:pStyle w:val="Estilo"/>
        <w:rPr>
          <w:rFonts w:ascii="Verdana" w:hAnsi="Verdana"/>
          <w:sz w:val="20"/>
          <w:szCs w:val="20"/>
        </w:rPr>
      </w:pPr>
    </w:p>
    <w:p w:rsidRPr="00D07BF9" w:rsidR="00D07BF9" w:rsidP="00D07BF9" w:rsidRDefault="00D07BF9" w14:paraId="3C6C491B" w14:textId="77777777">
      <w:pPr>
        <w:pStyle w:val="Estilo"/>
        <w:rPr>
          <w:rFonts w:ascii="Verdana" w:hAnsi="Verdana"/>
          <w:sz w:val="20"/>
          <w:szCs w:val="20"/>
        </w:rPr>
      </w:pPr>
      <w:r w:rsidRPr="00D07BF9">
        <w:rPr>
          <w:rFonts w:ascii="Verdana" w:hAnsi="Verdana"/>
          <w:sz w:val="20"/>
          <w:szCs w:val="20"/>
        </w:rPr>
        <w:t>b) Período de revisión;</w:t>
      </w:r>
    </w:p>
    <w:p w:rsidRPr="00D07BF9" w:rsidR="00D07BF9" w:rsidP="00D07BF9" w:rsidRDefault="00D07BF9" w14:paraId="213D75AA" w14:textId="77777777">
      <w:pPr>
        <w:pStyle w:val="Estilo"/>
        <w:rPr>
          <w:rFonts w:ascii="Verdana" w:hAnsi="Verdana"/>
          <w:sz w:val="20"/>
          <w:szCs w:val="20"/>
        </w:rPr>
      </w:pPr>
    </w:p>
    <w:p w:rsidRPr="00D07BF9" w:rsidR="00D07BF9" w:rsidP="00D07BF9" w:rsidRDefault="00D07BF9" w14:paraId="4DD7C0F7" w14:textId="77777777">
      <w:pPr>
        <w:pStyle w:val="Estilo"/>
        <w:rPr>
          <w:rFonts w:ascii="Verdana" w:hAnsi="Verdana"/>
          <w:sz w:val="20"/>
          <w:szCs w:val="20"/>
        </w:rPr>
      </w:pPr>
      <w:r w:rsidRPr="00D07BF9">
        <w:rPr>
          <w:rFonts w:ascii="Verdana" w:hAnsi="Verdana"/>
          <w:sz w:val="20"/>
          <w:szCs w:val="20"/>
        </w:rPr>
        <w:t>c) Objeto;</w:t>
      </w:r>
    </w:p>
    <w:p w:rsidRPr="00D07BF9" w:rsidR="00D07BF9" w:rsidP="00D07BF9" w:rsidRDefault="00D07BF9" w14:paraId="6912A523" w14:textId="77777777">
      <w:pPr>
        <w:pStyle w:val="Estilo"/>
        <w:rPr>
          <w:rFonts w:ascii="Verdana" w:hAnsi="Verdana"/>
          <w:sz w:val="20"/>
          <w:szCs w:val="20"/>
        </w:rPr>
      </w:pPr>
    </w:p>
    <w:p w:rsidRPr="00D07BF9" w:rsidR="00D07BF9" w:rsidP="00D07BF9" w:rsidRDefault="00D07BF9" w14:paraId="0B560EA7" w14:textId="77777777">
      <w:pPr>
        <w:pStyle w:val="Estilo"/>
        <w:rPr>
          <w:rFonts w:ascii="Verdana" w:hAnsi="Verdana"/>
          <w:sz w:val="20"/>
          <w:szCs w:val="20"/>
        </w:rPr>
      </w:pPr>
      <w:r w:rsidRPr="00D07BF9">
        <w:rPr>
          <w:rFonts w:ascii="Verdana" w:hAnsi="Verdana"/>
          <w:sz w:val="20"/>
          <w:szCs w:val="20"/>
        </w:rPr>
        <w:t>d) Motivación y fundamentación;</w:t>
      </w:r>
    </w:p>
    <w:p w:rsidRPr="00D07BF9" w:rsidR="00D07BF9" w:rsidP="00D07BF9" w:rsidRDefault="00D07BF9" w14:paraId="7F7CD576" w14:textId="77777777">
      <w:pPr>
        <w:pStyle w:val="Estilo"/>
        <w:rPr>
          <w:rFonts w:ascii="Verdana" w:hAnsi="Verdana"/>
          <w:sz w:val="20"/>
          <w:szCs w:val="20"/>
        </w:rPr>
      </w:pPr>
    </w:p>
    <w:p w:rsidRPr="00D07BF9" w:rsidR="00D07BF9" w:rsidP="00D07BF9" w:rsidRDefault="00D07BF9" w14:paraId="731603EE" w14:textId="77777777">
      <w:pPr>
        <w:pStyle w:val="Estilo"/>
        <w:rPr>
          <w:rFonts w:ascii="Verdana" w:hAnsi="Verdana"/>
          <w:sz w:val="20"/>
          <w:szCs w:val="20"/>
        </w:rPr>
      </w:pPr>
      <w:r w:rsidRPr="00D07BF9">
        <w:rPr>
          <w:rFonts w:ascii="Verdana" w:hAnsi="Verdana"/>
          <w:sz w:val="20"/>
          <w:szCs w:val="20"/>
        </w:rPr>
        <w:t>e) Personal comisionado o habilitado; y</w:t>
      </w:r>
    </w:p>
    <w:p w:rsidRPr="00D07BF9" w:rsidR="00D07BF9" w:rsidP="00D07BF9" w:rsidRDefault="00D07BF9" w14:paraId="2EA1A93D" w14:textId="77777777">
      <w:pPr>
        <w:pStyle w:val="Estilo"/>
        <w:rPr>
          <w:rFonts w:ascii="Verdana" w:hAnsi="Verdana"/>
          <w:sz w:val="20"/>
          <w:szCs w:val="20"/>
        </w:rPr>
      </w:pPr>
    </w:p>
    <w:p w:rsidRPr="00D07BF9" w:rsidR="00D07BF9" w:rsidP="00D07BF9" w:rsidRDefault="00D07BF9" w14:paraId="0AE652AB" w14:textId="77777777">
      <w:pPr>
        <w:pStyle w:val="Estilo"/>
        <w:rPr>
          <w:rFonts w:ascii="Verdana" w:hAnsi="Verdana"/>
          <w:sz w:val="20"/>
          <w:szCs w:val="20"/>
        </w:rPr>
      </w:pPr>
      <w:r w:rsidRPr="00D07BF9">
        <w:rPr>
          <w:rFonts w:ascii="Verdana" w:hAnsi="Verdana"/>
          <w:sz w:val="20"/>
          <w:szCs w:val="20"/>
        </w:rPr>
        <w:t>f) Firma del Auditor Superior;</w:t>
      </w:r>
    </w:p>
    <w:p w:rsidRPr="00D07BF9" w:rsidR="00D07BF9" w:rsidP="00D07BF9" w:rsidRDefault="00D07BF9" w14:paraId="40FE24DD" w14:textId="77777777">
      <w:pPr>
        <w:pStyle w:val="Estilo"/>
        <w:rPr>
          <w:rFonts w:ascii="Verdana" w:hAnsi="Verdana"/>
          <w:sz w:val="20"/>
          <w:szCs w:val="20"/>
        </w:rPr>
      </w:pPr>
    </w:p>
    <w:p w:rsidRPr="00D07BF9" w:rsidR="00D07BF9" w:rsidP="00D07BF9" w:rsidRDefault="00D07BF9" w14:paraId="70D91BB5" w14:textId="77777777">
      <w:pPr>
        <w:pStyle w:val="Estilo"/>
        <w:rPr>
          <w:rFonts w:ascii="Verdana" w:hAnsi="Verdana"/>
          <w:sz w:val="20"/>
          <w:szCs w:val="20"/>
        </w:rPr>
      </w:pPr>
      <w:r w:rsidRPr="00D07BF9">
        <w:rPr>
          <w:rFonts w:ascii="Verdana" w:hAnsi="Verdana"/>
          <w:sz w:val="20"/>
          <w:szCs w:val="20"/>
        </w:rPr>
        <w:t xml:space="preserve">II. La Auditoría Superior notificará al sujeto de fiscalización, así como a los </w:t>
      </w:r>
      <w:proofErr w:type="gramStart"/>
      <w:r w:rsidRPr="00D07BF9">
        <w:rPr>
          <w:rFonts w:ascii="Verdana" w:hAnsi="Verdana"/>
          <w:sz w:val="20"/>
          <w:szCs w:val="20"/>
        </w:rPr>
        <w:t>ex titulares</w:t>
      </w:r>
      <w:proofErr w:type="gramEnd"/>
      <w:r w:rsidRPr="00D07BF9">
        <w:rPr>
          <w:rFonts w:ascii="Verdana" w:hAnsi="Verdana"/>
          <w:sz w:val="20"/>
          <w:szCs w:val="20"/>
        </w:rPr>
        <w:t xml:space="preserve"> cuando el proceso de fiscalización corresponda al período de su gestión, el pliego de observaciones y recomendaciones, para que las aclare, atienda o solvente dentro del término de quince días hábiles contados a partir del día hábil siguiente al de la notificación.</w:t>
      </w:r>
    </w:p>
    <w:p w:rsidRPr="00D07BF9" w:rsidR="00D07BF9" w:rsidP="00D07BF9" w:rsidRDefault="00D07BF9" w14:paraId="5408DE65" w14:textId="77777777">
      <w:pPr>
        <w:pStyle w:val="Estilo"/>
        <w:rPr>
          <w:rFonts w:ascii="Verdana" w:hAnsi="Verdana"/>
          <w:sz w:val="20"/>
          <w:szCs w:val="20"/>
        </w:rPr>
      </w:pPr>
    </w:p>
    <w:p w:rsidRPr="00D07BF9" w:rsidR="00D07BF9" w:rsidP="00D07BF9" w:rsidRDefault="00D07BF9" w14:paraId="7348BB67" w14:textId="77777777">
      <w:pPr>
        <w:pStyle w:val="Estilo"/>
        <w:rPr>
          <w:rFonts w:ascii="Verdana" w:hAnsi="Verdana"/>
          <w:sz w:val="20"/>
          <w:szCs w:val="20"/>
        </w:rPr>
      </w:pPr>
      <w:r w:rsidRPr="00D07BF9">
        <w:rPr>
          <w:rFonts w:ascii="Verdana" w:hAnsi="Verdana"/>
          <w:sz w:val="20"/>
          <w:szCs w:val="20"/>
        </w:rPr>
        <w:t xml:space="preserve">Los </w:t>
      </w:r>
      <w:proofErr w:type="gramStart"/>
      <w:r w:rsidRPr="00D07BF9">
        <w:rPr>
          <w:rFonts w:ascii="Verdana" w:hAnsi="Verdana"/>
          <w:sz w:val="20"/>
          <w:szCs w:val="20"/>
        </w:rPr>
        <w:t>ex titulares</w:t>
      </w:r>
      <w:proofErr w:type="gramEnd"/>
      <w:r w:rsidRPr="00D07BF9">
        <w:rPr>
          <w:rFonts w:ascii="Verdana" w:hAnsi="Verdana"/>
          <w:sz w:val="20"/>
          <w:szCs w:val="20"/>
        </w:rPr>
        <w:t>, para el efecto de contestar las observaciones tendrán derecho a solicitar por escrito la información que consideren pertinente a los titulares de los sujetos de fiscalización, quienes estarán obligados a entregar a la Auditoría Superior la información con que se cuente en sus archivos. También tendrán derecho a solicitar las copias certificadas que requieran.</w:t>
      </w:r>
    </w:p>
    <w:p w:rsidRPr="00D07BF9" w:rsidR="00D07BF9" w:rsidP="00D07BF9" w:rsidRDefault="00D07BF9" w14:paraId="484A6224" w14:textId="77777777">
      <w:pPr>
        <w:pStyle w:val="Estilo"/>
        <w:rPr>
          <w:rFonts w:ascii="Verdana" w:hAnsi="Verdana"/>
          <w:sz w:val="20"/>
          <w:szCs w:val="20"/>
        </w:rPr>
      </w:pPr>
    </w:p>
    <w:p w:rsidRPr="00D07BF9" w:rsidR="00D07BF9" w:rsidP="00D07BF9" w:rsidRDefault="00D07BF9" w14:paraId="68A3E581" w14:textId="77777777">
      <w:pPr>
        <w:pStyle w:val="Estilo"/>
        <w:rPr>
          <w:rFonts w:ascii="Verdana" w:hAnsi="Verdana"/>
          <w:sz w:val="20"/>
          <w:szCs w:val="20"/>
        </w:rPr>
      </w:pPr>
      <w:r w:rsidRPr="00D07BF9">
        <w:rPr>
          <w:rFonts w:ascii="Verdana" w:hAnsi="Verdana"/>
          <w:sz w:val="20"/>
          <w:szCs w:val="20"/>
        </w:rPr>
        <w:t>De no existir observación o recomendación alguna, se formulará el informe de resultados para turnarlo al Congreso, a efecto de que éste realice el acuerdo correspondiente;</w:t>
      </w:r>
    </w:p>
    <w:p w:rsidRPr="00D07BF9" w:rsidR="00D07BF9" w:rsidP="00D07BF9" w:rsidRDefault="00D07BF9" w14:paraId="72A86B50" w14:textId="77777777">
      <w:pPr>
        <w:pStyle w:val="Estilo"/>
        <w:rPr>
          <w:rFonts w:ascii="Verdana" w:hAnsi="Verdana"/>
          <w:sz w:val="20"/>
          <w:szCs w:val="20"/>
        </w:rPr>
      </w:pPr>
    </w:p>
    <w:p w:rsidRPr="00D07BF9" w:rsidR="00D07BF9" w:rsidP="00D07BF9" w:rsidRDefault="00D07BF9" w14:paraId="4229DA04" w14:textId="77777777">
      <w:pPr>
        <w:pStyle w:val="Estilo"/>
        <w:rPr>
          <w:rFonts w:ascii="Verdana" w:hAnsi="Verdana"/>
          <w:sz w:val="20"/>
          <w:szCs w:val="20"/>
        </w:rPr>
      </w:pPr>
      <w:r w:rsidRPr="00D07BF9">
        <w:rPr>
          <w:rFonts w:ascii="Verdana" w:hAnsi="Verdana"/>
          <w:sz w:val="20"/>
          <w:szCs w:val="20"/>
        </w:rPr>
        <w:t>III. Concluido el plazo para que el sujeto de fiscalización atienda o dé respuesta a las observaciones y recomendaciones o agotadas las acciones necesarias para su esclarecimiento, la Auditoría Superior elaborará y emitirá el informe de resultados correspondiente, el cual contendrá los requisitos señalados en el Reglamento;</w:t>
      </w:r>
    </w:p>
    <w:p w:rsidRPr="00D07BF9" w:rsidR="00D07BF9" w:rsidP="00D07BF9" w:rsidRDefault="00D07BF9" w14:paraId="5A9DB254" w14:textId="77777777">
      <w:pPr>
        <w:pStyle w:val="Estilo"/>
        <w:rPr>
          <w:rFonts w:ascii="Verdana" w:hAnsi="Verdana"/>
          <w:sz w:val="20"/>
          <w:szCs w:val="20"/>
        </w:rPr>
      </w:pPr>
    </w:p>
    <w:p w:rsidRPr="00D07BF9" w:rsidR="00D07BF9" w:rsidP="00D07BF9" w:rsidRDefault="00D07BF9" w14:paraId="6ECF296A" w14:textId="77777777">
      <w:pPr>
        <w:pStyle w:val="Estilo"/>
        <w:rPr>
          <w:rFonts w:ascii="Verdana" w:hAnsi="Verdana"/>
          <w:sz w:val="20"/>
          <w:szCs w:val="20"/>
        </w:rPr>
      </w:pPr>
      <w:r w:rsidRPr="00D07BF9">
        <w:rPr>
          <w:rFonts w:ascii="Verdana" w:hAnsi="Verdana"/>
          <w:sz w:val="20"/>
          <w:szCs w:val="20"/>
        </w:rPr>
        <w:t xml:space="preserve">IV. El informe de resultados se notificará al sujeto de fiscalización, así como a los </w:t>
      </w:r>
      <w:proofErr w:type="gramStart"/>
      <w:r w:rsidRPr="00D07BF9">
        <w:rPr>
          <w:rFonts w:ascii="Verdana" w:hAnsi="Verdana"/>
          <w:sz w:val="20"/>
          <w:szCs w:val="20"/>
        </w:rPr>
        <w:t>ex titulares</w:t>
      </w:r>
      <w:proofErr w:type="gramEnd"/>
      <w:r w:rsidRPr="00D07BF9">
        <w:rPr>
          <w:rFonts w:ascii="Verdana" w:hAnsi="Verdana"/>
          <w:sz w:val="20"/>
          <w:szCs w:val="20"/>
        </w:rPr>
        <w:t>, cuando el proceso de fiscalización corresponda al periodo de su gestión, quienes contarán con un término de cinco días hábiles, contado a partir del día hábil siguiente al de la citada notificación, para hacer valer el recurso de reconsideración previsto por esta ley, en caso de estimarlo pertinente;</w:t>
      </w:r>
    </w:p>
    <w:p w:rsidRPr="00D07BF9" w:rsidR="00D07BF9" w:rsidP="00D07BF9" w:rsidRDefault="00D07BF9" w14:paraId="1C74ACBD" w14:textId="77777777">
      <w:pPr>
        <w:pStyle w:val="Estilo"/>
        <w:rPr>
          <w:rFonts w:ascii="Verdana" w:hAnsi="Verdana"/>
          <w:sz w:val="20"/>
          <w:szCs w:val="20"/>
        </w:rPr>
      </w:pPr>
    </w:p>
    <w:p w:rsidRPr="00D07BF9" w:rsidR="00D07BF9" w:rsidP="00D07BF9" w:rsidRDefault="00D07BF9" w14:paraId="4313916C" w14:textId="77777777">
      <w:pPr>
        <w:pStyle w:val="Estilo"/>
        <w:rPr>
          <w:rFonts w:ascii="Verdana" w:hAnsi="Verdana"/>
          <w:sz w:val="20"/>
          <w:szCs w:val="20"/>
        </w:rPr>
      </w:pPr>
      <w:r w:rsidRPr="00D07BF9">
        <w:rPr>
          <w:rFonts w:ascii="Verdana" w:hAnsi="Verdana"/>
          <w:sz w:val="20"/>
          <w:szCs w:val="20"/>
        </w:rPr>
        <w:t>V. Agotado el plazo para presentar el recurso de reconsideración o resuelto éste, el Auditor Superior remitirá el informe de resultados al Congreso, a más tardar el 30 de octubre tratándose de la cuenta pública estatal, y a más tardar el 30 de noviembre respecto a la (sic) cuentas públicas municipales;</w:t>
      </w:r>
    </w:p>
    <w:p w:rsidRPr="00D07BF9" w:rsidR="00D07BF9" w:rsidP="00D07BF9" w:rsidRDefault="00D07BF9" w14:paraId="60BEB001" w14:textId="77777777">
      <w:pPr>
        <w:pStyle w:val="Estilo"/>
        <w:rPr>
          <w:rFonts w:ascii="Verdana" w:hAnsi="Verdana"/>
          <w:sz w:val="20"/>
          <w:szCs w:val="20"/>
        </w:rPr>
      </w:pPr>
    </w:p>
    <w:p w:rsidRPr="00D07BF9" w:rsidR="00D07BF9" w:rsidP="00D07BF9" w:rsidRDefault="00D07BF9" w14:paraId="0E72F30E" w14:textId="77777777">
      <w:pPr>
        <w:pStyle w:val="Estilo"/>
        <w:rPr>
          <w:rFonts w:ascii="Verdana" w:hAnsi="Verdana"/>
          <w:sz w:val="20"/>
          <w:szCs w:val="20"/>
        </w:rPr>
      </w:pPr>
      <w:r w:rsidRPr="00D07BF9">
        <w:rPr>
          <w:rFonts w:ascii="Verdana" w:hAnsi="Verdana"/>
          <w:sz w:val="20"/>
          <w:szCs w:val="20"/>
        </w:rPr>
        <w:lastRenderedPageBreak/>
        <w:t>VI. Emitido el acuerdo correspondiente por el Congreso, la Auditoría Superior notificará el mismo a quienes corresponda.</w:t>
      </w:r>
    </w:p>
    <w:p w:rsidRPr="00D07BF9" w:rsidR="00D07BF9" w:rsidP="00D07BF9" w:rsidRDefault="00D07BF9" w14:paraId="6AE307A5" w14:textId="77777777">
      <w:pPr>
        <w:pStyle w:val="Estilo"/>
        <w:rPr>
          <w:rFonts w:ascii="Verdana" w:hAnsi="Verdana"/>
          <w:sz w:val="20"/>
          <w:szCs w:val="20"/>
        </w:rPr>
      </w:pPr>
    </w:p>
    <w:p w:rsidRPr="00D07BF9" w:rsidR="00D07BF9" w:rsidP="00D07BF9" w:rsidRDefault="00D07BF9" w14:paraId="22A9418D" w14:textId="77777777">
      <w:pPr>
        <w:pStyle w:val="Estilo"/>
        <w:rPr>
          <w:rFonts w:ascii="Verdana" w:hAnsi="Verdana"/>
          <w:sz w:val="20"/>
          <w:szCs w:val="20"/>
        </w:rPr>
      </w:pPr>
      <w:r w:rsidRPr="00D07BF9">
        <w:rPr>
          <w:rFonts w:ascii="Verdana" w:hAnsi="Verdana"/>
          <w:sz w:val="20"/>
          <w:szCs w:val="20"/>
        </w:rPr>
        <w:t>Una vez que se emita el acuerdo del informe de resultados, éste tendrá carácter de documento público, para fundar las acciones legales correspondientes en contra de los probables responsables; y</w:t>
      </w:r>
    </w:p>
    <w:p w:rsidRPr="00D07BF9" w:rsidR="00D07BF9" w:rsidP="00D07BF9" w:rsidRDefault="00D07BF9" w14:paraId="52447465" w14:textId="77777777">
      <w:pPr>
        <w:pStyle w:val="Estilo"/>
        <w:rPr>
          <w:rFonts w:ascii="Verdana" w:hAnsi="Verdana"/>
          <w:sz w:val="20"/>
          <w:szCs w:val="20"/>
        </w:rPr>
      </w:pPr>
    </w:p>
    <w:p w:rsidRPr="00D07BF9" w:rsidR="00D07BF9" w:rsidP="00D07BF9" w:rsidRDefault="00D07BF9" w14:paraId="27322D0C" w14:textId="77777777">
      <w:pPr>
        <w:pStyle w:val="Estilo"/>
        <w:rPr>
          <w:rFonts w:ascii="Verdana" w:hAnsi="Verdana"/>
          <w:sz w:val="20"/>
          <w:szCs w:val="20"/>
        </w:rPr>
      </w:pPr>
      <w:r w:rsidRPr="00D07BF9">
        <w:rPr>
          <w:rFonts w:ascii="Verdana" w:hAnsi="Verdana"/>
          <w:sz w:val="20"/>
          <w:szCs w:val="20"/>
        </w:rPr>
        <w:t>VII. En su caso, la Auditoría Superior promoverá el fincamiento de acciones de responsabilidad, así como el seguimiento a observaciones y recomendaciones.</w:t>
      </w:r>
    </w:p>
    <w:p w:rsidRPr="00D07BF9" w:rsidR="00D07BF9" w:rsidP="00D07BF9" w:rsidRDefault="00D07BF9" w14:paraId="4AF6DD7B" w14:textId="77777777">
      <w:pPr>
        <w:pStyle w:val="Estilo"/>
        <w:rPr>
          <w:rFonts w:ascii="Verdana" w:hAnsi="Verdana"/>
          <w:sz w:val="20"/>
          <w:szCs w:val="20"/>
        </w:rPr>
      </w:pPr>
    </w:p>
    <w:p w:rsidRPr="00260A46" w:rsidR="00D07BF9" w:rsidP="00260A46" w:rsidRDefault="00D07BF9" w14:paraId="7B9B9364" w14:textId="77777777">
      <w:pPr>
        <w:pStyle w:val="Estilo"/>
        <w:jc w:val="right"/>
        <w:rPr>
          <w:rFonts w:ascii="Verdana" w:hAnsi="Verdana"/>
          <w:b/>
          <w:bCs/>
          <w:sz w:val="20"/>
          <w:szCs w:val="20"/>
        </w:rPr>
      </w:pPr>
      <w:r w:rsidRPr="00260A46">
        <w:rPr>
          <w:rFonts w:ascii="Verdana" w:hAnsi="Verdana"/>
          <w:b/>
          <w:bCs/>
          <w:sz w:val="20"/>
          <w:szCs w:val="20"/>
        </w:rPr>
        <w:t>Observaciones por el Congreso al informe de resultados</w:t>
      </w:r>
    </w:p>
    <w:p w:rsidRPr="00D07BF9" w:rsidR="00D07BF9" w:rsidP="00D07BF9" w:rsidRDefault="00D07BF9" w14:paraId="1A72701F" w14:textId="77777777">
      <w:pPr>
        <w:pStyle w:val="Estilo"/>
        <w:rPr>
          <w:rFonts w:ascii="Verdana" w:hAnsi="Verdana"/>
          <w:sz w:val="20"/>
          <w:szCs w:val="20"/>
        </w:rPr>
      </w:pPr>
      <w:r w:rsidRPr="00D07BF9">
        <w:rPr>
          <w:rFonts w:ascii="Verdana" w:hAnsi="Verdana"/>
          <w:sz w:val="20"/>
          <w:szCs w:val="20"/>
        </w:rPr>
        <w:t>Artículo 38. El informe de resultados sólo podrá ser observado por las dos terceras partes de los diputados integrantes del Congreso, por las siguientes causas:</w:t>
      </w:r>
    </w:p>
    <w:p w:rsidRPr="00D07BF9" w:rsidR="00D07BF9" w:rsidP="00D07BF9" w:rsidRDefault="00D07BF9" w14:paraId="3344146D" w14:textId="77777777">
      <w:pPr>
        <w:pStyle w:val="Estilo"/>
        <w:rPr>
          <w:rFonts w:ascii="Verdana" w:hAnsi="Verdana"/>
          <w:sz w:val="20"/>
          <w:szCs w:val="20"/>
        </w:rPr>
      </w:pPr>
    </w:p>
    <w:p w:rsidRPr="00D07BF9" w:rsidR="00D07BF9" w:rsidP="00D07BF9" w:rsidRDefault="00D07BF9" w14:paraId="55D07828" w14:textId="77777777">
      <w:pPr>
        <w:pStyle w:val="Estilo"/>
        <w:rPr>
          <w:rFonts w:ascii="Verdana" w:hAnsi="Verdana"/>
          <w:sz w:val="20"/>
          <w:szCs w:val="20"/>
        </w:rPr>
      </w:pPr>
      <w:r w:rsidRPr="00D07BF9">
        <w:rPr>
          <w:rFonts w:ascii="Verdana" w:hAnsi="Verdana"/>
          <w:sz w:val="20"/>
          <w:szCs w:val="20"/>
        </w:rPr>
        <w:t>I. Cuando en perjuicio del sujeto de fiscalización no se haya otorgado el derecho de audiencia o defensa;</w:t>
      </w:r>
    </w:p>
    <w:p w:rsidRPr="00D07BF9" w:rsidR="00D07BF9" w:rsidP="00D07BF9" w:rsidRDefault="00D07BF9" w14:paraId="399E7936" w14:textId="77777777">
      <w:pPr>
        <w:pStyle w:val="Estilo"/>
        <w:rPr>
          <w:rFonts w:ascii="Verdana" w:hAnsi="Verdana"/>
          <w:sz w:val="20"/>
          <w:szCs w:val="20"/>
        </w:rPr>
      </w:pPr>
    </w:p>
    <w:p w:rsidRPr="00D07BF9" w:rsidR="00D07BF9" w:rsidP="00D07BF9" w:rsidRDefault="00D07BF9" w14:paraId="0F9CEEED" w14:textId="77777777">
      <w:pPr>
        <w:pStyle w:val="Estilo"/>
        <w:rPr>
          <w:rFonts w:ascii="Verdana" w:hAnsi="Verdana"/>
          <w:sz w:val="20"/>
          <w:szCs w:val="20"/>
        </w:rPr>
      </w:pPr>
      <w:r w:rsidRPr="00D07BF9">
        <w:rPr>
          <w:rFonts w:ascii="Verdana" w:hAnsi="Verdana"/>
          <w:sz w:val="20"/>
          <w:szCs w:val="20"/>
        </w:rPr>
        <w:t>II. Cuando no se hayan valorado las documentales aportadas por el sujeto de fiscalización durante el procedimiento de fiscalización hasta la notificación del informe de resultados; y</w:t>
      </w:r>
    </w:p>
    <w:p w:rsidRPr="00D07BF9" w:rsidR="00D07BF9" w:rsidP="00D07BF9" w:rsidRDefault="00D07BF9" w14:paraId="1286B991" w14:textId="77777777">
      <w:pPr>
        <w:pStyle w:val="Estilo"/>
        <w:rPr>
          <w:rFonts w:ascii="Verdana" w:hAnsi="Verdana"/>
          <w:sz w:val="20"/>
          <w:szCs w:val="20"/>
        </w:rPr>
      </w:pPr>
    </w:p>
    <w:p w:rsidRPr="00D07BF9" w:rsidR="00D07BF9" w:rsidP="00D07BF9" w:rsidRDefault="00D07BF9" w14:paraId="55899D62" w14:textId="77777777">
      <w:pPr>
        <w:pStyle w:val="Estilo"/>
        <w:rPr>
          <w:rFonts w:ascii="Verdana" w:hAnsi="Verdana"/>
          <w:sz w:val="20"/>
          <w:szCs w:val="20"/>
        </w:rPr>
      </w:pPr>
      <w:r w:rsidRPr="00D07BF9">
        <w:rPr>
          <w:rFonts w:ascii="Verdana" w:hAnsi="Verdana"/>
          <w:sz w:val="20"/>
          <w:szCs w:val="20"/>
        </w:rPr>
        <w:t>III. Cuando no se observen las formalidades esenciales del proceso de fiscalización.</w:t>
      </w:r>
    </w:p>
    <w:p w:rsidRPr="00D07BF9" w:rsidR="00D07BF9" w:rsidP="00D07BF9" w:rsidRDefault="00D07BF9" w14:paraId="1B678ACD" w14:textId="77777777">
      <w:pPr>
        <w:pStyle w:val="Estilo"/>
        <w:rPr>
          <w:rFonts w:ascii="Verdana" w:hAnsi="Verdana"/>
          <w:sz w:val="20"/>
          <w:szCs w:val="20"/>
        </w:rPr>
      </w:pPr>
    </w:p>
    <w:p w:rsidRPr="00D07BF9" w:rsidR="00D07BF9" w:rsidP="00D07BF9" w:rsidRDefault="00D07BF9" w14:paraId="6E4497E9" w14:textId="77777777">
      <w:pPr>
        <w:pStyle w:val="Estilo"/>
        <w:rPr>
          <w:rFonts w:ascii="Verdana" w:hAnsi="Verdana"/>
          <w:sz w:val="20"/>
          <w:szCs w:val="20"/>
        </w:rPr>
      </w:pPr>
    </w:p>
    <w:p w:rsidRPr="004D1DA8" w:rsidR="00D07BF9" w:rsidP="004D1DA8" w:rsidRDefault="00D07BF9" w14:paraId="5884C3BF" w14:textId="77777777">
      <w:pPr>
        <w:pStyle w:val="Estilo"/>
        <w:jc w:val="center"/>
        <w:rPr>
          <w:rFonts w:ascii="Verdana" w:hAnsi="Verdana"/>
          <w:b/>
          <w:bCs/>
          <w:sz w:val="20"/>
          <w:szCs w:val="20"/>
        </w:rPr>
      </w:pPr>
      <w:r w:rsidRPr="004D1DA8">
        <w:rPr>
          <w:rFonts w:ascii="Verdana" w:hAnsi="Verdana"/>
          <w:b/>
          <w:bCs/>
          <w:sz w:val="20"/>
          <w:szCs w:val="20"/>
        </w:rPr>
        <w:t>Capítulo III</w:t>
      </w:r>
    </w:p>
    <w:p w:rsidRPr="004D1DA8" w:rsidR="00D07BF9" w:rsidP="004D1DA8" w:rsidRDefault="00D07BF9" w14:paraId="265B6430" w14:textId="77777777">
      <w:pPr>
        <w:pStyle w:val="Estilo"/>
        <w:jc w:val="center"/>
        <w:rPr>
          <w:rFonts w:ascii="Verdana" w:hAnsi="Verdana"/>
          <w:b/>
          <w:bCs/>
          <w:sz w:val="20"/>
          <w:szCs w:val="20"/>
        </w:rPr>
      </w:pPr>
      <w:r w:rsidRPr="004D1DA8">
        <w:rPr>
          <w:rFonts w:ascii="Verdana" w:hAnsi="Verdana"/>
          <w:b/>
          <w:bCs/>
          <w:sz w:val="20"/>
          <w:szCs w:val="20"/>
        </w:rPr>
        <w:t>Denuncia de Investigación de Situación Excepcional</w:t>
      </w:r>
    </w:p>
    <w:p w:rsidRPr="00D07BF9" w:rsidR="00D07BF9" w:rsidP="00D07BF9" w:rsidRDefault="00D07BF9" w14:paraId="1B1F4534" w14:textId="77777777">
      <w:pPr>
        <w:pStyle w:val="Estilo"/>
        <w:rPr>
          <w:rFonts w:ascii="Verdana" w:hAnsi="Verdana"/>
          <w:sz w:val="20"/>
          <w:szCs w:val="20"/>
        </w:rPr>
      </w:pPr>
    </w:p>
    <w:p w:rsidRPr="004D1DA8" w:rsidR="00D07BF9" w:rsidP="004D1DA8" w:rsidRDefault="00D07BF9" w14:paraId="19AEA579" w14:textId="77777777">
      <w:pPr>
        <w:pStyle w:val="Estilo"/>
        <w:jc w:val="right"/>
        <w:rPr>
          <w:rFonts w:ascii="Verdana" w:hAnsi="Verdana"/>
          <w:b/>
          <w:bCs/>
          <w:sz w:val="20"/>
          <w:szCs w:val="20"/>
        </w:rPr>
      </w:pPr>
      <w:r w:rsidRPr="004D1DA8">
        <w:rPr>
          <w:rFonts w:ascii="Verdana" w:hAnsi="Verdana"/>
          <w:b/>
          <w:bCs/>
          <w:sz w:val="20"/>
          <w:szCs w:val="20"/>
        </w:rPr>
        <w:t>Presentación</w:t>
      </w:r>
    </w:p>
    <w:p w:rsidRPr="00D07BF9" w:rsidR="00D07BF9" w:rsidP="00D07BF9" w:rsidRDefault="00D07BF9" w14:paraId="5C0ED4AB" w14:textId="77777777">
      <w:pPr>
        <w:pStyle w:val="Estilo"/>
        <w:rPr>
          <w:rFonts w:ascii="Verdana" w:hAnsi="Verdana"/>
          <w:sz w:val="20"/>
          <w:szCs w:val="20"/>
        </w:rPr>
      </w:pPr>
      <w:r w:rsidRPr="00D07BF9">
        <w:rPr>
          <w:rFonts w:ascii="Verdana" w:hAnsi="Verdana"/>
          <w:sz w:val="20"/>
          <w:szCs w:val="20"/>
        </w:rPr>
        <w:t>Artículo 39. Cuando se presenten denuncias de situación excepcional por escrito ante la Auditoría Superior ésta procederá a integrar en el expediente respectivo las evidencias de los hechos vinculados de manera directa con las denuncias presentadas.</w:t>
      </w:r>
    </w:p>
    <w:p w:rsidRPr="00D07BF9" w:rsidR="00D07BF9" w:rsidP="00D07BF9" w:rsidRDefault="00D07BF9" w14:paraId="4001896D" w14:textId="77777777">
      <w:pPr>
        <w:pStyle w:val="Estilo"/>
        <w:rPr>
          <w:rFonts w:ascii="Verdana" w:hAnsi="Verdana"/>
          <w:sz w:val="20"/>
          <w:szCs w:val="20"/>
        </w:rPr>
      </w:pPr>
    </w:p>
    <w:p w:rsidRPr="00D07BF9" w:rsidR="00D07BF9" w:rsidP="00D07BF9" w:rsidRDefault="00D07BF9" w14:paraId="1601E441" w14:textId="77777777">
      <w:pPr>
        <w:pStyle w:val="Estilo"/>
        <w:rPr>
          <w:rFonts w:ascii="Verdana" w:hAnsi="Verdana"/>
          <w:sz w:val="20"/>
          <w:szCs w:val="20"/>
        </w:rPr>
      </w:pPr>
      <w:r w:rsidRPr="00D07BF9">
        <w:rPr>
          <w:rFonts w:ascii="Verdana" w:hAnsi="Verdana"/>
          <w:sz w:val="20"/>
          <w:szCs w:val="20"/>
        </w:rPr>
        <w:t>Se entenderá por situaciones excepcionales, aquellos casos en los cuales, de la denuncia que al efecto se presente, se deduzca o desprenda alguna de las circunstancias siguientes:</w:t>
      </w:r>
    </w:p>
    <w:p w:rsidRPr="00D07BF9" w:rsidR="00D07BF9" w:rsidP="00D07BF9" w:rsidRDefault="00D07BF9" w14:paraId="619E5A4B" w14:textId="77777777">
      <w:pPr>
        <w:pStyle w:val="Estilo"/>
        <w:rPr>
          <w:rFonts w:ascii="Verdana" w:hAnsi="Verdana"/>
          <w:sz w:val="20"/>
          <w:szCs w:val="20"/>
        </w:rPr>
      </w:pPr>
    </w:p>
    <w:p w:rsidRPr="00D07BF9" w:rsidR="00D07BF9" w:rsidP="00D07BF9" w:rsidRDefault="00D07BF9" w14:paraId="12FAD06E" w14:textId="77777777">
      <w:pPr>
        <w:pStyle w:val="Estilo"/>
        <w:rPr>
          <w:rFonts w:ascii="Verdana" w:hAnsi="Verdana"/>
          <w:sz w:val="20"/>
          <w:szCs w:val="20"/>
        </w:rPr>
      </w:pPr>
      <w:r w:rsidRPr="00D07BF9">
        <w:rPr>
          <w:rFonts w:ascii="Verdana" w:hAnsi="Verdana"/>
          <w:sz w:val="20"/>
          <w:szCs w:val="20"/>
        </w:rPr>
        <w:t>I. Un daño patrimonial que afecte la hacienda pública estatal o municipal, o en su caso, al patrimonio de los entes públicos;</w:t>
      </w:r>
    </w:p>
    <w:p w:rsidRPr="00D07BF9" w:rsidR="00D07BF9" w:rsidP="00D07BF9" w:rsidRDefault="00D07BF9" w14:paraId="3B1AD5FE" w14:textId="77777777">
      <w:pPr>
        <w:pStyle w:val="Estilo"/>
        <w:rPr>
          <w:rFonts w:ascii="Verdana" w:hAnsi="Verdana"/>
          <w:sz w:val="20"/>
          <w:szCs w:val="20"/>
        </w:rPr>
      </w:pPr>
    </w:p>
    <w:p w:rsidRPr="00D07BF9" w:rsidR="00D07BF9" w:rsidP="00D07BF9" w:rsidRDefault="00D07BF9" w14:paraId="0F90366F" w14:textId="77777777">
      <w:pPr>
        <w:pStyle w:val="Estilo"/>
        <w:rPr>
          <w:rFonts w:ascii="Verdana" w:hAnsi="Verdana"/>
          <w:sz w:val="20"/>
          <w:szCs w:val="20"/>
        </w:rPr>
      </w:pPr>
      <w:r w:rsidRPr="00D07BF9">
        <w:rPr>
          <w:rFonts w:ascii="Verdana" w:hAnsi="Verdana"/>
          <w:sz w:val="20"/>
          <w:szCs w:val="20"/>
        </w:rPr>
        <w:t>II. Posibles actos de corrupción;</w:t>
      </w:r>
    </w:p>
    <w:p w:rsidRPr="00D07BF9" w:rsidR="00D07BF9" w:rsidP="00D07BF9" w:rsidRDefault="00D07BF9" w14:paraId="2A850CE7" w14:textId="77777777">
      <w:pPr>
        <w:pStyle w:val="Estilo"/>
        <w:rPr>
          <w:rFonts w:ascii="Verdana" w:hAnsi="Verdana"/>
          <w:sz w:val="20"/>
          <w:szCs w:val="20"/>
        </w:rPr>
      </w:pPr>
    </w:p>
    <w:p w:rsidRPr="00D07BF9" w:rsidR="00D07BF9" w:rsidP="00D07BF9" w:rsidRDefault="00D07BF9" w14:paraId="4D4CC5D2" w14:textId="77777777">
      <w:pPr>
        <w:pStyle w:val="Estilo"/>
        <w:rPr>
          <w:rFonts w:ascii="Verdana" w:hAnsi="Verdana"/>
          <w:sz w:val="20"/>
          <w:szCs w:val="20"/>
        </w:rPr>
      </w:pPr>
      <w:r w:rsidRPr="00D07BF9">
        <w:rPr>
          <w:rFonts w:ascii="Verdana" w:hAnsi="Verdana"/>
          <w:sz w:val="20"/>
          <w:szCs w:val="20"/>
        </w:rPr>
        <w:t>III. Desvío flagrante de recursos hacia fines distintos a los que están autorizados;</w:t>
      </w:r>
    </w:p>
    <w:p w:rsidRPr="00D07BF9" w:rsidR="00D07BF9" w:rsidP="00D07BF9" w:rsidRDefault="00D07BF9" w14:paraId="154DE335" w14:textId="77777777">
      <w:pPr>
        <w:pStyle w:val="Estilo"/>
        <w:rPr>
          <w:rFonts w:ascii="Verdana" w:hAnsi="Verdana"/>
          <w:sz w:val="20"/>
          <w:szCs w:val="20"/>
        </w:rPr>
      </w:pPr>
    </w:p>
    <w:p w:rsidRPr="00D07BF9" w:rsidR="00D07BF9" w:rsidP="00D07BF9" w:rsidRDefault="00D07BF9" w14:paraId="68121A87" w14:textId="77777777">
      <w:pPr>
        <w:pStyle w:val="Estilo"/>
        <w:rPr>
          <w:rFonts w:ascii="Verdana" w:hAnsi="Verdana"/>
          <w:sz w:val="20"/>
          <w:szCs w:val="20"/>
        </w:rPr>
      </w:pPr>
      <w:r w:rsidRPr="00D07BF9">
        <w:rPr>
          <w:rFonts w:ascii="Verdana" w:hAnsi="Verdana"/>
          <w:sz w:val="20"/>
          <w:szCs w:val="20"/>
        </w:rPr>
        <w:t>IV. La afectación de áreas estratégicas o prioritarias de la economía; y</w:t>
      </w:r>
    </w:p>
    <w:p w:rsidRPr="00D07BF9" w:rsidR="00D07BF9" w:rsidP="00D07BF9" w:rsidRDefault="00D07BF9" w14:paraId="1990A8AD" w14:textId="77777777">
      <w:pPr>
        <w:pStyle w:val="Estilo"/>
        <w:rPr>
          <w:rFonts w:ascii="Verdana" w:hAnsi="Verdana"/>
          <w:sz w:val="20"/>
          <w:szCs w:val="20"/>
        </w:rPr>
      </w:pPr>
    </w:p>
    <w:p w:rsidRPr="00D07BF9" w:rsidR="00D07BF9" w:rsidP="00D07BF9" w:rsidRDefault="00D07BF9" w14:paraId="5DA3C372" w14:textId="77777777">
      <w:pPr>
        <w:pStyle w:val="Estilo"/>
        <w:rPr>
          <w:rFonts w:ascii="Verdana" w:hAnsi="Verdana"/>
          <w:sz w:val="20"/>
          <w:szCs w:val="20"/>
        </w:rPr>
      </w:pPr>
      <w:r w:rsidRPr="00D07BF9">
        <w:rPr>
          <w:rFonts w:ascii="Verdana" w:hAnsi="Verdana"/>
          <w:sz w:val="20"/>
          <w:szCs w:val="20"/>
        </w:rPr>
        <w:t>V. El riesgo de que se paralice la prestación de servicios públicos esenciales para la comunidad.</w:t>
      </w:r>
    </w:p>
    <w:p w:rsidRPr="00D07BF9" w:rsidR="00D07BF9" w:rsidP="00D07BF9" w:rsidRDefault="00D07BF9" w14:paraId="6E8DDB01" w14:textId="77777777">
      <w:pPr>
        <w:pStyle w:val="Estilo"/>
        <w:rPr>
          <w:rFonts w:ascii="Verdana" w:hAnsi="Verdana"/>
          <w:sz w:val="20"/>
          <w:szCs w:val="20"/>
        </w:rPr>
      </w:pPr>
    </w:p>
    <w:p w:rsidRPr="004D1DA8" w:rsidR="00D07BF9" w:rsidP="004D1DA8" w:rsidRDefault="00D07BF9" w14:paraId="5317B976" w14:textId="77777777">
      <w:pPr>
        <w:pStyle w:val="Estilo"/>
        <w:jc w:val="right"/>
        <w:rPr>
          <w:rFonts w:ascii="Verdana" w:hAnsi="Verdana"/>
          <w:b/>
          <w:bCs/>
          <w:sz w:val="20"/>
          <w:szCs w:val="20"/>
        </w:rPr>
      </w:pPr>
      <w:r w:rsidRPr="004D1DA8">
        <w:rPr>
          <w:rFonts w:ascii="Verdana" w:hAnsi="Verdana"/>
          <w:b/>
          <w:bCs/>
          <w:sz w:val="20"/>
          <w:szCs w:val="20"/>
        </w:rPr>
        <w:t>Requisitos de la denuncia</w:t>
      </w:r>
    </w:p>
    <w:p w:rsidRPr="00D07BF9" w:rsidR="00D07BF9" w:rsidP="00D07BF9" w:rsidRDefault="00D07BF9" w14:paraId="5032C6B2" w14:textId="77777777">
      <w:pPr>
        <w:pStyle w:val="Estilo"/>
        <w:rPr>
          <w:rFonts w:ascii="Verdana" w:hAnsi="Verdana"/>
          <w:sz w:val="20"/>
          <w:szCs w:val="20"/>
        </w:rPr>
      </w:pPr>
      <w:r w:rsidRPr="00D07BF9">
        <w:rPr>
          <w:rFonts w:ascii="Verdana" w:hAnsi="Verdana"/>
          <w:sz w:val="20"/>
          <w:szCs w:val="20"/>
        </w:rPr>
        <w:t>Artículo 40. El escrito de denuncia de investigación excepcional deberá contener lo siguiente:</w:t>
      </w:r>
    </w:p>
    <w:p w:rsidRPr="00D07BF9" w:rsidR="00D07BF9" w:rsidP="00D07BF9" w:rsidRDefault="00D07BF9" w14:paraId="46FD8AE8" w14:textId="77777777">
      <w:pPr>
        <w:pStyle w:val="Estilo"/>
        <w:rPr>
          <w:rFonts w:ascii="Verdana" w:hAnsi="Verdana"/>
          <w:sz w:val="20"/>
          <w:szCs w:val="20"/>
        </w:rPr>
      </w:pPr>
    </w:p>
    <w:p w:rsidRPr="00D07BF9" w:rsidR="00D07BF9" w:rsidP="00D07BF9" w:rsidRDefault="00D07BF9" w14:paraId="07C6C3DF" w14:textId="77777777">
      <w:pPr>
        <w:pStyle w:val="Estilo"/>
        <w:rPr>
          <w:rFonts w:ascii="Verdana" w:hAnsi="Verdana"/>
          <w:sz w:val="20"/>
          <w:szCs w:val="20"/>
        </w:rPr>
      </w:pPr>
      <w:r w:rsidRPr="00D07BF9">
        <w:rPr>
          <w:rFonts w:ascii="Verdana" w:hAnsi="Verdana"/>
          <w:sz w:val="20"/>
          <w:szCs w:val="20"/>
        </w:rPr>
        <w:t>I. Nombre del denunciante;</w:t>
      </w:r>
    </w:p>
    <w:p w:rsidRPr="00D07BF9" w:rsidR="00D07BF9" w:rsidP="00D07BF9" w:rsidRDefault="00D07BF9" w14:paraId="6F54F077" w14:textId="77777777">
      <w:pPr>
        <w:pStyle w:val="Estilo"/>
        <w:rPr>
          <w:rFonts w:ascii="Verdana" w:hAnsi="Verdana"/>
          <w:sz w:val="20"/>
          <w:szCs w:val="20"/>
        </w:rPr>
      </w:pPr>
    </w:p>
    <w:p w:rsidRPr="00D07BF9" w:rsidR="00D07BF9" w:rsidP="00D07BF9" w:rsidRDefault="00D07BF9" w14:paraId="2899F6C0" w14:textId="77777777">
      <w:pPr>
        <w:pStyle w:val="Estilo"/>
        <w:rPr>
          <w:rFonts w:ascii="Verdana" w:hAnsi="Verdana"/>
          <w:sz w:val="20"/>
          <w:szCs w:val="20"/>
        </w:rPr>
      </w:pPr>
      <w:r w:rsidRPr="00D07BF9">
        <w:rPr>
          <w:rFonts w:ascii="Verdana" w:hAnsi="Verdana"/>
          <w:sz w:val="20"/>
          <w:szCs w:val="20"/>
        </w:rPr>
        <w:t>II. Domicilio para recibir notificaciones;</w:t>
      </w:r>
    </w:p>
    <w:p w:rsidRPr="00D07BF9" w:rsidR="00D07BF9" w:rsidP="00D07BF9" w:rsidRDefault="00D07BF9" w14:paraId="359BDE6B" w14:textId="77777777">
      <w:pPr>
        <w:pStyle w:val="Estilo"/>
        <w:rPr>
          <w:rFonts w:ascii="Verdana" w:hAnsi="Verdana"/>
          <w:sz w:val="20"/>
          <w:szCs w:val="20"/>
        </w:rPr>
      </w:pPr>
    </w:p>
    <w:p w:rsidRPr="00D07BF9" w:rsidR="00D07BF9" w:rsidP="00D07BF9" w:rsidRDefault="00D07BF9" w14:paraId="37B09154" w14:textId="77777777">
      <w:pPr>
        <w:pStyle w:val="Estilo"/>
        <w:rPr>
          <w:rFonts w:ascii="Verdana" w:hAnsi="Verdana"/>
          <w:sz w:val="20"/>
          <w:szCs w:val="20"/>
        </w:rPr>
      </w:pPr>
      <w:r w:rsidRPr="00D07BF9">
        <w:rPr>
          <w:rFonts w:ascii="Verdana" w:hAnsi="Verdana"/>
          <w:sz w:val="20"/>
          <w:szCs w:val="20"/>
        </w:rPr>
        <w:t>III. Nombre del servidor público a quien se le imputan los hechos denunciados;</w:t>
      </w:r>
    </w:p>
    <w:p w:rsidRPr="00D07BF9" w:rsidR="00D07BF9" w:rsidP="00D07BF9" w:rsidRDefault="00D07BF9" w14:paraId="0BC410EC" w14:textId="77777777">
      <w:pPr>
        <w:pStyle w:val="Estilo"/>
        <w:rPr>
          <w:rFonts w:ascii="Verdana" w:hAnsi="Verdana"/>
          <w:sz w:val="20"/>
          <w:szCs w:val="20"/>
        </w:rPr>
      </w:pPr>
    </w:p>
    <w:p w:rsidRPr="00D07BF9" w:rsidR="00D07BF9" w:rsidP="00D07BF9" w:rsidRDefault="00D07BF9" w14:paraId="7BC9D332" w14:textId="77777777">
      <w:pPr>
        <w:pStyle w:val="Estilo"/>
        <w:rPr>
          <w:rFonts w:ascii="Verdana" w:hAnsi="Verdana"/>
          <w:sz w:val="20"/>
          <w:szCs w:val="20"/>
        </w:rPr>
      </w:pPr>
      <w:r w:rsidRPr="00D07BF9">
        <w:rPr>
          <w:rFonts w:ascii="Verdana" w:hAnsi="Verdana"/>
          <w:sz w:val="20"/>
          <w:szCs w:val="20"/>
        </w:rPr>
        <w:t>IV. Hechos en los que se sustenta la denuncia;</w:t>
      </w:r>
    </w:p>
    <w:p w:rsidRPr="00D07BF9" w:rsidR="00D07BF9" w:rsidP="00D07BF9" w:rsidRDefault="00D07BF9" w14:paraId="08B81E7A" w14:textId="77777777">
      <w:pPr>
        <w:pStyle w:val="Estilo"/>
        <w:rPr>
          <w:rFonts w:ascii="Verdana" w:hAnsi="Verdana"/>
          <w:sz w:val="20"/>
          <w:szCs w:val="20"/>
        </w:rPr>
      </w:pPr>
    </w:p>
    <w:p w:rsidRPr="00D07BF9" w:rsidR="00D07BF9" w:rsidP="00D07BF9" w:rsidRDefault="00D07BF9" w14:paraId="1A75E4CC" w14:textId="77777777">
      <w:pPr>
        <w:pStyle w:val="Estilo"/>
        <w:rPr>
          <w:rFonts w:ascii="Verdana" w:hAnsi="Verdana"/>
          <w:sz w:val="20"/>
          <w:szCs w:val="20"/>
        </w:rPr>
      </w:pPr>
      <w:r w:rsidRPr="00D07BF9">
        <w:rPr>
          <w:rFonts w:ascii="Verdana" w:hAnsi="Verdana"/>
          <w:sz w:val="20"/>
          <w:szCs w:val="20"/>
        </w:rPr>
        <w:t>V. Elementos probatorios tendientes a acreditar irregularidades y las erogaciones realizadas; y</w:t>
      </w:r>
    </w:p>
    <w:p w:rsidRPr="00D07BF9" w:rsidR="00D07BF9" w:rsidP="00D07BF9" w:rsidRDefault="00D07BF9" w14:paraId="37D71B9C" w14:textId="77777777">
      <w:pPr>
        <w:pStyle w:val="Estilo"/>
        <w:rPr>
          <w:rFonts w:ascii="Verdana" w:hAnsi="Verdana"/>
          <w:sz w:val="20"/>
          <w:szCs w:val="20"/>
        </w:rPr>
      </w:pPr>
    </w:p>
    <w:p w:rsidRPr="00D07BF9" w:rsidR="00D07BF9" w:rsidP="00D07BF9" w:rsidRDefault="00D07BF9" w14:paraId="524AFDAC" w14:textId="77777777">
      <w:pPr>
        <w:pStyle w:val="Estilo"/>
        <w:rPr>
          <w:rFonts w:ascii="Verdana" w:hAnsi="Verdana"/>
          <w:sz w:val="20"/>
          <w:szCs w:val="20"/>
        </w:rPr>
      </w:pPr>
      <w:r w:rsidRPr="00D07BF9">
        <w:rPr>
          <w:rFonts w:ascii="Verdana" w:hAnsi="Verdana"/>
          <w:sz w:val="20"/>
          <w:szCs w:val="20"/>
        </w:rPr>
        <w:t>VI. Firma autógrafa del promovente.</w:t>
      </w:r>
    </w:p>
    <w:p w:rsidRPr="00D07BF9" w:rsidR="00D07BF9" w:rsidP="00D07BF9" w:rsidRDefault="00D07BF9" w14:paraId="21F28CB3" w14:textId="77777777">
      <w:pPr>
        <w:pStyle w:val="Estilo"/>
        <w:rPr>
          <w:rFonts w:ascii="Verdana" w:hAnsi="Verdana"/>
          <w:sz w:val="20"/>
          <w:szCs w:val="20"/>
        </w:rPr>
      </w:pPr>
    </w:p>
    <w:p w:rsidRPr="00D07BF9" w:rsidR="00D07BF9" w:rsidP="00D07BF9" w:rsidRDefault="00D07BF9" w14:paraId="710C6100" w14:textId="77777777">
      <w:pPr>
        <w:pStyle w:val="Estilo"/>
        <w:rPr>
          <w:rFonts w:ascii="Verdana" w:hAnsi="Verdana"/>
          <w:sz w:val="20"/>
          <w:szCs w:val="20"/>
        </w:rPr>
      </w:pPr>
      <w:r w:rsidRPr="00D07BF9">
        <w:rPr>
          <w:rFonts w:ascii="Verdana" w:hAnsi="Verdana"/>
          <w:sz w:val="20"/>
          <w:szCs w:val="20"/>
        </w:rPr>
        <w:t>Cuando no se señale domicilio para recibir notificaciones o se detecte que el domicilio es erróneo o inexistente, se procederá a notificar en los estrados de las oficinas de la Auditoría Superior el acuerdo que recaiga sobre la denuncia presentada, así como las notificaciones subsecuentes.</w:t>
      </w:r>
    </w:p>
    <w:p w:rsidRPr="00D07BF9" w:rsidR="00D07BF9" w:rsidP="00D07BF9" w:rsidRDefault="00D07BF9" w14:paraId="02F24320" w14:textId="77777777">
      <w:pPr>
        <w:pStyle w:val="Estilo"/>
        <w:rPr>
          <w:rFonts w:ascii="Verdana" w:hAnsi="Verdana"/>
          <w:sz w:val="20"/>
          <w:szCs w:val="20"/>
        </w:rPr>
      </w:pPr>
    </w:p>
    <w:p w:rsidRPr="004D1DA8" w:rsidR="00D07BF9" w:rsidP="004D1DA8" w:rsidRDefault="00D07BF9" w14:paraId="2305DB7F" w14:textId="77777777">
      <w:pPr>
        <w:pStyle w:val="Estilo"/>
        <w:jc w:val="right"/>
        <w:rPr>
          <w:rFonts w:ascii="Verdana" w:hAnsi="Verdana"/>
          <w:b/>
          <w:bCs/>
          <w:sz w:val="20"/>
          <w:szCs w:val="20"/>
        </w:rPr>
      </w:pPr>
      <w:r w:rsidRPr="004D1DA8">
        <w:rPr>
          <w:rFonts w:ascii="Verdana" w:hAnsi="Verdana"/>
          <w:b/>
          <w:bCs/>
          <w:sz w:val="20"/>
          <w:szCs w:val="20"/>
        </w:rPr>
        <w:t>Improcedencia</w:t>
      </w:r>
    </w:p>
    <w:p w:rsidRPr="00D07BF9" w:rsidR="00D07BF9" w:rsidP="00D07BF9" w:rsidRDefault="00D07BF9" w14:paraId="32C26BCF" w14:textId="77777777">
      <w:pPr>
        <w:pStyle w:val="Estilo"/>
        <w:rPr>
          <w:rFonts w:ascii="Verdana" w:hAnsi="Verdana"/>
          <w:sz w:val="20"/>
          <w:szCs w:val="20"/>
        </w:rPr>
      </w:pPr>
      <w:r w:rsidRPr="00D07BF9">
        <w:rPr>
          <w:rFonts w:ascii="Verdana" w:hAnsi="Verdana"/>
          <w:sz w:val="20"/>
          <w:szCs w:val="20"/>
        </w:rPr>
        <w:t>Artículo 41. La Auditoría Superior desechará la denuncia de investigación de situación excepcional en los siguientes supuestos:</w:t>
      </w:r>
    </w:p>
    <w:p w:rsidRPr="00D07BF9" w:rsidR="00D07BF9" w:rsidP="00D07BF9" w:rsidRDefault="00D07BF9" w14:paraId="67AEB86B" w14:textId="77777777">
      <w:pPr>
        <w:pStyle w:val="Estilo"/>
        <w:rPr>
          <w:rFonts w:ascii="Verdana" w:hAnsi="Verdana"/>
          <w:sz w:val="20"/>
          <w:szCs w:val="20"/>
        </w:rPr>
      </w:pPr>
    </w:p>
    <w:p w:rsidRPr="00D07BF9" w:rsidR="00D07BF9" w:rsidP="00D07BF9" w:rsidRDefault="00D07BF9" w14:paraId="34E5C101" w14:textId="77777777">
      <w:pPr>
        <w:pStyle w:val="Estilo"/>
        <w:rPr>
          <w:rFonts w:ascii="Verdana" w:hAnsi="Verdana"/>
          <w:sz w:val="20"/>
          <w:szCs w:val="20"/>
        </w:rPr>
      </w:pPr>
      <w:r w:rsidRPr="00D07BF9">
        <w:rPr>
          <w:rFonts w:ascii="Verdana" w:hAnsi="Verdana"/>
          <w:sz w:val="20"/>
          <w:szCs w:val="20"/>
        </w:rPr>
        <w:t>I. Cuando la denuncia instaurada no contenga alguno de los requisitos señalados en el artículo anterior, con excepción de lo previsto en su fracción II;</w:t>
      </w:r>
    </w:p>
    <w:p w:rsidRPr="00D07BF9" w:rsidR="00D07BF9" w:rsidP="00D07BF9" w:rsidRDefault="00D07BF9" w14:paraId="6D2A1EEC" w14:textId="77777777">
      <w:pPr>
        <w:pStyle w:val="Estilo"/>
        <w:rPr>
          <w:rFonts w:ascii="Verdana" w:hAnsi="Verdana"/>
          <w:sz w:val="20"/>
          <w:szCs w:val="20"/>
        </w:rPr>
      </w:pPr>
    </w:p>
    <w:p w:rsidRPr="00D07BF9" w:rsidR="00D07BF9" w:rsidP="00D07BF9" w:rsidRDefault="00D07BF9" w14:paraId="03F14298" w14:textId="77777777">
      <w:pPr>
        <w:pStyle w:val="Estilo"/>
        <w:rPr>
          <w:rFonts w:ascii="Verdana" w:hAnsi="Verdana"/>
          <w:sz w:val="20"/>
          <w:szCs w:val="20"/>
        </w:rPr>
      </w:pPr>
      <w:r w:rsidRPr="00D07BF9">
        <w:rPr>
          <w:rFonts w:ascii="Verdana" w:hAnsi="Verdana"/>
          <w:sz w:val="20"/>
          <w:szCs w:val="20"/>
        </w:rPr>
        <w:t>II. Cuando de la denuncia presentada no se advierta o desprenda alguna de las circunstancias o supuestos previstos en el artículo 39 de esta ley;</w:t>
      </w:r>
    </w:p>
    <w:p w:rsidRPr="00D07BF9" w:rsidR="00D07BF9" w:rsidP="00D07BF9" w:rsidRDefault="00D07BF9" w14:paraId="59946243" w14:textId="77777777">
      <w:pPr>
        <w:pStyle w:val="Estilo"/>
        <w:rPr>
          <w:rFonts w:ascii="Verdana" w:hAnsi="Verdana"/>
          <w:sz w:val="20"/>
          <w:szCs w:val="20"/>
        </w:rPr>
      </w:pPr>
    </w:p>
    <w:p w:rsidRPr="00D07BF9" w:rsidR="00D07BF9" w:rsidP="00D07BF9" w:rsidRDefault="00D07BF9" w14:paraId="2C8A8227" w14:textId="77777777">
      <w:pPr>
        <w:pStyle w:val="Estilo"/>
        <w:rPr>
          <w:rFonts w:ascii="Verdana" w:hAnsi="Verdana"/>
          <w:sz w:val="20"/>
          <w:szCs w:val="20"/>
        </w:rPr>
      </w:pPr>
      <w:r w:rsidRPr="00D07BF9">
        <w:rPr>
          <w:rFonts w:ascii="Verdana" w:hAnsi="Verdana"/>
          <w:sz w:val="20"/>
          <w:szCs w:val="20"/>
        </w:rPr>
        <w:t>III. Cuando los hechos denunciados se contengan en una cuenta pública ya aprobada por el Congreso; y</w:t>
      </w:r>
    </w:p>
    <w:p w:rsidRPr="00D07BF9" w:rsidR="00D07BF9" w:rsidP="00D07BF9" w:rsidRDefault="00D07BF9" w14:paraId="58AFD587" w14:textId="77777777">
      <w:pPr>
        <w:pStyle w:val="Estilo"/>
        <w:rPr>
          <w:rFonts w:ascii="Verdana" w:hAnsi="Verdana"/>
          <w:sz w:val="20"/>
          <w:szCs w:val="20"/>
        </w:rPr>
      </w:pPr>
    </w:p>
    <w:p w:rsidRPr="00D07BF9" w:rsidR="00D07BF9" w:rsidP="00D07BF9" w:rsidRDefault="00D07BF9" w14:paraId="6C9F8132" w14:textId="77777777">
      <w:pPr>
        <w:pStyle w:val="Estilo"/>
        <w:rPr>
          <w:rFonts w:ascii="Verdana" w:hAnsi="Verdana"/>
          <w:sz w:val="20"/>
          <w:szCs w:val="20"/>
        </w:rPr>
      </w:pPr>
      <w:r w:rsidRPr="00D07BF9">
        <w:rPr>
          <w:rFonts w:ascii="Verdana" w:hAnsi="Verdana"/>
          <w:sz w:val="20"/>
          <w:szCs w:val="20"/>
        </w:rPr>
        <w:t>IV. Cuando se trate de hechos notoriamente improcedentes.</w:t>
      </w:r>
    </w:p>
    <w:p w:rsidRPr="00D07BF9" w:rsidR="00D07BF9" w:rsidP="00D07BF9" w:rsidRDefault="00D07BF9" w14:paraId="3E2C3D3F" w14:textId="77777777">
      <w:pPr>
        <w:pStyle w:val="Estilo"/>
        <w:rPr>
          <w:rFonts w:ascii="Verdana" w:hAnsi="Verdana"/>
          <w:sz w:val="20"/>
          <w:szCs w:val="20"/>
        </w:rPr>
      </w:pPr>
    </w:p>
    <w:p w:rsidRPr="004D1DA8" w:rsidR="00D07BF9" w:rsidP="004D1DA8" w:rsidRDefault="00D07BF9" w14:paraId="42366AE2" w14:textId="77777777">
      <w:pPr>
        <w:pStyle w:val="Estilo"/>
        <w:jc w:val="right"/>
        <w:rPr>
          <w:rFonts w:ascii="Verdana" w:hAnsi="Verdana"/>
          <w:b/>
          <w:bCs/>
          <w:sz w:val="20"/>
          <w:szCs w:val="20"/>
        </w:rPr>
      </w:pPr>
      <w:r w:rsidRPr="004D1DA8">
        <w:rPr>
          <w:rFonts w:ascii="Verdana" w:hAnsi="Verdana"/>
          <w:b/>
          <w:bCs/>
          <w:sz w:val="20"/>
          <w:szCs w:val="20"/>
        </w:rPr>
        <w:t>Informe</w:t>
      </w:r>
    </w:p>
    <w:p w:rsidRPr="00D07BF9" w:rsidR="00D07BF9" w:rsidP="00D07BF9" w:rsidRDefault="00D07BF9" w14:paraId="3CAF4781" w14:textId="77777777">
      <w:pPr>
        <w:pStyle w:val="Estilo"/>
        <w:rPr>
          <w:rFonts w:ascii="Verdana" w:hAnsi="Verdana"/>
          <w:sz w:val="20"/>
          <w:szCs w:val="20"/>
        </w:rPr>
      </w:pPr>
      <w:r w:rsidRPr="00D07BF9">
        <w:rPr>
          <w:rFonts w:ascii="Verdana" w:hAnsi="Verdana"/>
          <w:sz w:val="20"/>
          <w:szCs w:val="20"/>
        </w:rPr>
        <w:t>Artículo 42. Admitida la denuncia, la Auditoría Superior requerirá al sujeto de fiscalización de que se trate, la revisión de los conceptos específicos vinculados de manera directa con la denuncia presentada, a efecto de que le rinda un informe al respecto, dentro de los quince días hábiles contados a partir del día hábil siguiente al de la notificación del requerimiento.</w:t>
      </w:r>
    </w:p>
    <w:p w:rsidRPr="00D07BF9" w:rsidR="00D07BF9" w:rsidP="00D07BF9" w:rsidRDefault="00D07BF9" w14:paraId="2B56ECD1" w14:textId="77777777">
      <w:pPr>
        <w:pStyle w:val="Estilo"/>
        <w:rPr>
          <w:rFonts w:ascii="Verdana" w:hAnsi="Verdana"/>
          <w:sz w:val="20"/>
          <w:szCs w:val="20"/>
        </w:rPr>
      </w:pPr>
    </w:p>
    <w:p w:rsidRPr="00D07BF9" w:rsidR="00D07BF9" w:rsidP="00D07BF9" w:rsidRDefault="00D07BF9" w14:paraId="40C7D64F" w14:textId="77777777">
      <w:pPr>
        <w:pStyle w:val="Estilo"/>
        <w:rPr>
          <w:rFonts w:ascii="Verdana" w:hAnsi="Verdana"/>
          <w:sz w:val="20"/>
          <w:szCs w:val="20"/>
        </w:rPr>
      </w:pPr>
      <w:r w:rsidRPr="00D07BF9">
        <w:rPr>
          <w:rFonts w:ascii="Verdana" w:hAnsi="Verdana"/>
          <w:sz w:val="20"/>
          <w:szCs w:val="20"/>
        </w:rPr>
        <w:t>En el supuesto de que la denuncia se sustente en hechos derivados de una cuenta pública no presentada, se remitirá el expediente de la denuncia al Congreso para que determine lo conducente en términos del artículo 8 de esta ley.</w:t>
      </w:r>
    </w:p>
    <w:p w:rsidRPr="00D07BF9" w:rsidR="00D07BF9" w:rsidP="00D07BF9" w:rsidRDefault="00D07BF9" w14:paraId="4D755A02" w14:textId="77777777">
      <w:pPr>
        <w:pStyle w:val="Estilo"/>
        <w:rPr>
          <w:rFonts w:ascii="Verdana" w:hAnsi="Verdana"/>
          <w:sz w:val="20"/>
          <w:szCs w:val="20"/>
        </w:rPr>
      </w:pPr>
    </w:p>
    <w:p w:rsidRPr="004D1DA8" w:rsidR="00D07BF9" w:rsidP="004D1DA8" w:rsidRDefault="00D07BF9" w14:paraId="2A0AD93E" w14:textId="77777777">
      <w:pPr>
        <w:pStyle w:val="Estilo"/>
        <w:jc w:val="right"/>
        <w:rPr>
          <w:rFonts w:ascii="Verdana" w:hAnsi="Verdana"/>
          <w:b/>
          <w:bCs/>
          <w:sz w:val="20"/>
          <w:szCs w:val="20"/>
        </w:rPr>
      </w:pPr>
      <w:r w:rsidRPr="004D1DA8">
        <w:rPr>
          <w:rFonts w:ascii="Verdana" w:hAnsi="Verdana"/>
          <w:b/>
          <w:bCs/>
          <w:sz w:val="20"/>
          <w:szCs w:val="20"/>
        </w:rPr>
        <w:t>Resolución</w:t>
      </w:r>
    </w:p>
    <w:p w:rsidRPr="00D07BF9" w:rsidR="00D07BF9" w:rsidP="00D07BF9" w:rsidRDefault="00D07BF9" w14:paraId="7D3CE32E" w14:textId="77777777">
      <w:pPr>
        <w:pStyle w:val="Estilo"/>
        <w:rPr>
          <w:rFonts w:ascii="Verdana" w:hAnsi="Verdana"/>
          <w:sz w:val="20"/>
          <w:szCs w:val="20"/>
        </w:rPr>
      </w:pPr>
      <w:r w:rsidRPr="00D07BF9">
        <w:rPr>
          <w:rFonts w:ascii="Verdana" w:hAnsi="Verdana"/>
          <w:sz w:val="20"/>
          <w:szCs w:val="20"/>
        </w:rPr>
        <w:t>Artículo 43. La Auditoría Superior, una vez agotadas las acciones anteriores, podrá:</w:t>
      </w:r>
    </w:p>
    <w:p w:rsidRPr="00D07BF9" w:rsidR="00D07BF9" w:rsidP="00D07BF9" w:rsidRDefault="00D07BF9" w14:paraId="23E45CBD" w14:textId="77777777">
      <w:pPr>
        <w:pStyle w:val="Estilo"/>
        <w:rPr>
          <w:rFonts w:ascii="Verdana" w:hAnsi="Verdana"/>
          <w:sz w:val="20"/>
          <w:szCs w:val="20"/>
        </w:rPr>
      </w:pPr>
    </w:p>
    <w:p w:rsidRPr="00D07BF9" w:rsidR="00D07BF9" w:rsidP="00D07BF9" w:rsidRDefault="00D07BF9" w14:paraId="0AC69069" w14:textId="77777777">
      <w:pPr>
        <w:pStyle w:val="Estilo"/>
        <w:rPr>
          <w:rFonts w:ascii="Verdana" w:hAnsi="Verdana"/>
          <w:sz w:val="20"/>
          <w:szCs w:val="20"/>
        </w:rPr>
      </w:pPr>
      <w:r w:rsidRPr="00D07BF9">
        <w:rPr>
          <w:rFonts w:ascii="Verdana" w:hAnsi="Verdana"/>
          <w:sz w:val="20"/>
          <w:szCs w:val="20"/>
        </w:rPr>
        <w:t>I. Ordenar la práctica de la auditoría;</w:t>
      </w:r>
    </w:p>
    <w:p w:rsidRPr="00D07BF9" w:rsidR="00D07BF9" w:rsidP="00D07BF9" w:rsidRDefault="00D07BF9" w14:paraId="7E9EC623" w14:textId="77777777">
      <w:pPr>
        <w:pStyle w:val="Estilo"/>
        <w:rPr>
          <w:rFonts w:ascii="Verdana" w:hAnsi="Verdana"/>
          <w:sz w:val="20"/>
          <w:szCs w:val="20"/>
        </w:rPr>
      </w:pPr>
    </w:p>
    <w:p w:rsidRPr="00D07BF9" w:rsidR="00D07BF9" w:rsidP="00D07BF9" w:rsidRDefault="00D07BF9" w14:paraId="2C241D2F" w14:textId="77777777">
      <w:pPr>
        <w:pStyle w:val="Estilo"/>
        <w:rPr>
          <w:rFonts w:ascii="Verdana" w:hAnsi="Verdana"/>
          <w:sz w:val="20"/>
          <w:szCs w:val="20"/>
        </w:rPr>
      </w:pPr>
      <w:r w:rsidRPr="00D07BF9">
        <w:rPr>
          <w:rFonts w:ascii="Verdana" w:hAnsi="Verdana"/>
          <w:sz w:val="20"/>
          <w:szCs w:val="20"/>
        </w:rPr>
        <w:t>II. Acumular el expediente de la denuncia con alguna otra auditoría ya existente en el Programa General de Fiscalización; o</w:t>
      </w:r>
    </w:p>
    <w:p w:rsidRPr="00D07BF9" w:rsidR="00D07BF9" w:rsidP="00D07BF9" w:rsidRDefault="00D07BF9" w14:paraId="00806048" w14:textId="77777777">
      <w:pPr>
        <w:pStyle w:val="Estilo"/>
        <w:rPr>
          <w:rFonts w:ascii="Verdana" w:hAnsi="Verdana"/>
          <w:sz w:val="20"/>
          <w:szCs w:val="20"/>
        </w:rPr>
      </w:pPr>
    </w:p>
    <w:p w:rsidRPr="00D07BF9" w:rsidR="00D07BF9" w:rsidP="00D07BF9" w:rsidRDefault="00D07BF9" w14:paraId="57FA5337" w14:textId="77777777">
      <w:pPr>
        <w:pStyle w:val="Estilo"/>
        <w:rPr>
          <w:rFonts w:ascii="Verdana" w:hAnsi="Verdana"/>
          <w:sz w:val="20"/>
          <w:szCs w:val="20"/>
        </w:rPr>
      </w:pPr>
      <w:r w:rsidRPr="00D07BF9">
        <w:rPr>
          <w:rFonts w:ascii="Verdana" w:hAnsi="Verdana"/>
          <w:sz w:val="20"/>
          <w:szCs w:val="20"/>
        </w:rPr>
        <w:t>III. Archivar el expediente cuando se detecte que no existen elementos para probar los hechos o actos relacionados con la denuncia.</w:t>
      </w:r>
    </w:p>
    <w:p w:rsidRPr="00D07BF9" w:rsidR="00D07BF9" w:rsidP="00D07BF9" w:rsidRDefault="00D07BF9" w14:paraId="39575380" w14:textId="77777777">
      <w:pPr>
        <w:pStyle w:val="Estilo"/>
        <w:rPr>
          <w:rFonts w:ascii="Verdana" w:hAnsi="Verdana"/>
          <w:sz w:val="20"/>
          <w:szCs w:val="20"/>
        </w:rPr>
      </w:pPr>
    </w:p>
    <w:p w:rsidRPr="00D07BF9" w:rsidR="00D07BF9" w:rsidP="00D07BF9" w:rsidRDefault="00D07BF9" w14:paraId="662B37BB" w14:textId="77777777">
      <w:pPr>
        <w:pStyle w:val="Estilo"/>
        <w:rPr>
          <w:rFonts w:ascii="Verdana" w:hAnsi="Verdana"/>
          <w:sz w:val="20"/>
          <w:szCs w:val="20"/>
        </w:rPr>
      </w:pPr>
    </w:p>
    <w:p w:rsidRPr="004D1DA8" w:rsidR="00D07BF9" w:rsidP="004D1DA8" w:rsidRDefault="00D07BF9" w14:paraId="2305DFCB" w14:textId="77777777">
      <w:pPr>
        <w:pStyle w:val="Estilo"/>
        <w:jc w:val="center"/>
        <w:rPr>
          <w:rFonts w:ascii="Verdana" w:hAnsi="Verdana"/>
          <w:b/>
          <w:bCs/>
          <w:sz w:val="20"/>
          <w:szCs w:val="20"/>
        </w:rPr>
      </w:pPr>
      <w:r w:rsidRPr="004D1DA8">
        <w:rPr>
          <w:rFonts w:ascii="Verdana" w:hAnsi="Verdana"/>
          <w:b/>
          <w:bCs/>
          <w:sz w:val="20"/>
          <w:szCs w:val="20"/>
        </w:rPr>
        <w:t>Capítulo IV</w:t>
      </w:r>
    </w:p>
    <w:p w:rsidRPr="004D1DA8" w:rsidR="00D07BF9" w:rsidP="004D1DA8" w:rsidRDefault="00D07BF9" w14:paraId="1C193703" w14:textId="77777777">
      <w:pPr>
        <w:pStyle w:val="Estilo"/>
        <w:jc w:val="center"/>
        <w:rPr>
          <w:rFonts w:ascii="Verdana" w:hAnsi="Verdana"/>
          <w:b/>
          <w:bCs/>
          <w:sz w:val="20"/>
          <w:szCs w:val="20"/>
        </w:rPr>
      </w:pPr>
      <w:r w:rsidRPr="004D1DA8">
        <w:rPr>
          <w:rFonts w:ascii="Verdana" w:hAnsi="Verdana"/>
          <w:b/>
          <w:bCs/>
          <w:sz w:val="20"/>
          <w:szCs w:val="20"/>
        </w:rPr>
        <w:t>Participación Ciudadana</w:t>
      </w:r>
    </w:p>
    <w:p w:rsidRPr="00D07BF9" w:rsidR="00D07BF9" w:rsidP="00D07BF9" w:rsidRDefault="00D07BF9" w14:paraId="0E602F0E" w14:textId="77777777">
      <w:pPr>
        <w:pStyle w:val="Estilo"/>
        <w:rPr>
          <w:rFonts w:ascii="Verdana" w:hAnsi="Verdana"/>
          <w:sz w:val="20"/>
          <w:szCs w:val="20"/>
        </w:rPr>
      </w:pPr>
    </w:p>
    <w:p w:rsidRPr="004D1DA8" w:rsidR="00D07BF9" w:rsidP="004D1DA8" w:rsidRDefault="00D07BF9" w14:paraId="1AF9F212" w14:textId="77777777">
      <w:pPr>
        <w:pStyle w:val="Estilo"/>
        <w:jc w:val="right"/>
        <w:rPr>
          <w:rFonts w:ascii="Verdana" w:hAnsi="Verdana"/>
          <w:b/>
          <w:bCs/>
          <w:sz w:val="20"/>
          <w:szCs w:val="20"/>
        </w:rPr>
      </w:pPr>
      <w:r w:rsidRPr="004D1DA8">
        <w:rPr>
          <w:rFonts w:ascii="Verdana" w:hAnsi="Verdana"/>
          <w:b/>
          <w:bCs/>
          <w:sz w:val="20"/>
          <w:szCs w:val="20"/>
        </w:rPr>
        <w:t>Opiniones, solicitudes y quejas</w:t>
      </w:r>
    </w:p>
    <w:p w:rsidRPr="00D07BF9" w:rsidR="00D07BF9" w:rsidP="00D07BF9" w:rsidRDefault="00D07BF9" w14:paraId="01C8690C" w14:textId="77777777">
      <w:pPr>
        <w:pStyle w:val="Estilo"/>
        <w:rPr>
          <w:rFonts w:ascii="Verdana" w:hAnsi="Verdana"/>
          <w:sz w:val="20"/>
          <w:szCs w:val="20"/>
        </w:rPr>
      </w:pPr>
      <w:r w:rsidRPr="00D07BF9">
        <w:rPr>
          <w:rFonts w:ascii="Verdana" w:hAnsi="Verdana"/>
          <w:sz w:val="20"/>
          <w:szCs w:val="20"/>
        </w:rPr>
        <w:t>Artículo 44. Cualquier ciudadano podrá presentar opiniones, solicitudes y quejas ante la Auditoría Superior, por hechos probablemente irregulares y que tengan relación inmediata y directa con recursos públicos que administran y ejercen los sujetos de fiscalización.</w:t>
      </w:r>
    </w:p>
    <w:p w:rsidRPr="00D07BF9" w:rsidR="00D07BF9" w:rsidP="00D07BF9" w:rsidRDefault="00D07BF9" w14:paraId="00728FEF" w14:textId="77777777">
      <w:pPr>
        <w:pStyle w:val="Estilo"/>
        <w:rPr>
          <w:rFonts w:ascii="Verdana" w:hAnsi="Verdana"/>
          <w:sz w:val="20"/>
          <w:szCs w:val="20"/>
        </w:rPr>
      </w:pPr>
    </w:p>
    <w:p w:rsidRPr="004D1DA8" w:rsidR="00D07BF9" w:rsidP="004D1DA8" w:rsidRDefault="00D07BF9" w14:paraId="46087B80" w14:textId="77777777">
      <w:pPr>
        <w:pStyle w:val="Estilo"/>
        <w:jc w:val="right"/>
        <w:rPr>
          <w:rFonts w:ascii="Verdana" w:hAnsi="Verdana"/>
          <w:b/>
          <w:bCs/>
          <w:sz w:val="20"/>
          <w:szCs w:val="20"/>
        </w:rPr>
      </w:pPr>
      <w:r w:rsidRPr="004D1DA8">
        <w:rPr>
          <w:rFonts w:ascii="Verdana" w:hAnsi="Verdana"/>
          <w:b/>
          <w:bCs/>
          <w:sz w:val="20"/>
          <w:szCs w:val="20"/>
        </w:rPr>
        <w:t>Formalidades de presentación</w:t>
      </w:r>
    </w:p>
    <w:p w:rsidRPr="00D07BF9" w:rsidR="00D07BF9" w:rsidP="00D07BF9" w:rsidRDefault="00D07BF9" w14:paraId="4E76A666" w14:textId="77777777">
      <w:pPr>
        <w:pStyle w:val="Estilo"/>
        <w:rPr>
          <w:rFonts w:ascii="Verdana" w:hAnsi="Verdana"/>
          <w:sz w:val="20"/>
          <w:szCs w:val="20"/>
        </w:rPr>
      </w:pPr>
      <w:r w:rsidRPr="00D07BF9">
        <w:rPr>
          <w:rFonts w:ascii="Verdana" w:hAnsi="Verdana"/>
          <w:sz w:val="20"/>
          <w:szCs w:val="20"/>
        </w:rPr>
        <w:t>Artículo 45. Para la presentación de las opiniones, solicitudes y quejas, no se requiere de formalidad especial, por lo que podrán ser presentadas por escrito, a través de medios electrónicos o telefónicos.</w:t>
      </w:r>
    </w:p>
    <w:p w:rsidRPr="00D07BF9" w:rsidR="00D07BF9" w:rsidP="00D07BF9" w:rsidRDefault="00D07BF9" w14:paraId="38DA7A09" w14:textId="77777777">
      <w:pPr>
        <w:pStyle w:val="Estilo"/>
        <w:rPr>
          <w:rFonts w:ascii="Verdana" w:hAnsi="Verdana"/>
          <w:sz w:val="20"/>
          <w:szCs w:val="20"/>
        </w:rPr>
      </w:pPr>
    </w:p>
    <w:p w:rsidRPr="00D07BF9" w:rsidR="00D07BF9" w:rsidP="00D07BF9" w:rsidRDefault="00D07BF9" w14:paraId="30888316" w14:textId="77777777">
      <w:pPr>
        <w:pStyle w:val="Estilo"/>
        <w:rPr>
          <w:rFonts w:ascii="Verdana" w:hAnsi="Verdana"/>
          <w:sz w:val="20"/>
          <w:szCs w:val="20"/>
        </w:rPr>
      </w:pPr>
      <w:r w:rsidRPr="00D07BF9">
        <w:rPr>
          <w:rFonts w:ascii="Verdana" w:hAnsi="Verdana"/>
          <w:sz w:val="20"/>
          <w:szCs w:val="20"/>
        </w:rPr>
        <w:t>Las opiniones, solicitudes y quejas a que se refiere este capítulo, únicamente tienen por objeto aportar elementos a la Auditoría Superior que pudieran ser útiles para la planeación de la revisión de cuenta pública y la elaboración del Programa General de Fiscalización, así como para direccionar alguna revisión que se encuentre en proceso.</w:t>
      </w:r>
    </w:p>
    <w:p w:rsidRPr="00D07BF9" w:rsidR="00D07BF9" w:rsidP="00D07BF9" w:rsidRDefault="00D07BF9" w14:paraId="0019B857" w14:textId="77777777">
      <w:pPr>
        <w:pStyle w:val="Estilo"/>
        <w:rPr>
          <w:rFonts w:ascii="Verdana" w:hAnsi="Verdana"/>
          <w:sz w:val="20"/>
          <w:szCs w:val="20"/>
        </w:rPr>
      </w:pPr>
    </w:p>
    <w:p w:rsidRPr="004D1DA8" w:rsidR="00D07BF9" w:rsidP="004D1DA8" w:rsidRDefault="00D07BF9" w14:paraId="75C190CF" w14:textId="77777777">
      <w:pPr>
        <w:pStyle w:val="Estilo"/>
        <w:jc w:val="right"/>
        <w:rPr>
          <w:rFonts w:ascii="Verdana" w:hAnsi="Verdana"/>
          <w:b/>
          <w:bCs/>
          <w:sz w:val="20"/>
          <w:szCs w:val="20"/>
        </w:rPr>
      </w:pPr>
      <w:r w:rsidRPr="004D1DA8">
        <w:rPr>
          <w:rFonts w:ascii="Verdana" w:hAnsi="Verdana"/>
          <w:b/>
          <w:bCs/>
          <w:sz w:val="20"/>
          <w:szCs w:val="20"/>
        </w:rPr>
        <w:t>Medios de presentación</w:t>
      </w:r>
    </w:p>
    <w:p w:rsidRPr="00D07BF9" w:rsidR="00D07BF9" w:rsidP="00D07BF9" w:rsidRDefault="00D07BF9" w14:paraId="1DDD3FAD" w14:textId="77777777">
      <w:pPr>
        <w:pStyle w:val="Estilo"/>
        <w:rPr>
          <w:rFonts w:ascii="Verdana" w:hAnsi="Verdana"/>
          <w:sz w:val="20"/>
          <w:szCs w:val="20"/>
        </w:rPr>
      </w:pPr>
      <w:r w:rsidRPr="00D07BF9">
        <w:rPr>
          <w:rFonts w:ascii="Verdana" w:hAnsi="Verdana"/>
          <w:sz w:val="20"/>
          <w:szCs w:val="20"/>
        </w:rPr>
        <w:t>Artículo 46. Para la recepción de opiniones, solicitudes y quejas, la Auditoría Superior pondrá a disposición de la ciudadanía, entre otros mecanismos, un correo electrónico y número telefónico, mismos que deberán publicitarse en su página electrónica institucional.</w:t>
      </w:r>
    </w:p>
    <w:p w:rsidRPr="00D07BF9" w:rsidR="00D07BF9" w:rsidP="00D07BF9" w:rsidRDefault="00D07BF9" w14:paraId="4BE0954E" w14:textId="77777777">
      <w:pPr>
        <w:pStyle w:val="Estilo"/>
        <w:rPr>
          <w:rFonts w:ascii="Verdana" w:hAnsi="Verdana"/>
          <w:sz w:val="20"/>
          <w:szCs w:val="20"/>
        </w:rPr>
      </w:pPr>
    </w:p>
    <w:p w:rsidRPr="004D1DA8" w:rsidR="00D07BF9" w:rsidP="004D1DA8" w:rsidRDefault="00D07BF9" w14:paraId="01CCB9CA" w14:textId="77777777">
      <w:pPr>
        <w:pStyle w:val="Estilo"/>
        <w:jc w:val="right"/>
        <w:rPr>
          <w:rFonts w:ascii="Verdana" w:hAnsi="Verdana"/>
          <w:b/>
          <w:bCs/>
          <w:sz w:val="20"/>
          <w:szCs w:val="20"/>
        </w:rPr>
      </w:pPr>
      <w:r w:rsidRPr="004D1DA8">
        <w:rPr>
          <w:rFonts w:ascii="Verdana" w:hAnsi="Verdana"/>
          <w:b/>
          <w:bCs/>
          <w:sz w:val="20"/>
          <w:szCs w:val="20"/>
        </w:rPr>
        <w:t>Presentación por escrito</w:t>
      </w:r>
    </w:p>
    <w:p w:rsidRPr="00D07BF9" w:rsidR="00D07BF9" w:rsidP="00D07BF9" w:rsidRDefault="00D07BF9" w14:paraId="260035CE" w14:textId="77777777">
      <w:pPr>
        <w:pStyle w:val="Estilo"/>
        <w:rPr>
          <w:rFonts w:ascii="Verdana" w:hAnsi="Verdana"/>
          <w:sz w:val="20"/>
          <w:szCs w:val="20"/>
        </w:rPr>
      </w:pPr>
      <w:r w:rsidRPr="00D07BF9">
        <w:rPr>
          <w:rFonts w:ascii="Verdana" w:hAnsi="Verdana"/>
          <w:sz w:val="20"/>
          <w:szCs w:val="20"/>
        </w:rPr>
        <w:t>Artículo 47. La Auditoría Superior sólo estará obligada a hacer del conocimiento sobre el trámite que se le dio a la información proporcionada, cuando las solicitudes, opiniones y quejas sean presentadas por escrito, conteniendo los siguientes requisitos:</w:t>
      </w:r>
    </w:p>
    <w:p w:rsidRPr="00D07BF9" w:rsidR="00D07BF9" w:rsidP="00D07BF9" w:rsidRDefault="00D07BF9" w14:paraId="711CD4E3" w14:textId="77777777">
      <w:pPr>
        <w:pStyle w:val="Estilo"/>
        <w:rPr>
          <w:rFonts w:ascii="Verdana" w:hAnsi="Verdana"/>
          <w:sz w:val="20"/>
          <w:szCs w:val="20"/>
        </w:rPr>
      </w:pPr>
    </w:p>
    <w:p w:rsidRPr="00D07BF9" w:rsidR="00D07BF9" w:rsidP="00D07BF9" w:rsidRDefault="00D07BF9" w14:paraId="7A1FEA05" w14:textId="77777777">
      <w:pPr>
        <w:pStyle w:val="Estilo"/>
        <w:rPr>
          <w:rFonts w:ascii="Verdana" w:hAnsi="Verdana"/>
          <w:sz w:val="20"/>
          <w:szCs w:val="20"/>
        </w:rPr>
      </w:pPr>
      <w:r w:rsidRPr="00D07BF9">
        <w:rPr>
          <w:rFonts w:ascii="Verdana" w:hAnsi="Verdana"/>
          <w:sz w:val="20"/>
          <w:szCs w:val="20"/>
        </w:rPr>
        <w:t>I. Nombre del quejoso o solicitante;</w:t>
      </w:r>
    </w:p>
    <w:p w:rsidRPr="00D07BF9" w:rsidR="00D07BF9" w:rsidP="00D07BF9" w:rsidRDefault="00D07BF9" w14:paraId="3561AED7" w14:textId="77777777">
      <w:pPr>
        <w:pStyle w:val="Estilo"/>
        <w:rPr>
          <w:rFonts w:ascii="Verdana" w:hAnsi="Verdana"/>
          <w:sz w:val="20"/>
          <w:szCs w:val="20"/>
        </w:rPr>
      </w:pPr>
    </w:p>
    <w:p w:rsidRPr="00D07BF9" w:rsidR="00D07BF9" w:rsidP="00D07BF9" w:rsidRDefault="00D07BF9" w14:paraId="7F7D2CAB" w14:textId="77777777">
      <w:pPr>
        <w:pStyle w:val="Estilo"/>
        <w:rPr>
          <w:rFonts w:ascii="Verdana" w:hAnsi="Verdana"/>
          <w:sz w:val="20"/>
          <w:szCs w:val="20"/>
        </w:rPr>
      </w:pPr>
      <w:r w:rsidRPr="00D07BF9">
        <w:rPr>
          <w:rFonts w:ascii="Verdana" w:hAnsi="Verdana"/>
          <w:sz w:val="20"/>
          <w:szCs w:val="20"/>
        </w:rPr>
        <w:t>II. Domicilio;</w:t>
      </w:r>
    </w:p>
    <w:p w:rsidRPr="00D07BF9" w:rsidR="00D07BF9" w:rsidP="00D07BF9" w:rsidRDefault="00D07BF9" w14:paraId="00278FAA" w14:textId="77777777">
      <w:pPr>
        <w:pStyle w:val="Estilo"/>
        <w:rPr>
          <w:rFonts w:ascii="Verdana" w:hAnsi="Verdana"/>
          <w:sz w:val="20"/>
          <w:szCs w:val="20"/>
        </w:rPr>
      </w:pPr>
    </w:p>
    <w:p w:rsidRPr="00D07BF9" w:rsidR="00D07BF9" w:rsidP="00D07BF9" w:rsidRDefault="00D07BF9" w14:paraId="08BF23D5" w14:textId="77777777">
      <w:pPr>
        <w:pStyle w:val="Estilo"/>
        <w:rPr>
          <w:rFonts w:ascii="Verdana" w:hAnsi="Verdana"/>
          <w:sz w:val="20"/>
          <w:szCs w:val="20"/>
        </w:rPr>
      </w:pPr>
      <w:r w:rsidRPr="00D07BF9">
        <w:rPr>
          <w:rFonts w:ascii="Verdana" w:hAnsi="Verdana"/>
          <w:sz w:val="20"/>
          <w:szCs w:val="20"/>
        </w:rPr>
        <w:t>III. Hechos y pruebas en que funde su solicitud o queja; y</w:t>
      </w:r>
    </w:p>
    <w:p w:rsidRPr="00D07BF9" w:rsidR="00D07BF9" w:rsidP="00D07BF9" w:rsidRDefault="00D07BF9" w14:paraId="27CE6944" w14:textId="77777777">
      <w:pPr>
        <w:pStyle w:val="Estilo"/>
        <w:rPr>
          <w:rFonts w:ascii="Verdana" w:hAnsi="Verdana"/>
          <w:sz w:val="20"/>
          <w:szCs w:val="20"/>
        </w:rPr>
      </w:pPr>
    </w:p>
    <w:p w:rsidRPr="00D07BF9" w:rsidR="00D07BF9" w:rsidP="00D07BF9" w:rsidRDefault="00D07BF9" w14:paraId="34A9111D" w14:textId="77777777">
      <w:pPr>
        <w:pStyle w:val="Estilo"/>
        <w:rPr>
          <w:rFonts w:ascii="Verdana" w:hAnsi="Verdana"/>
          <w:sz w:val="20"/>
          <w:szCs w:val="20"/>
        </w:rPr>
      </w:pPr>
      <w:r w:rsidRPr="00D07BF9">
        <w:rPr>
          <w:rFonts w:ascii="Verdana" w:hAnsi="Verdana"/>
          <w:sz w:val="20"/>
          <w:szCs w:val="20"/>
        </w:rPr>
        <w:t>IV. Firma autógrafa del promovente.</w:t>
      </w:r>
    </w:p>
    <w:p w:rsidRPr="00D07BF9" w:rsidR="00D07BF9" w:rsidP="00D07BF9" w:rsidRDefault="00D07BF9" w14:paraId="550251B3" w14:textId="77777777">
      <w:pPr>
        <w:pStyle w:val="Estilo"/>
        <w:rPr>
          <w:rFonts w:ascii="Verdana" w:hAnsi="Verdana"/>
          <w:sz w:val="20"/>
          <w:szCs w:val="20"/>
        </w:rPr>
      </w:pPr>
    </w:p>
    <w:p w:rsidRPr="00D07BF9" w:rsidR="00D07BF9" w:rsidP="00D07BF9" w:rsidRDefault="00D07BF9" w14:paraId="55051F26" w14:textId="77777777">
      <w:pPr>
        <w:pStyle w:val="Estilo"/>
        <w:rPr>
          <w:rFonts w:ascii="Verdana" w:hAnsi="Verdana"/>
          <w:sz w:val="20"/>
          <w:szCs w:val="20"/>
        </w:rPr>
      </w:pPr>
    </w:p>
    <w:p w:rsidRPr="004D1DA8" w:rsidR="00D07BF9" w:rsidP="004D1DA8" w:rsidRDefault="00D07BF9" w14:paraId="4088D22A" w14:textId="77777777">
      <w:pPr>
        <w:pStyle w:val="Estilo"/>
        <w:jc w:val="center"/>
        <w:rPr>
          <w:rFonts w:ascii="Verdana" w:hAnsi="Verdana"/>
          <w:b/>
          <w:bCs/>
          <w:sz w:val="20"/>
          <w:szCs w:val="20"/>
        </w:rPr>
      </w:pPr>
      <w:r w:rsidRPr="004D1DA8">
        <w:rPr>
          <w:rFonts w:ascii="Verdana" w:hAnsi="Verdana"/>
          <w:b/>
          <w:bCs/>
          <w:sz w:val="20"/>
          <w:szCs w:val="20"/>
        </w:rPr>
        <w:t>Capítulo V</w:t>
      </w:r>
    </w:p>
    <w:p w:rsidRPr="004D1DA8" w:rsidR="00D07BF9" w:rsidP="004D1DA8" w:rsidRDefault="00D07BF9" w14:paraId="26D70E4A" w14:textId="77777777">
      <w:pPr>
        <w:pStyle w:val="Estilo"/>
        <w:jc w:val="center"/>
        <w:rPr>
          <w:rFonts w:ascii="Verdana" w:hAnsi="Verdana"/>
          <w:b/>
          <w:bCs/>
          <w:sz w:val="20"/>
          <w:szCs w:val="20"/>
        </w:rPr>
      </w:pPr>
      <w:r w:rsidRPr="004D1DA8">
        <w:rPr>
          <w:rFonts w:ascii="Verdana" w:hAnsi="Verdana"/>
          <w:b/>
          <w:bCs/>
          <w:sz w:val="20"/>
          <w:szCs w:val="20"/>
        </w:rPr>
        <w:t>Recurso de Reconsideración</w:t>
      </w:r>
    </w:p>
    <w:p w:rsidRPr="00D07BF9" w:rsidR="00D07BF9" w:rsidP="00D07BF9" w:rsidRDefault="00D07BF9" w14:paraId="234BE65B" w14:textId="77777777">
      <w:pPr>
        <w:pStyle w:val="Estilo"/>
        <w:rPr>
          <w:rFonts w:ascii="Verdana" w:hAnsi="Verdana"/>
          <w:sz w:val="20"/>
          <w:szCs w:val="20"/>
        </w:rPr>
      </w:pPr>
    </w:p>
    <w:p w:rsidRPr="004D1DA8" w:rsidR="00D07BF9" w:rsidP="004D1DA8" w:rsidRDefault="00D07BF9" w14:paraId="31D0F0C0" w14:textId="77777777">
      <w:pPr>
        <w:pStyle w:val="Estilo"/>
        <w:jc w:val="right"/>
        <w:rPr>
          <w:rFonts w:ascii="Verdana" w:hAnsi="Verdana"/>
          <w:b/>
          <w:bCs/>
          <w:sz w:val="20"/>
          <w:szCs w:val="20"/>
        </w:rPr>
      </w:pPr>
      <w:r w:rsidRPr="004D1DA8">
        <w:rPr>
          <w:rFonts w:ascii="Verdana" w:hAnsi="Verdana"/>
          <w:b/>
          <w:bCs/>
          <w:sz w:val="20"/>
          <w:szCs w:val="20"/>
        </w:rPr>
        <w:t>Procedencia</w:t>
      </w:r>
    </w:p>
    <w:p w:rsidRPr="00D07BF9" w:rsidR="00D07BF9" w:rsidP="00D07BF9" w:rsidRDefault="00D07BF9" w14:paraId="37B0B85D" w14:textId="77777777">
      <w:pPr>
        <w:pStyle w:val="Estilo"/>
        <w:rPr>
          <w:rFonts w:ascii="Verdana" w:hAnsi="Verdana"/>
          <w:sz w:val="20"/>
          <w:szCs w:val="20"/>
        </w:rPr>
      </w:pPr>
      <w:r w:rsidRPr="00D07BF9">
        <w:rPr>
          <w:rFonts w:ascii="Verdana" w:hAnsi="Verdana"/>
          <w:sz w:val="20"/>
          <w:szCs w:val="20"/>
        </w:rPr>
        <w:t>Artículo 48. El recurso de reconsideración procederá en contra del informe de resultados, de la resolución que determine la imposición de una multa o respecto de aquélla que deseche la denuncia de investigación de situación excepcional.</w:t>
      </w:r>
    </w:p>
    <w:p w:rsidRPr="00D07BF9" w:rsidR="00D07BF9" w:rsidP="00D07BF9" w:rsidRDefault="00D07BF9" w14:paraId="119D8D9F" w14:textId="77777777">
      <w:pPr>
        <w:pStyle w:val="Estilo"/>
        <w:rPr>
          <w:rFonts w:ascii="Verdana" w:hAnsi="Verdana"/>
          <w:sz w:val="20"/>
          <w:szCs w:val="20"/>
        </w:rPr>
      </w:pPr>
    </w:p>
    <w:p w:rsidRPr="004D1DA8" w:rsidR="00D07BF9" w:rsidP="004D1DA8" w:rsidRDefault="00D07BF9" w14:paraId="644ECB53" w14:textId="77777777">
      <w:pPr>
        <w:pStyle w:val="Estilo"/>
        <w:jc w:val="right"/>
        <w:rPr>
          <w:rFonts w:ascii="Verdana" w:hAnsi="Verdana"/>
          <w:b/>
          <w:bCs/>
          <w:sz w:val="20"/>
          <w:szCs w:val="20"/>
        </w:rPr>
      </w:pPr>
      <w:r w:rsidRPr="004D1DA8">
        <w:rPr>
          <w:rFonts w:ascii="Verdana" w:hAnsi="Verdana"/>
          <w:b/>
          <w:bCs/>
          <w:sz w:val="20"/>
          <w:szCs w:val="20"/>
        </w:rPr>
        <w:t>Objeto de la resolución</w:t>
      </w:r>
    </w:p>
    <w:p w:rsidRPr="00D07BF9" w:rsidR="00D07BF9" w:rsidP="00D07BF9" w:rsidRDefault="00D07BF9" w14:paraId="3DDB22B1" w14:textId="77777777">
      <w:pPr>
        <w:pStyle w:val="Estilo"/>
        <w:rPr>
          <w:rFonts w:ascii="Verdana" w:hAnsi="Verdana"/>
          <w:sz w:val="20"/>
          <w:szCs w:val="20"/>
        </w:rPr>
      </w:pPr>
      <w:r w:rsidRPr="00D07BF9">
        <w:rPr>
          <w:rFonts w:ascii="Verdana" w:hAnsi="Verdana"/>
          <w:sz w:val="20"/>
          <w:szCs w:val="20"/>
        </w:rPr>
        <w:t>Artículo 49. La resolución que ponga fin al recurso tendrá por objeto:</w:t>
      </w:r>
    </w:p>
    <w:p w:rsidRPr="00D07BF9" w:rsidR="00D07BF9" w:rsidP="00D07BF9" w:rsidRDefault="00D07BF9" w14:paraId="1ACEBD97" w14:textId="77777777">
      <w:pPr>
        <w:pStyle w:val="Estilo"/>
        <w:rPr>
          <w:rFonts w:ascii="Verdana" w:hAnsi="Verdana"/>
          <w:sz w:val="20"/>
          <w:szCs w:val="20"/>
        </w:rPr>
      </w:pPr>
    </w:p>
    <w:p w:rsidRPr="00D07BF9" w:rsidR="00D07BF9" w:rsidP="00D07BF9" w:rsidRDefault="00D07BF9" w14:paraId="084C02CE" w14:textId="77777777">
      <w:pPr>
        <w:pStyle w:val="Estilo"/>
        <w:rPr>
          <w:rFonts w:ascii="Verdana" w:hAnsi="Verdana"/>
          <w:sz w:val="20"/>
          <w:szCs w:val="20"/>
        </w:rPr>
      </w:pPr>
      <w:r w:rsidRPr="00D07BF9">
        <w:rPr>
          <w:rFonts w:ascii="Verdana" w:hAnsi="Verdana"/>
          <w:sz w:val="20"/>
          <w:szCs w:val="20"/>
        </w:rPr>
        <w:t>I. Declararlo improcedente o sobreseerlo; o</w:t>
      </w:r>
    </w:p>
    <w:p w:rsidRPr="00D07BF9" w:rsidR="00D07BF9" w:rsidP="00D07BF9" w:rsidRDefault="00D07BF9" w14:paraId="67144E1C" w14:textId="77777777">
      <w:pPr>
        <w:pStyle w:val="Estilo"/>
        <w:rPr>
          <w:rFonts w:ascii="Verdana" w:hAnsi="Verdana"/>
          <w:sz w:val="20"/>
          <w:szCs w:val="20"/>
        </w:rPr>
      </w:pPr>
    </w:p>
    <w:p w:rsidRPr="00D07BF9" w:rsidR="00D07BF9" w:rsidP="00D07BF9" w:rsidRDefault="00D07BF9" w14:paraId="110567A2" w14:textId="77777777">
      <w:pPr>
        <w:pStyle w:val="Estilo"/>
        <w:rPr>
          <w:rFonts w:ascii="Verdana" w:hAnsi="Verdana"/>
          <w:sz w:val="20"/>
          <w:szCs w:val="20"/>
        </w:rPr>
      </w:pPr>
      <w:r w:rsidRPr="00D07BF9">
        <w:rPr>
          <w:rFonts w:ascii="Verdana" w:hAnsi="Verdana"/>
          <w:sz w:val="20"/>
          <w:szCs w:val="20"/>
        </w:rPr>
        <w:t>II. Confirmar, revocar o modificar la resolución recurrida.</w:t>
      </w:r>
    </w:p>
    <w:p w:rsidRPr="00D07BF9" w:rsidR="00D07BF9" w:rsidP="00D07BF9" w:rsidRDefault="00D07BF9" w14:paraId="17657511" w14:textId="77777777">
      <w:pPr>
        <w:pStyle w:val="Estilo"/>
        <w:rPr>
          <w:rFonts w:ascii="Verdana" w:hAnsi="Verdana"/>
          <w:sz w:val="20"/>
          <w:szCs w:val="20"/>
        </w:rPr>
      </w:pPr>
    </w:p>
    <w:p w:rsidRPr="004D1DA8" w:rsidR="00D07BF9" w:rsidP="004D1DA8" w:rsidRDefault="00D07BF9" w14:paraId="2A48BE08" w14:textId="77777777">
      <w:pPr>
        <w:pStyle w:val="Estilo"/>
        <w:jc w:val="right"/>
        <w:rPr>
          <w:rFonts w:ascii="Verdana" w:hAnsi="Verdana"/>
          <w:b/>
          <w:bCs/>
          <w:sz w:val="20"/>
          <w:szCs w:val="20"/>
        </w:rPr>
      </w:pPr>
      <w:r w:rsidRPr="004D1DA8">
        <w:rPr>
          <w:rFonts w:ascii="Verdana" w:hAnsi="Verdana"/>
          <w:b/>
          <w:bCs/>
          <w:sz w:val="20"/>
          <w:szCs w:val="20"/>
        </w:rPr>
        <w:t>Plazo de interposición</w:t>
      </w:r>
    </w:p>
    <w:p w:rsidRPr="00D07BF9" w:rsidR="00D07BF9" w:rsidP="00D07BF9" w:rsidRDefault="00D07BF9" w14:paraId="43AEFCDE" w14:textId="77777777">
      <w:pPr>
        <w:pStyle w:val="Estilo"/>
        <w:rPr>
          <w:rFonts w:ascii="Verdana" w:hAnsi="Verdana"/>
          <w:sz w:val="20"/>
          <w:szCs w:val="20"/>
        </w:rPr>
      </w:pPr>
      <w:r w:rsidRPr="00D07BF9">
        <w:rPr>
          <w:rFonts w:ascii="Verdana" w:hAnsi="Verdana"/>
          <w:sz w:val="20"/>
          <w:szCs w:val="20"/>
        </w:rPr>
        <w:t>Artículo 50. El recurso de reconsideración se presentará por escrito ante la Auditoría Superior dentro del plazo de 5 días hábiles, contados a partir del día hábil siguiente al que fue notificado el acto recurrido.</w:t>
      </w:r>
    </w:p>
    <w:p w:rsidRPr="00D07BF9" w:rsidR="00D07BF9" w:rsidP="00D07BF9" w:rsidRDefault="00D07BF9" w14:paraId="2B27A0D3" w14:textId="77777777">
      <w:pPr>
        <w:pStyle w:val="Estilo"/>
        <w:rPr>
          <w:rFonts w:ascii="Verdana" w:hAnsi="Verdana"/>
          <w:sz w:val="20"/>
          <w:szCs w:val="20"/>
        </w:rPr>
      </w:pPr>
    </w:p>
    <w:p w:rsidRPr="004D1DA8" w:rsidR="00D07BF9" w:rsidP="004D1DA8" w:rsidRDefault="00D07BF9" w14:paraId="2A517FC4" w14:textId="77777777">
      <w:pPr>
        <w:pStyle w:val="Estilo"/>
        <w:jc w:val="right"/>
        <w:rPr>
          <w:rFonts w:ascii="Verdana" w:hAnsi="Verdana"/>
          <w:b/>
          <w:bCs/>
          <w:sz w:val="20"/>
          <w:szCs w:val="20"/>
        </w:rPr>
      </w:pPr>
      <w:r w:rsidRPr="004D1DA8">
        <w:rPr>
          <w:rFonts w:ascii="Verdana" w:hAnsi="Verdana"/>
          <w:b/>
          <w:bCs/>
          <w:sz w:val="20"/>
          <w:szCs w:val="20"/>
        </w:rPr>
        <w:t>Requisitos del recurso de reconsideración</w:t>
      </w:r>
    </w:p>
    <w:p w:rsidRPr="00D07BF9" w:rsidR="00D07BF9" w:rsidP="00D07BF9" w:rsidRDefault="00D07BF9" w14:paraId="139F5620" w14:textId="77777777">
      <w:pPr>
        <w:pStyle w:val="Estilo"/>
        <w:rPr>
          <w:rFonts w:ascii="Verdana" w:hAnsi="Verdana"/>
          <w:sz w:val="20"/>
          <w:szCs w:val="20"/>
        </w:rPr>
      </w:pPr>
      <w:r w:rsidRPr="00D07BF9">
        <w:rPr>
          <w:rFonts w:ascii="Verdana" w:hAnsi="Verdana"/>
          <w:sz w:val="20"/>
          <w:szCs w:val="20"/>
        </w:rPr>
        <w:t>Artículo 51. El escrito de interposición del recurso de reconsideración contendrá los siguientes requisitos:</w:t>
      </w:r>
    </w:p>
    <w:p w:rsidRPr="00D07BF9" w:rsidR="00D07BF9" w:rsidP="00D07BF9" w:rsidRDefault="00D07BF9" w14:paraId="62B7CDE2" w14:textId="77777777">
      <w:pPr>
        <w:pStyle w:val="Estilo"/>
        <w:rPr>
          <w:rFonts w:ascii="Verdana" w:hAnsi="Verdana"/>
          <w:sz w:val="20"/>
          <w:szCs w:val="20"/>
        </w:rPr>
      </w:pPr>
    </w:p>
    <w:p w:rsidRPr="00D07BF9" w:rsidR="00D07BF9" w:rsidP="00D07BF9" w:rsidRDefault="00D07BF9" w14:paraId="40624326" w14:textId="77777777">
      <w:pPr>
        <w:pStyle w:val="Estilo"/>
        <w:rPr>
          <w:rFonts w:ascii="Verdana" w:hAnsi="Verdana"/>
          <w:sz w:val="20"/>
          <w:szCs w:val="20"/>
        </w:rPr>
      </w:pPr>
      <w:r w:rsidRPr="00D07BF9">
        <w:rPr>
          <w:rFonts w:ascii="Verdana" w:hAnsi="Verdana"/>
          <w:sz w:val="20"/>
          <w:szCs w:val="20"/>
        </w:rPr>
        <w:t>I. Nombre y firma del recurrente o de quien promueve en su nombre.</w:t>
      </w:r>
    </w:p>
    <w:p w:rsidRPr="00D07BF9" w:rsidR="00D07BF9" w:rsidP="00D07BF9" w:rsidRDefault="00D07BF9" w14:paraId="14B6DFCD" w14:textId="77777777">
      <w:pPr>
        <w:pStyle w:val="Estilo"/>
        <w:rPr>
          <w:rFonts w:ascii="Verdana" w:hAnsi="Verdana"/>
          <w:sz w:val="20"/>
          <w:szCs w:val="20"/>
        </w:rPr>
      </w:pPr>
    </w:p>
    <w:p w:rsidRPr="00D07BF9" w:rsidR="00D07BF9" w:rsidP="00D07BF9" w:rsidRDefault="00D07BF9" w14:paraId="46B46A87" w14:textId="77777777">
      <w:pPr>
        <w:pStyle w:val="Estilo"/>
        <w:rPr>
          <w:rFonts w:ascii="Verdana" w:hAnsi="Verdana"/>
          <w:sz w:val="20"/>
          <w:szCs w:val="20"/>
        </w:rPr>
      </w:pPr>
      <w:r w:rsidRPr="00D07BF9">
        <w:rPr>
          <w:rFonts w:ascii="Verdana" w:hAnsi="Verdana"/>
          <w:sz w:val="20"/>
          <w:szCs w:val="20"/>
        </w:rPr>
        <w:t>Los recursos interpuestos por los sujetos de fiscalización deberán ser suscritos por sus titulares o por las personas a las que se les haya delegado tal atribución;</w:t>
      </w:r>
    </w:p>
    <w:p w:rsidRPr="00D07BF9" w:rsidR="00D07BF9" w:rsidP="00D07BF9" w:rsidRDefault="00D07BF9" w14:paraId="12679995" w14:textId="77777777">
      <w:pPr>
        <w:pStyle w:val="Estilo"/>
        <w:rPr>
          <w:rFonts w:ascii="Verdana" w:hAnsi="Verdana"/>
          <w:sz w:val="20"/>
          <w:szCs w:val="20"/>
        </w:rPr>
      </w:pPr>
    </w:p>
    <w:p w:rsidRPr="00D07BF9" w:rsidR="00D07BF9" w:rsidP="00D07BF9" w:rsidRDefault="00D07BF9" w14:paraId="2B7BA91F" w14:textId="77777777">
      <w:pPr>
        <w:pStyle w:val="Estilo"/>
        <w:rPr>
          <w:rFonts w:ascii="Verdana" w:hAnsi="Verdana"/>
          <w:sz w:val="20"/>
          <w:szCs w:val="20"/>
        </w:rPr>
      </w:pPr>
      <w:r w:rsidRPr="00D07BF9">
        <w:rPr>
          <w:rFonts w:ascii="Verdana" w:hAnsi="Verdana"/>
          <w:sz w:val="20"/>
          <w:szCs w:val="20"/>
        </w:rPr>
        <w:t>II. Documento con el que se acredite en su caso la personalidad del recurrente;</w:t>
      </w:r>
    </w:p>
    <w:p w:rsidRPr="00D07BF9" w:rsidR="00D07BF9" w:rsidP="00D07BF9" w:rsidRDefault="00D07BF9" w14:paraId="4213C262" w14:textId="77777777">
      <w:pPr>
        <w:pStyle w:val="Estilo"/>
        <w:rPr>
          <w:rFonts w:ascii="Verdana" w:hAnsi="Verdana"/>
          <w:sz w:val="20"/>
          <w:szCs w:val="20"/>
        </w:rPr>
      </w:pPr>
    </w:p>
    <w:p w:rsidRPr="00D07BF9" w:rsidR="00D07BF9" w:rsidP="00D07BF9" w:rsidRDefault="00D07BF9" w14:paraId="0B150551" w14:textId="77777777">
      <w:pPr>
        <w:pStyle w:val="Estilo"/>
        <w:rPr>
          <w:rFonts w:ascii="Verdana" w:hAnsi="Verdana"/>
          <w:sz w:val="20"/>
          <w:szCs w:val="20"/>
        </w:rPr>
      </w:pPr>
      <w:r w:rsidRPr="00D07BF9">
        <w:rPr>
          <w:rFonts w:ascii="Verdana" w:hAnsi="Verdana"/>
          <w:sz w:val="20"/>
          <w:szCs w:val="20"/>
        </w:rPr>
        <w:t>III. Domicilio y en su caso, la persona o personas que autorice el recurrente para recibir notificaciones, en el lugar de residencia de la Auditoría Superior.</w:t>
      </w:r>
    </w:p>
    <w:p w:rsidRPr="00D07BF9" w:rsidR="00D07BF9" w:rsidP="00D07BF9" w:rsidRDefault="00D07BF9" w14:paraId="4079B47D" w14:textId="77777777">
      <w:pPr>
        <w:pStyle w:val="Estilo"/>
        <w:rPr>
          <w:rFonts w:ascii="Verdana" w:hAnsi="Verdana"/>
          <w:sz w:val="20"/>
          <w:szCs w:val="20"/>
        </w:rPr>
      </w:pPr>
    </w:p>
    <w:p w:rsidRPr="00D07BF9" w:rsidR="00D07BF9" w:rsidP="00D07BF9" w:rsidRDefault="00D07BF9" w14:paraId="180E04DE" w14:textId="77777777">
      <w:pPr>
        <w:pStyle w:val="Estilo"/>
        <w:rPr>
          <w:rFonts w:ascii="Verdana" w:hAnsi="Verdana"/>
          <w:sz w:val="20"/>
          <w:szCs w:val="20"/>
        </w:rPr>
      </w:pPr>
      <w:r w:rsidRPr="00D07BF9">
        <w:rPr>
          <w:rFonts w:ascii="Verdana" w:hAnsi="Verdana"/>
          <w:sz w:val="20"/>
          <w:szCs w:val="20"/>
        </w:rPr>
        <w:t xml:space="preserve">En caso de no señalarse domicilio en el lugar de residencia de la Auditoría Superior, se notificará por estrados en las oficinas de </w:t>
      </w:r>
      <w:proofErr w:type="gramStart"/>
      <w:r w:rsidRPr="00D07BF9">
        <w:rPr>
          <w:rFonts w:ascii="Verdana" w:hAnsi="Verdana"/>
          <w:sz w:val="20"/>
          <w:szCs w:val="20"/>
        </w:rPr>
        <w:t>la misma</w:t>
      </w:r>
      <w:proofErr w:type="gramEnd"/>
      <w:r w:rsidRPr="00D07BF9">
        <w:rPr>
          <w:rFonts w:ascii="Verdana" w:hAnsi="Verdana"/>
          <w:sz w:val="20"/>
          <w:szCs w:val="20"/>
        </w:rPr>
        <w:t>;</w:t>
      </w:r>
    </w:p>
    <w:p w:rsidRPr="00D07BF9" w:rsidR="00D07BF9" w:rsidP="00D07BF9" w:rsidRDefault="00D07BF9" w14:paraId="6CDD69E0" w14:textId="77777777">
      <w:pPr>
        <w:pStyle w:val="Estilo"/>
        <w:rPr>
          <w:rFonts w:ascii="Verdana" w:hAnsi="Verdana"/>
          <w:sz w:val="20"/>
          <w:szCs w:val="20"/>
        </w:rPr>
      </w:pPr>
    </w:p>
    <w:p w:rsidRPr="00D07BF9" w:rsidR="00D07BF9" w:rsidP="00D07BF9" w:rsidRDefault="00D07BF9" w14:paraId="05339D2E" w14:textId="77777777">
      <w:pPr>
        <w:pStyle w:val="Estilo"/>
        <w:rPr>
          <w:rFonts w:ascii="Verdana" w:hAnsi="Verdana"/>
          <w:sz w:val="20"/>
          <w:szCs w:val="20"/>
        </w:rPr>
      </w:pPr>
      <w:r w:rsidRPr="00D07BF9">
        <w:rPr>
          <w:rFonts w:ascii="Verdana" w:hAnsi="Verdana"/>
          <w:sz w:val="20"/>
          <w:szCs w:val="20"/>
        </w:rPr>
        <w:t>IV. Descripción del acto o resolución impugnada, así como la fecha en que le fue notificada la misma;</w:t>
      </w:r>
    </w:p>
    <w:p w:rsidRPr="00D07BF9" w:rsidR="00D07BF9" w:rsidP="00D07BF9" w:rsidRDefault="00D07BF9" w14:paraId="2821A948" w14:textId="77777777">
      <w:pPr>
        <w:pStyle w:val="Estilo"/>
        <w:rPr>
          <w:rFonts w:ascii="Verdana" w:hAnsi="Verdana"/>
          <w:sz w:val="20"/>
          <w:szCs w:val="20"/>
        </w:rPr>
      </w:pPr>
    </w:p>
    <w:p w:rsidRPr="00D07BF9" w:rsidR="00D07BF9" w:rsidP="00D07BF9" w:rsidRDefault="00D07BF9" w14:paraId="2E67F225" w14:textId="77777777">
      <w:pPr>
        <w:pStyle w:val="Estilo"/>
        <w:rPr>
          <w:rFonts w:ascii="Verdana" w:hAnsi="Verdana"/>
          <w:sz w:val="20"/>
          <w:szCs w:val="20"/>
        </w:rPr>
      </w:pPr>
      <w:r w:rsidRPr="00D07BF9">
        <w:rPr>
          <w:rFonts w:ascii="Verdana" w:hAnsi="Verdana"/>
          <w:sz w:val="20"/>
          <w:szCs w:val="20"/>
        </w:rPr>
        <w:t>V. La descripción de los hechos que son antecedentes de la resolución que recurre y los agravios que le cause el acto recurrido; y</w:t>
      </w:r>
    </w:p>
    <w:p w:rsidRPr="00D07BF9" w:rsidR="00D07BF9" w:rsidP="00D07BF9" w:rsidRDefault="00D07BF9" w14:paraId="64C137C0" w14:textId="77777777">
      <w:pPr>
        <w:pStyle w:val="Estilo"/>
        <w:rPr>
          <w:rFonts w:ascii="Verdana" w:hAnsi="Verdana"/>
          <w:sz w:val="20"/>
          <w:szCs w:val="20"/>
        </w:rPr>
      </w:pPr>
    </w:p>
    <w:p w:rsidRPr="00D07BF9" w:rsidR="00D07BF9" w:rsidP="00D07BF9" w:rsidRDefault="00D07BF9" w14:paraId="6384B76F" w14:textId="77777777">
      <w:pPr>
        <w:pStyle w:val="Estilo"/>
        <w:rPr>
          <w:rFonts w:ascii="Verdana" w:hAnsi="Verdana"/>
          <w:sz w:val="20"/>
          <w:szCs w:val="20"/>
        </w:rPr>
      </w:pPr>
      <w:r w:rsidRPr="00D07BF9">
        <w:rPr>
          <w:rFonts w:ascii="Verdana" w:hAnsi="Verdana"/>
          <w:sz w:val="20"/>
          <w:szCs w:val="20"/>
        </w:rPr>
        <w:t>VI. Las pruebas documentales o de cualquier otro tipo supervenientes que ofrezca y que tengan relación inmediata y directa con la resolución o acto recurrido.</w:t>
      </w:r>
    </w:p>
    <w:p w:rsidRPr="00D07BF9" w:rsidR="00D07BF9" w:rsidP="00D07BF9" w:rsidRDefault="00D07BF9" w14:paraId="757E12BC" w14:textId="77777777">
      <w:pPr>
        <w:pStyle w:val="Estilo"/>
        <w:rPr>
          <w:rFonts w:ascii="Verdana" w:hAnsi="Verdana"/>
          <w:sz w:val="20"/>
          <w:szCs w:val="20"/>
        </w:rPr>
      </w:pPr>
    </w:p>
    <w:p w:rsidRPr="00D07BF9" w:rsidR="00D07BF9" w:rsidP="00D07BF9" w:rsidRDefault="00D07BF9" w14:paraId="00A1A858" w14:textId="77777777">
      <w:pPr>
        <w:pStyle w:val="Estilo"/>
        <w:rPr>
          <w:rFonts w:ascii="Verdana" w:hAnsi="Verdana"/>
          <w:sz w:val="20"/>
          <w:szCs w:val="20"/>
        </w:rPr>
      </w:pPr>
      <w:r w:rsidRPr="00D07BF9">
        <w:rPr>
          <w:rFonts w:ascii="Verdana" w:hAnsi="Verdana"/>
          <w:sz w:val="20"/>
          <w:szCs w:val="20"/>
        </w:rPr>
        <w:t>En caso de que el recurrente no cumpla con el requisito señalado en la fracción II de este artículo, la autoridad que conozca del recurso deberá requerirlo por escrito, por una sola vez, para que en un plazo de tres días hábiles subsane la omisión. Si transcurrido el plazo antes señalado el recurrente no cumple con el requerimiento, el recurso se tendrá por no interpuesto.</w:t>
      </w:r>
    </w:p>
    <w:p w:rsidRPr="00D07BF9" w:rsidR="00D07BF9" w:rsidP="00D07BF9" w:rsidRDefault="00D07BF9" w14:paraId="54C3D6C3" w14:textId="77777777">
      <w:pPr>
        <w:pStyle w:val="Estilo"/>
        <w:rPr>
          <w:rFonts w:ascii="Verdana" w:hAnsi="Verdana"/>
          <w:sz w:val="20"/>
          <w:szCs w:val="20"/>
        </w:rPr>
      </w:pPr>
    </w:p>
    <w:p w:rsidRPr="00D07BF9" w:rsidR="00D07BF9" w:rsidP="00D07BF9" w:rsidRDefault="00D07BF9" w14:paraId="7812E9C7" w14:textId="77777777">
      <w:pPr>
        <w:pStyle w:val="Estilo"/>
        <w:rPr>
          <w:rFonts w:ascii="Verdana" w:hAnsi="Verdana"/>
          <w:sz w:val="20"/>
          <w:szCs w:val="20"/>
        </w:rPr>
      </w:pPr>
      <w:r w:rsidRPr="00D07BF9">
        <w:rPr>
          <w:rFonts w:ascii="Verdana" w:hAnsi="Verdana"/>
          <w:sz w:val="20"/>
          <w:szCs w:val="20"/>
        </w:rPr>
        <w:t>Si el escrito de interposición del recurso de reconsideración no cumple con los requisitos que se establecen en las anteriores fracciones I, IV y V, el mismo se tendrá por no interpuesto.</w:t>
      </w:r>
    </w:p>
    <w:p w:rsidRPr="00D07BF9" w:rsidR="00D07BF9" w:rsidP="00D07BF9" w:rsidRDefault="00D07BF9" w14:paraId="089F7507" w14:textId="77777777">
      <w:pPr>
        <w:pStyle w:val="Estilo"/>
        <w:rPr>
          <w:rFonts w:ascii="Verdana" w:hAnsi="Verdana"/>
          <w:sz w:val="20"/>
          <w:szCs w:val="20"/>
        </w:rPr>
      </w:pPr>
    </w:p>
    <w:p w:rsidRPr="004D1DA8" w:rsidR="00D07BF9" w:rsidP="004D1DA8" w:rsidRDefault="00D07BF9" w14:paraId="68593939" w14:textId="77777777">
      <w:pPr>
        <w:pStyle w:val="Estilo"/>
        <w:jc w:val="right"/>
        <w:rPr>
          <w:rFonts w:ascii="Verdana" w:hAnsi="Verdana"/>
          <w:b/>
          <w:bCs/>
          <w:sz w:val="20"/>
          <w:szCs w:val="20"/>
        </w:rPr>
      </w:pPr>
      <w:r w:rsidRPr="004D1DA8">
        <w:rPr>
          <w:rFonts w:ascii="Verdana" w:hAnsi="Verdana"/>
          <w:b/>
          <w:bCs/>
          <w:sz w:val="20"/>
          <w:szCs w:val="20"/>
        </w:rPr>
        <w:t>Interposición del recurso a través de medios remotos de comunicación electrónica</w:t>
      </w:r>
    </w:p>
    <w:p w:rsidRPr="00D07BF9" w:rsidR="00D07BF9" w:rsidP="00D07BF9" w:rsidRDefault="00D07BF9" w14:paraId="41F53BF0" w14:textId="77777777">
      <w:pPr>
        <w:pStyle w:val="Estilo"/>
        <w:rPr>
          <w:rFonts w:ascii="Verdana" w:hAnsi="Verdana"/>
          <w:sz w:val="20"/>
          <w:szCs w:val="20"/>
        </w:rPr>
      </w:pPr>
      <w:r w:rsidRPr="00D07BF9">
        <w:rPr>
          <w:rFonts w:ascii="Verdana" w:hAnsi="Verdana"/>
          <w:sz w:val="20"/>
          <w:szCs w:val="20"/>
        </w:rPr>
        <w:t>Artículo 52. Los recurrentes podrán optar por interponer el recurso de reconsideración por medios remotos de comunicación electrónica, el cual se sustanciará a través del sistema informático que establezca la Auditoría Superior. El recurso así interpuesto, además de lo dispuesto en este capítulo, atenderá a lo que establezca el Reglamento, así como en los lineamientos que para tal efecto emita la Auditoría Superior.</w:t>
      </w:r>
    </w:p>
    <w:p w:rsidR="00D07BF9" w:rsidP="00D07BF9" w:rsidRDefault="00D07BF9" w14:paraId="7809462B" w14:textId="1938C48F">
      <w:pPr>
        <w:pStyle w:val="Estilo"/>
        <w:rPr>
          <w:rFonts w:ascii="Verdana" w:hAnsi="Verdana"/>
          <w:sz w:val="20"/>
          <w:szCs w:val="20"/>
        </w:rPr>
      </w:pPr>
    </w:p>
    <w:p w:rsidRPr="00D07BF9" w:rsidR="004D1DA8" w:rsidP="00D07BF9" w:rsidRDefault="004D1DA8" w14:paraId="31D95188" w14:textId="77777777">
      <w:pPr>
        <w:pStyle w:val="Estilo"/>
        <w:rPr>
          <w:rFonts w:ascii="Verdana" w:hAnsi="Verdana"/>
          <w:sz w:val="20"/>
          <w:szCs w:val="20"/>
        </w:rPr>
      </w:pPr>
    </w:p>
    <w:p w:rsidRPr="004D1DA8" w:rsidR="00D07BF9" w:rsidP="004D1DA8" w:rsidRDefault="00D07BF9" w14:paraId="16D5D39D" w14:textId="77777777">
      <w:pPr>
        <w:pStyle w:val="Estilo"/>
        <w:jc w:val="right"/>
        <w:rPr>
          <w:rFonts w:ascii="Verdana" w:hAnsi="Verdana"/>
          <w:b/>
          <w:bCs/>
          <w:sz w:val="20"/>
          <w:szCs w:val="20"/>
        </w:rPr>
      </w:pPr>
      <w:r w:rsidRPr="004D1DA8">
        <w:rPr>
          <w:rFonts w:ascii="Verdana" w:hAnsi="Verdana"/>
          <w:b/>
          <w:bCs/>
          <w:sz w:val="20"/>
          <w:szCs w:val="20"/>
        </w:rPr>
        <w:lastRenderedPageBreak/>
        <w:t xml:space="preserve">Causales de </w:t>
      </w:r>
      <w:proofErr w:type="spellStart"/>
      <w:r w:rsidRPr="004D1DA8">
        <w:rPr>
          <w:rFonts w:ascii="Verdana" w:hAnsi="Verdana"/>
          <w:b/>
          <w:bCs/>
          <w:sz w:val="20"/>
          <w:szCs w:val="20"/>
        </w:rPr>
        <w:t>desechamiento</w:t>
      </w:r>
      <w:proofErr w:type="spellEnd"/>
    </w:p>
    <w:p w:rsidRPr="00D07BF9" w:rsidR="00D07BF9" w:rsidP="00D07BF9" w:rsidRDefault="00D07BF9" w14:paraId="2423E868" w14:textId="77777777">
      <w:pPr>
        <w:pStyle w:val="Estilo"/>
        <w:rPr>
          <w:rFonts w:ascii="Verdana" w:hAnsi="Verdana"/>
          <w:sz w:val="20"/>
          <w:szCs w:val="20"/>
        </w:rPr>
      </w:pPr>
      <w:r w:rsidRPr="00D07BF9">
        <w:rPr>
          <w:rFonts w:ascii="Verdana" w:hAnsi="Verdana"/>
          <w:sz w:val="20"/>
          <w:szCs w:val="20"/>
        </w:rPr>
        <w:t>Artículo 53. Se desechará por improcedente el recurso de reconsideración cuando se interponga en contra de actos o resoluciones:</w:t>
      </w:r>
    </w:p>
    <w:p w:rsidRPr="00D07BF9" w:rsidR="00D07BF9" w:rsidP="00D07BF9" w:rsidRDefault="00D07BF9" w14:paraId="1097A45E" w14:textId="77777777">
      <w:pPr>
        <w:pStyle w:val="Estilo"/>
        <w:rPr>
          <w:rFonts w:ascii="Verdana" w:hAnsi="Verdana"/>
          <w:sz w:val="20"/>
          <w:szCs w:val="20"/>
        </w:rPr>
      </w:pPr>
    </w:p>
    <w:p w:rsidRPr="00D07BF9" w:rsidR="00D07BF9" w:rsidP="00D07BF9" w:rsidRDefault="00D07BF9" w14:paraId="248961AC" w14:textId="77777777">
      <w:pPr>
        <w:pStyle w:val="Estilo"/>
        <w:rPr>
          <w:rFonts w:ascii="Verdana" w:hAnsi="Verdana"/>
          <w:sz w:val="20"/>
          <w:szCs w:val="20"/>
        </w:rPr>
      </w:pPr>
      <w:r w:rsidRPr="00D07BF9">
        <w:rPr>
          <w:rFonts w:ascii="Verdana" w:hAnsi="Verdana"/>
          <w:sz w:val="20"/>
          <w:szCs w:val="20"/>
        </w:rPr>
        <w:t>I. Que no afecten el interés jurídico del recurrente;</w:t>
      </w:r>
    </w:p>
    <w:p w:rsidRPr="00D07BF9" w:rsidR="00D07BF9" w:rsidP="00D07BF9" w:rsidRDefault="00D07BF9" w14:paraId="4574CDD0" w14:textId="77777777">
      <w:pPr>
        <w:pStyle w:val="Estilo"/>
        <w:rPr>
          <w:rFonts w:ascii="Verdana" w:hAnsi="Verdana"/>
          <w:sz w:val="20"/>
          <w:szCs w:val="20"/>
        </w:rPr>
      </w:pPr>
    </w:p>
    <w:p w:rsidRPr="00D07BF9" w:rsidR="00D07BF9" w:rsidP="00D07BF9" w:rsidRDefault="00D07BF9" w14:paraId="2D088599" w14:textId="77777777">
      <w:pPr>
        <w:pStyle w:val="Estilo"/>
        <w:rPr>
          <w:rFonts w:ascii="Verdana" w:hAnsi="Verdana"/>
          <w:sz w:val="20"/>
          <w:szCs w:val="20"/>
        </w:rPr>
      </w:pPr>
      <w:r w:rsidRPr="00D07BF9">
        <w:rPr>
          <w:rFonts w:ascii="Verdana" w:hAnsi="Verdana"/>
          <w:sz w:val="20"/>
          <w:szCs w:val="20"/>
        </w:rPr>
        <w:t>II. Que sean dictados en recursos administrativos o en cumplimiento de ellos;</w:t>
      </w:r>
    </w:p>
    <w:p w:rsidRPr="00D07BF9" w:rsidR="00D07BF9" w:rsidP="00D07BF9" w:rsidRDefault="00D07BF9" w14:paraId="3AF9FAAD" w14:textId="77777777">
      <w:pPr>
        <w:pStyle w:val="Estilo"/>
        <w:rPr>
          <w:rFonts w:ascii="Verdana" w:hAnsi="Verdana"/>
          <w:sz w:val="20"/>
          <w:szCs w:val="20"/>
        </w:rPr>
      </w:pPr>
    </w:p>
    <w:p w:rsidRPr="00D07BF9" w:rsidR="00D07BF9" w:rsidP="00D07BF9" w:rsidRDefault="00D07BF9" w14:paraId="23128C40" w14:textId="77777777">
      <w:pPr>
        <w:pStyle w:val="Estilo"/>
        <w:rPr>
          <w:rFonts w:ascii="Verdana" w:hAnsi="Verdana"/>
          <w:sz w:val="20"/>
          <w:szCs w:val="20"/>
        </w:rPr>
      </w:pPr>
      <w:r w:rsidRPr="00D07BF9">
        <w:rPr>
          <w:rFonts w:ascii="Verdana" w:hAnsi="Verdana"/>
          <w:sz w:val="20"/>
          <w:szCs w:val="20"/>
        </w:rPr>
        <w:t>III. Que sean materia de otro recurso que se encuentre pendiente de resolución;</w:t>
      </w:r>
    </w:p>
    <w:p w:rsidRPr="00D07BF9" w:rsidR="00D07BF9" w:rsidP="00D07BF9" w:rsidRDefault="00D07BF9" w14:paraId="199B3F15" w14:textId="77777777">
      <w:pPr>
        <w:pStyle w:val="Estilo"/>
        <w:rPr>
          <w:rFonts w:ascii="Verdana" w:hAnsi="Verdana"/>
          <w:sz w:val="20"/>
          <w:szCs w:val="20"/>
        </w:rPr>
      </w:pPr>
    </w:p>
    <w:p w:rsidRPr="00D07BF9" w:rsidR="00D07BF9" w:rsidP="00D07BF9" w:rsidRDefault="00D07BF9" w14:paraId="73CFB535" w14:textId="77777777">
      <w:pPr>
        <w:pStyle w:val="Estilo"/>
        <w:rPr>
          <w:rFonts w:ascii="Verdana" w:hAnsi="Verdana"/>
          <w:sz w:val="20"/>
          <w:szCs w:val="20"/>
        </w:rPr>
      </w:pPr>
      <w:r w:rsidRPr="00D07BF9">
        <w:rPr>
          <w:rFonts w:ascii="Verdana" w:hAnsi="Verdana"/>
          <w:sz w:val="20"/>
          <w:szCs w:val="20"/>
        </w:rPr>
        <w:t>IV. Que se hayan consentido, entendiéndose así aquellos actos o resoluciones respecto de los que no se interpuso el recurso de reconsideración dentro del plazo establecido en esta ley; o</w:t>
      </w:r>
    </w:p>
    <w:p w:rsidRPr="00D07BF9" w:rsidR="00D07BF9" w:rsidP="00D07BF9" w:rsidRDefault="00D07BF9" w14:paraId="0267B562" w14:textId="77777777">
      <w:pPr>
        <w:pStyle w:val="Estilo"/>
        <w:rPr>
          <w:rFonts w:ascii="Verdana" w:hAnsi="Verdana"/>
          <w:sz w:val="20"/>
          <w:szCs w:val="20"/>
        </w:rPr>
      </w:pPr>
    </w:p>
    <w:p w:rsidRPr="00D07BF9" w:rsidR="00D07BF9" w:rsidP="00D07BF9" w:rsidRDefault="00D07BF9" w14:paraId="5FA61F48" w14:textId="77777777">
      <w:pPr>
        <w:pStyle w:val="Estilo"/>
        <w:rPr>
          <w:rFonts w:ascii="Verdana" w:hAnsi="Verdana"/>
          <w:sz w:val="20"/>
          <w:szCs w:val="20"/>
        </w:rPr>
      </w:pPr>
      <w:r w:rsidRPr="00D07BF9">
        <w:rPr>
          <w:rFonts w:ascii="Verdana" w:hAnsi="Verdana"/>
          <w:sz w:val="20"/>
          <w:szCs w:val="20"/>
        </w:rPr>
        <w:t>V. Que de fondo ya hubiesen sido resueltos en otro recurso.</w:t>
      </w:r>
    </w:p>
    <w:p w:rsidRPr="00D07BF9" w:rsidR="00D07BF9" w:rsidP="00D07BF9" w:rsidRDefault="00D07BF9" w14:paraId="030AED39" w14:textId="77777777">
      <w:pPr>
        <w:pStyle w:val="Estilo"/>
        <w:rPr>
          <w:rFonts w:ascii="Verdana" w:hAnsi="Verdana"/>
          <w:sz w:val="20"/>
          <w:szCs w:val="20"/>
        </w:rPr>
      </w:pPr>
    </w:p>
    <w:p w:rsidRPr="004D1DA8" w:rsidR="00D07BF9" w:rsidP="004D1DA8" w:rsidRDefault="00D07BF9" w14:paraId="553B4294" w14:textId="77777777">
      <w:pPr>
        <w:pStyle w:val="Estilo"/>
        <w:jc w:val="right"/>
        <w:rPr>
          <w:rFonts w:ascii="Verdana" w:hAnsi="Verdana"/>
          <w:b/>
          <w:bCs/>
          <w:sz w:val="20"/>
          <w:szCs w:val="20"/>
        </w:rPr>
      </w:pPr>
      <w:r w:rsidRPr="004D1DA8">
        <w:rPr>
          <w:rFonts w:ascii="Verdana" w:hAnsi="Verdana"/>
          <w:b/>
          <w:bCs/>
          <w:sz w:val="20"/>
          <w:szCs w:val="20"/>
        </w:rPr>
        <w:t>Causales de sobreseimiento</w:t>
      </w:r>
    </w:p>
    <w:p w:rsidRPr="00D07BF9" w:rsidR="00D07BF9" w:rsidP="00D07BF9" w:rsidRDefault="00D07BF9" w14:paraId="5D75FB50" w14:textId="77777777">
      <w:pPr>
        <w:pStyle w:val="Estilo"/>
        <w:rPr>
          <w:rFonts w:ascii="Verdana" w:hAnsi="Verdana"/>
          <w:sz w:val="20"/>
          <w:szCs w:val="20"/>
        </w:rPr>
      </w:pPr>
      <w:r w:rsidRPr="00D07BF9">
        <w:rPr>
          <w:rFonts w:ascii="Verdana" w:hAnsi="Verdana"/>
          <w:sz w:val="20"/>
          <w:szCs w:val="20"/>
        </w:rPr>
        <w:t>Artículo 54. Será sobreseído el recurso de reconsideración cuando:</w:t>
      </w:r>
    </w:p>
    <w:p w:rsidRPr="00D07BF9" w:rsidR="00D07BF9" w:rsidP="00D07BF9" w:rsidRDefault="00D07BF9" w14:paraId="12370ADA" w14:textId="77777777">
      <w:pPr>
        <w:pStyle w:val="Estilo"/>
        <w:rPr>
          <w:rFonts w:ascii="Verdana" w:hAnsi="Verdana"/>
          <w:sz w:val="20"/>
          <w:szCs w:val="20"/>
        </w:rPr>
      </w:pPr>
    </w:p>
    <w:p w:rsidRPr="00D07BF9" w:rsidR="00D07BF9" w:rsidP="00D07BF9" w:rsidRDefault="00D07BF9" w14:paraId="64A7F80D" w14:textId="77777777">
      <w:pPr>
        <w:pStyle w:val="Estilo"/>
        <w:rPr>
          <w:rFonts w:ascii="Verdana" w:hAnsi="Verdana"/>
          <w:sz w:val="20"/>
          <w:szCs w:val="20"/>
        </w:rPr>
      </w:pPr>
      <w:r w:rsidRPr="00D07BF9">
        <w:rPr>
          <w:rFonts w:ascii="Verdana" w:hAnsi="Verdana"/>
          <w:sz w:val="20"/>
          <w:szCs w:val="20"/>
        </w:rPr>
        <w:t>I. El recurrente se desista expresamente de su interposición;</w:t>
      </w:r>
    </w:p>
    <w:p w:rsidRPr="00D07BF9" w:rsidR="00D07BF9" w:rsidP="00D07BF9" w:rsidRDefault="00D07BF9" w14:paraId="1AE40708" w14:textId="77777777">
      <w:pPr>
        <w:pStyle w:val="Estilo"/>
        <w:rPr>
          <w:rFonts w:ascii="Verdana" w:hAnsi="Verdana"/>
          <w:sz w:val="20"/>
          <w:szCs w:val="20"/>
        </w:rPr>
      </w:pPr>
    </w:p>
    <w:p w:rsidRPr="00D07BF9" w:rsidR="00D07BF9" w:rsidP="00D07BF9" w:rsidRDefault="00D07BF9" w14:paraId="38EE7E7F" w14:textId="77777777">
      <w:pPr>
        <w:pStyle w:val="Estilo"/>
        <w:rPr>
          <w:rFonts w:ascii="Verdana" w:hAnsi="Verdana"/>
          <w:sz w:val="20"/>
          <w:szCs w:val="20"/>
        </w:rPr>
      </w:pPr>
      <w:r w:rsidRPr="00D07BF9">
        <w:rPr>
          <w:rFonts w:ascii="Verdana" w:hAnsi="Verdana"/>
          <w:sz w:val="20"/>
          <w:szCs w:val="20"/>
        </w:rPr>
        <w:t>II. En la tramitación del recurso sobrevenga alguna de las causas de improcedencia a que se refiere el artículo anterior;</w:t>
      </w:r>
    </w:p>
    <w:p w:rsidRPr="00D07BF9" w:rsidR="00D07BF9" w:rsidP="00D07BF9" w:rsidRDefault="00D07BF9" w14:paraId="307797A5" w14:textId="77777777">
      <w:pPr>
        <w:pStyle w:val="Estilo"/>
        <w:rPr>
          <w:rFonts w:ascii="Verdana" w:hAnsi="Verdana"/>
          <w:sz w:val="20"/>
          <w:szCs w:val="20"/>
        </w:rPr>
      </w:pPr>
    </w:p>
    <w:p w:rsidRPr="00D07BF9" w:rsidR="00D07BF9" w:rsidP="00D07BF9" w:rsidRDefault="00D07BF9" w14:paraId="77014FAF" w14:textId="77777777">
      <w:pPr>
        <w:pStyle w:val="Estilo"/>
        <w:rPr>
          <w:rFonts w:ascii="Verdana" w:hAnsi="Verdana"/>
          <w:sz w:val="20"/>
          <w:szCs w:val="20"/>
        </w:rPr>
      </w:pPr>
      <w:r w:rsidRPr="00D07BF9">
        <w:rPr>
          <w:rFonts w:ascii="Verdana" w:hAnsi="Verdana"/>
          <w:sz w:val="20"/>
          <w:szCs w:val="20"/>
        </w:rPr>
        <w:t>III. No se pruebe la existencia de la resolución recurrida.</w:t>
      </w:r>
    </w:p>
    <w:p w:rsidRPr="00D07BF9" w:rsidR="00D07BF9" w:rsidP="00D07BF9" w:rsidRDefault="00D07BF9" w14:paraId="085AD601" w14:textId="77777777">
      <w:pPr>
        <w:pStyle w:val="Estilo"/>
        <w:rPr>
          <w:rFonts w:ascii="Verdana" w:hAnsi="Verdana"/>
          <w:sz w:val="20"/>
          <w:szCs w:val="20"/>
        </w:rPr>
      </w:pPr>
    </w:p>
    <w:p w:rsidRPr="004D1DA8" w:rsidR="00D07BF9" w:rsidP="004D1DA8" w:rsidRDefault="00D07BF9" w14:paraId="1FD0875B" w14:textId="77777777">
      <w:pPr>
        <w:pStyle w:val="Estilo"/>
        <w:jc w:val="right"/>
        <w:rPr>
          <w:rFonts w:ascii="Verdana" w:hAnsi="Verdana"/>
          <w:b/>
          <w:bCs/>
          <w:sz w:val="20"/>
          <w:szCs w:val="20"/>
        </w:rPr>
      </w:pPr>
      <w:r w:rsidRPr="004D1DA8">
        <w:rPr>
          <w:rFonts w:ascii="Verdana" w:hAnsi="Verdana"/>
          <w:b/>
          <w:bCs/>
          <w:sz w:val="20"/>
          <w:szCs w:val="20"/>
        </w:rPr>
        <w:t>Término para emitir la resolución</w:t>
      </w:r>
    </w:p>
    <w:p w:rsidRPr="00D07BF9" w:rsidR="00D07BF9" w:rsidP="00D07BF9" w:rsidRDefault="00D07BF9" w14:paraId="1DE5813B" w14:textId="77777777">
      <w:pPr>
        <w:pStyle w:val="Estilo"/>
        <w:rPr>
          <w:rFonts w:ascii="Verdana" w:hAnsi="Verdana"/>
          <w:sz w:val="20"/>
          <w:szCs w:val="20"/>
        </w:rPr>
      </w:pPr>
      <w:r w:rsidRPr="00D07BF9">
        <w:rPr>
          <w:rFonts w:ascii="Verdana" w:hAnsi="Verdana"/>
          <w:sz w:val="20"/>
          <w:szCs w:val="20"/>
        </w:rPr>
        <w:t>Artículo 55. El Auditor Superior deberá resolver el recurso de reconsideración en un plazo de diez días hábiles siguientes al acuerdo que admita el mismo y se notificará en los términos previstos por esta ley y su Reglamento.</w:t>
      </w:r>
    </w:p>
    <w:p w:rsidRPr="00D07BF9" w:rsidR="00D07BF9" w:rsidP="00D07BF9" w:rsidRDefault="00D07BF9" w14:paraId="089B7FBE" w14:textId="77777777">
      <w:pPr>
        <w:pStyle w:val="Estilo"/>
        <w:rPr>
          <w:rFonts w:ascii="Verdana" w:hAnsi="Verdana"/>
          <w:sz w:val="20"/>
          <w:szCs w:val="20"/>
        </w:rPr>
      </w:pPr>
    </w:p>
    <w:p w:rsidRPr="00D07BF9" w:rsidR="00D07BF9" w:rsidP="00D07BF9" w:rsidRDefault="00D07BF9" w14:paraId="50803E31" w14:textId="77777777">
      <w:pPr>
        <w:pStyle w:val="Estilo"/>
        <w:rPr>
          <w:rFonts w:ascii="Verdana" w:hAnsi="Verdana"/>
          <w:sz w:val="20"/>
          <w:szCs w:val="20"/>
        </w:rPr>
      </w:pPr>
    </w:p>
    <w:p w:rsidRPr="007D6808" w:rsidR="00D07BF9" w:rsidP="007D6808" w:rsidRDefault="00D07BF9" w14:paraId="62DEB10B" w14:textId="77777777">
      <w:pPr>
        <w:pStyle w:val="Estilo"/>
        <w:jc w:val="center"/>
        <w:rPr>
          <w:rFonts w:ascii="Verdana" w:hAnsi="Verdana"/>
          <w:b/>
          <w:bCs/>
          <w:sz w:val="20"/>
          <w:szCs w:val="20"/>
        </w:rPr>
      </w:pPr>
      <w:r w:rsidRPr="007D6808">
        <w:rPr>
          <w:rFonts w:ascii="Verdana" w:hAnsi="Verdana"/>
          <w:b/>
          <w:bCs/>
          <w:sz w:val="20"/>
          <w:szCs w:val="20"/>
        </w:rPr>
        <w:t>Capítulo VI</w:t>
      </w:r>
    </w:p>
    <w:p w:rsidRPr="007D6808" w:rsidR="00D07BF9" w:rsidP="007D6808" w:rsidRDefault="00D07BF9" w14:paraId="336E6A43" w14:textId="77777777">
      <w:pPr>
        <w:pStyle w:val="Estilo"/>
        <w:jc w:val="center"/>
        <w:rPr>
          <w:rFonts w:ascii="Verdana" w:hAnsi="Verdana"/>
          <w:b/>
          <w:bCs/>
          <w:sz w:val="20"/>
          <w:szCs w:val="20"/>
        </w:rPr>
      </w:pPr>
      <w:r w:rsidRPr="007D6808">
        <w:rPr>
          <w:rFonts w:ascii="Verdana" w:hAnsi="Verdana"/>
          <w:b/>
          <w:bCs/>
          <w:sz w:val="20"/>
          <w:szCs w:val="20"/>
        </w:rPr>
        <w:t>Auditorías de Desempeño</w:t>
      </w:r>
    </w:p>
    <w:p w:rsidRPr="00D07BF9" w:rsidR="00D07BF9" w:rsidP="00D07BF9" w:rsidRDefault="00D07BF9" w14:paraId="2DEF5FF6" w14:textId="77777777">
      <w:pPr>
        <w:pStyle w:val="Estilo"/>
        <w:rPr>
          <w:rFonts w:ascii="Verdana" w:hAnsi="Verdana"/>
          <w:sz w:val="20"/>
          <w:szCs w:val="20"/>
        </w:rPr>
      </w:pPr>
    </w:p>
    <w:p w:rsidRPr="007D6808" w:rsidR="00D07BF9" w:rsidP="007D6808" w:rsidRDefault="00D07BF9" w14:paraId="53412F1E" w14:textId="77777777">
      <w:pPr>
        <w:pStyle w:val="Estilo"/>
        <w:jc w:val="right"/>
        <w:rPr>
          <w:rFonts w:ascii="Verdana" w:hAnsi="Verdana"/>
          <w:b/>
          <w:bCs/>
          <w:sz w:val="20"/>
          <w:szCs w:val="20"/>
        </w:rPr>
      </w:pPr>
      <w:r w:rsidRPr="007D6808">
        <w:rPr>
          <w:rFonts w:ascii="Verdana" w:hAnsi="Verdana"/>
          <w:b/>
          <w:bCs/>
          <w:sz w:val="20"/>
          <w:szCs w:val="20"/>
        </w:rPr>
        <w:t>Alcance</w:t>
      </w:r>
    </w:p>
    <w:p w:rsidRPr="00D07BF9" w:rsidR="00D07BF9" w:rsidP="00D07BF9" w:rsidRDefault="00D07BF9" w14:paraId="06B96812" w14:textId="77777777">
      <w:pPr>
        <w:pStyle w:val="Estilo"/>
        <w:rPr>
          <w:rFonts w:ascii="Verdana" w:hAnsi="Verdana"/>
          <w:sz w:val="20"/>
          <w:szCs w:val="20"/>
        </w:rPr>
      </w:pPr>
      <w:r w:rsidRPr="00D07BF9">
        <w:rPr>
          <w:rFonts w:ascii="Verdana" w:hAnsi="Verdana"/>
          <w:sz w:val="20"/>
          <w:szCs w:val="20"/>
        </w:rPr>
        <w:t>Artículo 56. La auditoría de desempeño comprende la revisión del cumplimiento de las metas y objetivos de los planes y programas, conforme a los principios de eficiencia, eficacia y economía; así como la evaluación de las políticas públicas.</w:t>
      </w:r>
    </w:p>
    <w:p w:rsidRPr="00D07BF9" w:rsidR="00D07BF9" w:rsidP="00D07BF9" w:rsidRDefault="00D07BF9" w14:paraId="11DA29AC" w14:textId="77777777">
      <w:pPr>
        <w:pStyle w:val="Estilo"/>
        <w:rPr>
          <w:rFonts w:ascii="Verdana" w:hAnsi="Verdana"/>
          <w:sz w:val="20"/>
          <w:szCs w:val="20"/>
        </w:rPr>
      </w:pPr>
    </w:p>
    <w:p w:rsidRPr="00D07BF9" w:rsidR="00D07BF9" w:rsidP="00D07BF9" w:rsidRDefault="00D07BF9" w14:paraId="797D689F" w14:textId="77777777">
      <w:pPr>
        <w:pStyle w:val="Estilo"/>
        <w:rPr>
          <w:rFonts w:ascii="Verdana" w:hAnsi="Verdana"/>
          <w:sz w:val="20"/>
          <w:szCs w:val="20"/>
        </w:rPr>
      </w:pPr>
      <w:r w:rsidRPr="00D07BF9">
        <w:rPr>
          <w:rFonts w:ascii="Verdana" w:hAnsi="Verdana"/>
          <w:sz w:val="20"/>
          <w:szCs w:val="20"/>
        </w:rPr>
        <w:t>La Auditoría Superior realizará la auditoría de desempeño de manera anual y únicamente formulará recomendaciones que incidan en mejorar sistemáticamente el diseño, operación e impacto de los presupuestos programáticos y las políticas públicas en su caso.</w:t>
      </w:r>
    </w:p>
    <w:p w:rsidRPr="00D07BF9" w:rsidR="00D07BF9" w:rsidP="00D07BF9" w:rsidRDefault="00D07BF9" w14:paraId="5B23A45B" w14:textId="77777777">
      <w:pPr>
        <w:pStyle w:val="Estilo"/>
        <w:rPr>
          <w:rFonts w:ascii="Verdana" w:hAnsi="Verdana"/>
          <w:sz w:val="20"/>
          <w:szCs w:val="20"/>
        </w:rPr>
      </w:pPr>
    </w:p>
    <w:p w:rsidRPr="007D6808" w:rsidR="00D07BF9" w:rsidP="007D6808" w:rsidRDefault="00D07BF9" w14:paraId="016515FF" w14:textId="77777777">
      <w:pPr>
        <w:pStyle w:val="Estilo"/>
        <w:jc w:val="right"/>
        <w:rPr>
          <w:rFonts w:ascii="Verdana" w:hAnsi="Verdana"/>
          <w:b/>
          <w:bCs/>
          <w:sz w:val="20"/>
          <w:szCs w:val="20"/>
        </w:rPr>
      </w:pPr>
      <w:r w:rsidRPr="007D6808">
        <w:rPr>
          <w:rFonts w:ascii="Verdana" w:hAnsi="Verdana"/>
          <w:b/>
          <w:bCs/>
          <w:sz w:val="20"/>
          <w:szCs w:val="20"/>
        </w:rPr>
        <w:t>Inicio</w:t>
      </w:r>
    </w:p>
    <w:p w:rsidRPr="00D07BF9" w:rsidR="00D07BF9" w:rsidP="00D07BF9" w:rsidRDefault="00D07BF9" w14:paraId="1E09906F" w14:textId="77777777">
      <w:pPr>
        <w:pStyle w:val="Estilo"/>
        <w:rPr>
          <w:rFonts w:ascii="Verdana" w:hAnsi="Verdana"/>
          <w:sz w:val="20"/>
          <w:szCs w:val="20"/>
        </w:rPr>
      </w:pPr>
      <w:r w:rsidRPr="00D07BF9">
        <w:rPr>
          <w:rFonts w:ascii="Verdana" w:hAnsi="Verdana"/>
          <w:sz w:val="20"/>
          <w:szCs w:val="20"/>
        </w:rPr>
        <w:t>Artículo 57. La auditoría de desempeño iniciará conforme a las disposiciones de esta ley. La orden de inicio contendrá los requisitos previstos en el artículo 37 de la misma.</w:t>
      </w:r>
    </w:p>
    <w:p w:rsidRPr="00D07BF9" w:rsidR="00D07BF9" w:rsidP="00D07BF9" w:rsidRDefault="00D07BF9" w14:paraId="6FF6C006" w14:textId="77777777">
      <w:pPr>
        <w:pStyle w:val="Estilo"/>
        <w:rPr>
          <w:rFonts w:ascii="Verdana" w:hAnsi="Verdana"/>
          <w:sz w:val="20"/>
          <w:szCs w:val="20"/>
        </w:rPr>
      </w:pPr>
    </w:p>
    <w:p w:rsidRPr="007D6808" w:rsidR="00D07BF9" w:rsidP="007D6808" w:rsidRDefault="00D07BF9" w14:paraId="68319961" w14:textId="77777777">
      <w:pPr>
        <w:pStyle w:val="Estilo"/>
        <w:jc w:val="right"/>
        <w:rPr>
          <w:rFonts w:ascii="Verdana" w:hAnsi="Verdana"/>
          <w:b/>
          <w:bCs/>
          <w:sz w:val="20"/>
          <w:szCs w:val="20"/>
        </w:rPr>
      </w:pPr>
      <w:r w:rsidRPr="007D6808">
        <w:rPr>
          <w:rFonts w:ascii="Verdana" w:hAnsi="Verdana"/>
          <w:b/>
          <w:bCs/>
          <w:sz w:val="20"/>
          <w:szCs w:val="20"/>
        </w:rPr>
        <w:t>Pliego de recomendaciones</w:t>
      </w:r>
    </w:p>
    <w:p w:rsidRPr="00D07BF9" w:rsidR="00D07BF9" w:rsidP="00D07BF9" w:rsidRDefault="00D07BF9" w14:paraId="51D615C0" w14:textId="77777777">
      <w:pPr>
        <w:pStyle w:val="Estilo"/>
        <w:rPr>
          <w:rFonts w:ascii="Verdana" w:hAnsi="Verdana"/>
          <w:sz w:val="20"/>
          <w:szCs w:val="20"/>
        </w:rPr>
      </w:pPr>
      <w:r w:rsidRPr="00D07BF9">
        <w:rPr>
          <w:rFonts w:ascii="Verdana" w:hAnsi="Verdana"/>
          <w:sz w:val="20"/>
          <w:szCs w:val="20"/>
        </w:rPr>
        <w:t>Artículo 58. La Auditoría Superior emitirá un pliego de recomendaciones que contendrá los resultados de la revisión efectuada.</w:t>
      </w:r>
    </w:p>
    <w:p w:rsidRPr="00D07BF9" w:rsidR="00D07BF9" w:rsidP="00D07BF9" w:rsidRDefault="00D07BF9" w14:paraId="1D0D35BA" w14:textId="77777777">
      <w:pPr>
        <w:pStyle w:val="Estilo"/>
        <w:rPr>
          <w:rFonts w:ascii="Verdana" w:hAnsi="Verdana"/>
          <w:sz w:val="20"/>
          <w:szCs w:val="20"/>
        </w:rPr>
      </w:pPr>
    </w:p>
    <w:p w:rsidRPr="00D07BF9" w:rsidR="00D07BF9" w:rsidP="00D07BF9" w:rsidRDefault="00D07BF9" w14:paraId="1ED2E548" w14:textId="77777777">
      <w:pPr>
        <w:pStyle w:val="Estilo"/>
        <w:rPr>
          <w:rFonts w:ascii="Verdana" w:hAnsi="Verdana"/>
          <w:sz w:val="20"/>
          <w:szCs w:val="20"/>
        </w:rPr>
      </w:pPr>
      <w:r w:rsidRPr="00D07BF9">
        <w:rPr>
          <w:rFonts w:ascii="Verdana" w:hAnsi="Verdana"/>
          <w:sz w:val="20"/>
          <w:szCs w:val="20"/>
        </w:rPr>
        <w:lastRenderedPageBreak/>
        <w:t xml:space="preserve">Los sujetos de fiscalización dentro de un plazo de diez días hábiles siguientes a la notificación del pliego de recomendaciones </w:t>
      </w:r>
      <w:proofErr w:type="gramStart"/>
      <w:r w:rsidRPr="00D07BF9">
        <w:rPr>
          <w:rFonts w:ascii="Verdana" w:hAnsi="Verdana"/>
          <w:sz w:val="20"/>
          <w:szCs w:val="20"/>
        </w:rPr>
        <w:t>correspondiente,</w:t>
      </w:r>
      <w:proofErr w:type="gramEnd"/>
      <w:r w:rsidRPr="00D07BF9">
        <w:rPr>
          <w:rFonts w:ascii="Verdana" w:hAnsi="Verdana"/>
          <w:sz w:val="20"/>
          <w:szCs w:val="20"/>
        </w:rPr>
        <w:t xml:space="preserve"> deberán precisar a la Auditoría Superior las mejoras efectuadas, las acciones a realizar o en su caso, justificar la improcedencia por la cual no resulte factible su implementación.</w:t>
      </w:r>
    </w:p>
    <w:p w:rsidRPr="00D07BF9" w:rsidR="00D07BF9" w:rsidP="00D07BF9" w:rsidRDefault="00D07BF9" w14:paraId="1BB2C44A" w14:textId="77777777">
      <w:pPr>
        <w:pStyle w:val="Estilo"/>
        <w:rPr>
          <w:rFonts w:ascii="Verdana" w:hAnsi="Verdana"/>
          <w:sz w:val="20"/>
          <w:szCs w:val="20"/>
        </w:rPr>
      </w:pPr>
    </w:p>
    <w:p w:rsidRPr="007D6808" w:rsidR="00D07BF9" w:rsidP="007D6808" w:rsidRDefault="00D07BF9" w14:paraId="34210926" w14:textId="77777777">
      <w:pPr>
        <w:pStyle w:val="Estilo"/>
        <w:jc w:val="right"/>
        <w:rPr>
          <w:rFonts w:ascii="Verdana" w:hAnsi="Verdana"/>
          <w:b/>
          <w:bCs/>
          <w:sz w:val="20"/>
          <w:szCs w:val="20"/>
        </w:rPr>
      </w:pPr>
      <w:r w:rsidRPr="007D6808">
        <w:rPr>
          <w:rFonts w:ascii="Verdana" w:hAnsi="Verdana"/>
          <w:b/>
          <w:bCs/>
          <w:sz w:val="20"/>
          <w:szCs w:val="20"/>
        </w:rPr>
        <w:t>Informe de resultados</w:t>
      </w:r>
    </w:p>
    <w:p w:rsidRPr="00D07BF9" w:rsidR="00D07BF9" w:rsidP="00D07BF9" w:rsidRDefault="00D07BF9" w14:paraId="7268CE78" w14:textId="77777777">
      <w:pPr>
        <w:pStyle w:val="Estilo"/>
        <w:rPr>
          <w:rFonts w:ascii="Verdana" w:hAnsi="Verdana"/>
          <w:sz w:val="20"/>
          <w:szCs w:val="20"/>
        </w:rPr>
      </w:pPr>
      <w:r w:rsidRPr="00D07BF9">
        <w:rPr>
          <w:rFonts w:ascii="Verdana" w:hAnsi="Verdana"/>
          <w:sz w:val="20"/>
          <w:szCs w:val="20"/>
        </w:rPr>
        <w:t>Artículo 59. Los informes de resultados de auditorías de desempeño contendrán los requisitos señalados en el Reglamento.</w:t>
      </w:r>
    </w:p>
    <w:p w:rsidRPr="00D07BF9" w:rsidR="00D07BF9" w:rsidP="00D07BF9" w:rsidRDefault="00D07BF9" w14:paraId="39C5BF5D" w14:textId="77777777">
      <w:pPr>
        <w:pStyle w:val="Estilo"/>
        <w:rPr>
          <w:rFonts w:ascii="Verdana" w:hAnsi="Verdana"/>
          <w:sz w:val="20"/>
          <w:szCs w:val="20"/>
        </w:rPr>
      </w:pPr>
    </w:p>
    <w:p w:rsidRPr="007D6808" w:rsidR="00D07BF9" w:rsidP="007D6808" w:rsidRDefault="00D07BF9" w14:paraId="724B30AB" w14:textId="77777777">
      <w:pPr>
        <w:pStyle w:val="Estilo"/>
        <w:jc w:val="right"/>
        <w:rPr>
          <w:rFonts w:ascii="Verdana" w:hAnsi="Verdana"/>
          <w:b/>
          <w:bCs/>
          <w:sz w:val="20"/>
          <w:szCs w:val="20"/>
        </w:rPr>
      </w:pPr>
      <w:r w:rsidRPr="007D6808">
        <w:rPr>
          <w:rFonts w:ascii="Verdana" w:hAnsi="Verdana"/>
          <w:b/>
          <w:bCs/>
          <w:sz w:val="20"/>
          <w:szCs w:val="20"/>
        </w:rPr>
        <w:t>Plazo de informes de resultados de desempeño</w:t>
      </w:r>
    </w:p>
    <w:p w:rsidRPr="00D07BF9" w:rsidR="00D07BF9" w:rsidP="00D07BF9" w:rsidRDefault="00D07BF9" w14:paraId="499700D0" w14:textId="77777777">
      <w:pPr>
        <w:pStyle w:val="Estilo"/>
        <w:rPr>
          <w:rFonts w:ascii="Verdana" w:hAnsi="Verdana"/>
          <w:sz w:val="20"/>
          <w:szCs w:val="20"/>
        </w:rPr>
      </w:pPr>
      <w:r w:rsidRPr="00D07BF9">
        <w:rPr>
          <w:rFonts w:ascii="Verdana" w:hAnsi="Verdana"/>
          <w:sz w:val="20"/>
          <w:szCs w:val="20"/>
        </w:rPr>
        <w:t>Artículo 60. La Auditoría Superior, una vez emitidos los informes de resultados de las auditorías de desempeño, los remitirá al Congreso a más tardar el 30 de septiembre del ejercicio fiscal de que se trate.</w:t>
      </w:r>
    </w:p>
    <w:p w:rsidRPr="00D07BF9" w:rsidR="00D07BF9" w:rsidP="00D07BF9" w:rsidRDefault="00D07BF9" w14:paraId="41070C98" w14:textId="77777777">
      <w:pPr>
        <w:pStyle w:val="Estilo"/>
        <w:rPr>
          <w:rFonts w:ascii="Verdana" w:hAnsi="Verdana"/>
          <w:sz w:val="20"/>
          <w:szCs w:val="20"/>
        </w:rPr>
      </w:pPr>
    </w:p>
    <w:p w:rsidRPr="00D07BF9" w:rsidR="00D07BF9" w:rsidP="00D07BF9" w:rsidRDefault="00D07BF9" w14:paraId="467B05AD" w14:textId="77777777">
      <w:pPr>
        <w:pStyle w:val="Estilo"/>
        <w:rPr>
          <w:rFonts w:ascii="Verdana" w:hAnsi="Verdana"/>
          <w:sz w:val="20"/>
          <w:szCs w:val="20"/>
        </w:rPr>
      </w:pPr>
    </w:p>
    <w:p w:rsidRPr="007D6808" w:rsidR="00D07BF9" w:rsidP="007D6808" w:rsidRDefault="00D07BF9" w14:paraId="78958B3F" w14:textId="77777777">
      <w:pPr>
        <w:pStyle w:val="Estilo"/>
        <w:jc w:val="center"/>
        <w:rPr>
          <w:rFonts w:ascii="Verdana" w:hAnsi="Verdana"/>
          <w:b/>
          <w:bCs/>
          <w:sz w:val="20"/>
          <w:szCs w:val="20"/>
        </w:rPr>
      </w:pPr>
      <w:r w:rsidRPr="007D6808">
        <w:rPr>
          <w:rFonts w:ascii="Verdana" w:hAnsi="Verdana"/>
          <w:b/>
          <w:bCs/>
          <w:sz w:val="20"/>
          <w:szCs w:val="20"/>
        </w:rPr>
        <w:t>Capítulo VII</w:t>
      </w:r>
    </w:p>
    <w:p w:rsidRPr="007D6808" w:rsidR="00D07BF9" w:rsidP="007D6808" w:rsidRDefault="00D07BF9" w14:paraId="0EECEC37" w14:textId="77777777">
      <w:pPr>
        <w:pStyle w:val="Estilo"/>
        <w:jc w:val="center"/>
        <w:rPr>
          <w:rFonts w:ascii="Verdana" w:hAnsi="Verdana"/>
          <w:b/>
          <w:bCs/>
          <w:sz w:val="20"/>
          <w:szCs w:val="20"/>
        </w:rPr>
      </w:pPr>
      <w:r w:rsidRPr="007D6808">
        <w:rPr>
          <w:rFonts w:ascii="Verdana" w:hAnsi="Verdana"/>
          <w:b/>
          <w:bCs/>
          <w:sz w:val="20"/>
          <w:szCs w:val="20"/>
        </w:rPr>
        <w:t>Análisis de la Información Financiera Trimestral</w:t>
      </w:r>
    </w:p>
    <w:p w:rsidRPr="00D07BF9" w:rsidR="00D07BF9" w:rsidP="00D07BF9" w:rsidRDefault="00D07BF9" w14:paraId="322EB061" w14:textId="77777777">
      <w:pPr>
        <w:pStyle w:val="Estilo"/>
        <w:rPr>
          <w:rFonts w:ascii="Verdana" w:hAnsi="Verdana"/>
          <w:sz w:val="20"/>
          <w:szCs w:val="20"/>
        </w:rPr>
      </w:pPr>
    </w:p>
    <w:p w:rsidRPr="007D6808" w:rsidR="00D07BF9" w:rsidP="007D6808" w:rsidRDefault="00D07BF9" w14:paraId="44314E22" w14:textId="77777777">
      <w:pPr>
        <w:pStyle w:val="Estilo"/>
        <w:jc w:val="right"/>
        <w:rPr>
          <w:rFonts w:ascii="Verdana" w:hAnsi="Verdana"/>
          <w:b/>
          <w:bCs/>
          <w:sz w:val="20"/>
          <w:szCs w:val="20"/>
        </w:rPr>
      </w:pPr>
      <w:r w:rsidRPr="007D6808">
        <w:rPr>
          <w:rFonts w:ascii="Verdana" w:hAnsi="Verdana"/>
          <w:b/>
          <w:bCs/>
          <w:sz w:val="20"/>
          <w:szCs w:val="20"/>
        </w:rPr>
        <w:t>Presentación</w:t>
      </w:r>
    </w:p>
    <w:p w:rsidRPr="00D07BF9" w:rsidR="00D07BF9" w:rsidP="00D07BF9" w:rsidRDefault="00D07BF9" w14:paraId="328F4079" w14:textId="77777777">
      <w:pPr>
        <w:pStyle w:val="Estilo"/>
        <w:rPr>
          <w:rFonts w:ascii="Verdana" w:hAnsi="Verdana"/>
          <w:sz w:val="20"/>
          <w:szCs w:val="20"/>
        </w:rPr>
      </w:pPr>
      <w:r w:rsidRPr="00D07BF9">
        <w:rPr>
          <w:rFonts w:ascii="Verdana" w:hAnsi="Verdana"/>
          <w:sz w:val="20"/>
          <w:szCs w:val="20"/>
        </w:rPr>
        <w:t>Artículo 61. Los sujetos de fiscalización deberán presentar trimestralmente la información financiera a la Auditoría Superior conforme a lo previsto en la Constitución Política para el Estado de Guanajuato y esta ley, a más tardar dentro de los treinta días naturales siguientes al término del trimestre. Los servidores públicos que incumplan las previsiones de este artículo, se harán acreedores a la imposición de la multa de conformidad con lo dispuesto en esta ley.</w:t>
      </w:r>
    </w:p>
    <w:p w:rsidRPr="00D07BF9" w:rsidR="00D07BF9" w:rsidP="00D07BF9" w:rsidRDefault="00D07BF9" w14:paraId="3CA93ECB" w14:textId="77777777">
      <w:pPr>
        <w:pStyle w:val="Estilo"/>
        <w:rPr>
          <w:rFonts w:ascii="Verdana" w:hAnsi="Verdana"/>
          <w:sz w:val="20"/>
          <w:szCs w:val="20"/>
        </w:rPr>
      </w:pPr>
    </w:p>
    <w:p w:rsidRPr="007D6808" w:rsidR="00D07BF9" w:rsidP="007D6808" w:rsidRDefault="00D07BF9" w14:paraId="43DACD9C" w14:textId="77777777">
      <w:pPr>
        <w:pStyle w:val="Estilo"/>
        <w:jc w:val="right"/>
        <w:rPr>
          <w:rFonts w:ascii="Verdana" w:hAnsi="Verdana"/>
          <w:b/>
          <w:bCs/>
          <w:sz w:val="20"/>
          <w:szCs w:val="20"/>
        </w:rPr>
      </w:pPr>
      <w:r w:rsidRPr="007D6808">
        <w:rPr>
          <w:rFonts w:ascii="Verdana" w:hAnsi="Verdana"/>
          <w:b/>
          <w:bCs/>
          <w:sz w:val="20"/>
          <w:szCs w:val="20"/>
        </w:rPr>
        <w:t>Análisis</w:t>
      </w:r>
    </w:p>
    <w:p w:rsidRPr="00D07BF9" w:rsidR="00D07BF9" w:rsidP="00D07BF9" w:rsidRDefault="00D07BF9" w14:paraId="3C0EA7AC" w14:textId="77777777">
      <w:pPr>
        <w:pStyle w:val="Estilo"/>
        <w:rPr>
          <w:rFonts w:ascii="Verdana" w:hAnsi="Verdana"/>
          <w:sz w:val="20"/>
          <w:szCs w:val="20"/>
        </w:rPr>
      </w:pPr>
      <w:r w:rsidRPr="00D07BF9">
        <w:rPr>
          <w:rFonts w:ascii="Verdana" w:hAnsi="Verdana"/>
          <w:sz w:val="20"/>
          <w:szCs w:val="20"/>
        </w:rPr>
        <w:t>Artículo 62. La Auditoría Superior analizará el contenido de la información financiera trimestral, de la cual emitirá una cédula de resultados, sin perjuicio de sus facultades de fiscalización y de las acciones que correspondan.</w:t>
      </w:r>
    </w:p>
    <w:p w:rsidRPr="00D07BF9" w:rsidR="00D07BF9" w:rsidP="00D07BF9" w:rsidRDefault="00D07BF9" w14:paraId="19434EB3" w14:textId="77777777">
      <w:pPr>
        <w:pStyle w:val="Estilo"/>
        <w:rPr>
          <w:rFonts w:ascii="Verdana" w:hAnsi="Verdana"/>
          <w:sz w:val="20"/>
          <w:szCs w:val="20"/>
        </w:rPr>
      </w:pPr>
    </w:p>
    <w:p w:rsidRPr="007D6808" w:rsidR="00D07BF9" w:rsidP="007D6808" w:rsidRDefault="00D07BF9" w14:paraId="462EDB01" w14:textId="77777777">
      <w:pPr>
        <w:pStyle w:val="Estilo"/>
        <w:jc w:val="right"/>
        <w:rPr>
          <w:rFonts w:ascii="Verdana" w:hAnsi="Verdana"/>
          <w:b/>
          <w:bCs/>
          <w:sz w:val="20"/>
          <w:szCs w:val="20"/>
        </w:rPr>
      </w:pPr>
      <w:r w:rsidRPr="007D6808">
        <w:rPr>
          <w:rFonts w:ascii="Verdana" w:hAnsi="Verdana"/>
          <w:b/>
          <w:bCs/>
          <w:sz w:val="20"/>
          <w:szCs w:val="20"/>
        </w:rPr>
        <w:t>Fases</w:t>
      </w:r>
    </w:p>
    <w:p w:rsidRPr="00D07BF9" w:rsidR="00D07BF9" w:rsidP="00D07BF9" w:rsidRDefault="00D07BF9" w14:paraId="0E949520" w14:textId="77777777">
      <w:pPr>
        <w:pStyle w:val="Estilo"/>
        <w:rPr>
          <w:rFonts w:ascii="Verdana" w:hAnsi="Verdana"/>
          <w:sz w:val="20"/>
          <w:szCs w:val="20"/>
        </w:rPr>
      </w:pPr>
      <w:r w:rsidRPr="00D07BF9">
        <w:rPr>
          <w:rFonts w:ascii="Verdana" w:hAnsi="Verdana"/>
          <w:sz w:val="20"/>
          <w:szCs w:val="20"/>
        </w:rPr>
        <w:t>Artículo 63. El análisis a la información financiera trimestral a que se refiere este capítulo constará de las siguientes fases:</w:t>
      </w:r>
    </w:p>
    <w:p w:rsidRPr="00D07BF9" w:rsidR="00D07BF9" w:rsidP="00D07BF9" w:rsidRDefault="00D07BF9" w14:paraId="7529A558" w14:textId="77777777">
      <w:pPr>
        <w:pStyle w:val="Estilo"/>
        <w:rPr>
          <w:rFonts w:ascii="Verdana" w:hAnsi="Verdana"/>
          <w:sz w:val="20"/>
          <w:szCs w:val="20"/>
        </w:rPr>
      </w:pPr>
    </w:p>
    <w:p w:rsidRPr="00D07BF9" w:rsidR="00D07BF9" w:rsidP="00D07BF9" w:rsidRDefault="00D07BF9" w14:paraId="59B90E10" w14:textId="77777777">
      <w:pPr>
        <w:pStyle w:val="Estilo"/>
        <w:rPr>
          <w:rFonts w:ascii="Verdana" w:hAnsi="Verdana"/>
          <w:sz w:val="20"/>
          <w:szCs w:val="20"/>
        </w:rPr>
      </w:pPr>
      <w:r w:rsidRPr="00D07BF9">
        <w:rPr>
          <w:rFonts w:ascii="Verdana" w:hAnsi="Verdana"/>
          <w:sz w:val="20"/>
          <w:szCs w:val="20"/>
        </w:rPr>
        <w:t>I. Una vez presentada la información financiera trimestral por parte del sujeto de fiscalización, la Auditoría Superior iniciará con la notificación del análisis conforme a lo previsto en esta ley;</w:t>
      </w:r>
    </w:p>
    <w:p w:rsidRPr="00D07BF9" w:rsidR="00D07BF9" w:rsidP="00D07BF9" w:rsidRDefault="00D07BF9" w14:paraId="2B5D67A3" w14:textId="77777777">
      <w:pPr>
        <w:pStyle w:val="Estilo"/>
        <w:rPr>
          <w:rFonts w:ascii="Verdana" w:hAnsi="Verdana"/>
          <w:sz w:val="20"/>
          <w:szCs w:val="20"/>
        </w:rPr>
      </w:pPr>
    </w:p>
    <w:p w:rsidRPr="00D07BF9" w:rsidR="00D07BF9" w:rsidP="00D07BF9" w:rsidRDefault="00D07BF9" w14:paraId="395D9A4D" w14:textId="77777777">
      <w:pPr>
        <w:pStyle w:val="Estilo"/>
        <w:rPr>
          <w:rFonts w:ascii="Verdana" w:hAnsi="Verdana"/>
          <w:sz w:val="20"/>
          <w:szCs w:val="20"/>
        </w:rPr>
      </w:pPr>
      <w:r w:rsidRPr="00D07BF9">
        <w:rPr>
          <w:rFonts w:ascii="Verdana" w:hAnsi="Verdana"/>
          <w:sz w:val="20"/>
          <w:szCs w:val="20"/>
        </w:rPr>
        <w:t>II. La Auditoría Superior podrá acumular dos trimestres. Asimismo, solicitará la información y realizará las acciones que considere pertinentes para concluir el análisis en términos de lo dispuesto en esta ley;</w:t>
      </w:r>
    </w:p>
    <w:p w:rsidRPr="00D07BF9" w:rsidR="00D07BF9" w:rsidP="00D07BF9" w:rsidRDefault="00D07BF9" w14:paraId="56F55DC1" w14:textId="77777777">
      <w:pPr>
        <w:pStyle w:val="Estilo"/>
        <w:rPr>
          <w:rFonts w:ascii="Verdana" w:hAnsi="Verdana"/>
          <w:sz w:val="20"/>
          <w:szCs w:val="20"/>
        </w:rPr>
      </w:pPr>
    </w:p>
    <w:p w:rsidRPr="00D07BF9" w:rsidR="00D07BF9" w:rsidP="00D07BF9" w:rsidRDefault="00D07BF9" w14:paraId="1E1A9087" w14:textId="77777777">
      <w:pPr>
        <w:pStyle w:val="Estilo"/>
        <w:rPr>
          <w:rFonts w:ascii="Verdana" w:hAnsi="Verdana"/>
          <w:sz w:val="20"/>
          <w:szCs w:val="20"/>
        </w:rPr>
      </w:pPr>
      <w:r w:rsidRPr="00D07BF9">
        <w:rPr>
          <w:rFonts w:ascii="Verdana" w:hAnsi="Verdana"/>
          <w:sz w:val="20"/>
          <w:szCs w:val="20"/>
        </w:rPr>
        <w:t>III. No será impedimento para realizar el análisis de la información financiera trimestral, si la misma no fue presentada en los plazos y requisitos señalados en esta ley. Lo anterior, sin perjuicio de la promoción de las responsabilidades a que haya lugar por la omisión en su presentación; y</w:t>
      </w:r>
    </w:p>
    <w:p w:rsidRPr="00D07BF9" w:rsidR="00D07BF9" w:rsidP="00D07BF9" w:rsidRDefault="00D07BF9" w14:paraId="7C275598" w14:textId="77777777">
      <w:pPr>
        <w:pStyle w:val="Estilo"/>
        <w:rPr>
          <w:rFonts w:ascii="Verdana" w:hAnsi="Verdana"/>
          <w:sz w:val="20"/>
          <w:szCs w:val="20"/>
        </w:rPr>
      </w:pPr>
    </w:p>
    <w:p w:rsidRPr="00D07BF9" w:rsidR="00D07BF9" w:rsidP="00D07BF9" w:rsidRDefault="00D07BF9" w14:paraId="0C0B9E29" w14:textId="77777777">
      <w:pPr>
        <w:pStyle w:val="Estilo"/>
        <w:rPr>
          <w:rFonts w:ascii="Verdana" w:hAnsi="Verdana"/>
          <w:sz w:val="20"/>
          <w:szCs w:val="20"/>
        </w:rPr>
      </w:pPr>
      <w:r w:rsidRPr="00D07BF9">
        <w:rPr>
          <w:rFonts w:ascii="Verdana" w:hAnsi="Verdana"/>
          <w:sz w:val="20"/>
          <w:szCs w:val="20"/>
        </w:rPr>
        <w:t>IV. Concluido el análisis, la Auditoría Superior entregará al sujeto fiscalizado una cédula de resultados.</w:t>
      </w:r>
    </w:p>
    <w:p w:rsidR="00D07BF9" w:rsidP="00D07BF9" w:rsidRDefault="00D07BF9" w14:paraId="34BF3AC6" w14:textId="30F259D6">
      <w:pPr>
        <w:pStyle w:val="Estilo"/>
        <w:rPr>
          <w:rFonts w:ascii="Verdana" w:hAnsi="Verdana"/>
          <w:sz w:val="20"/>
          <w:szCs w:val="20"/>
        </w:rPr>
      </w:pPr>
    </w:p>
    <w:p w:rsidR="007D6808" w:rsidP="00D07BF9" w:rsidRDefault="007D6808" w14:paraId="5C6D326B" w14:textId="64341E3E">
      <w:pPr>
        <w:pStyle w:val="Estilo"/>
        <w:rPr>
          <w:rFonts w:ascii="Verdana" w:hAnsi="Verdana"/>
          <w:sz w:val="20"/>
          <w:szCs w:val="20"/>
        </w:rPr>
      </w:pPr>
    </w:p>
    <w:p w:rsidRPr="00D07BF9" w:rsidR="007D6808" w:rsidP="00D07BF9" w:rsidRDefault="007D6808" w14:paraId="3E791587" w14:textId="77777777">
      <w:pPr>
        <w:pStyle w:val="Estilo"/>
        <w:rPr>
          <w:rFonts w:ascii="Verdana" w:hAnsi="Verdana"/>
          <w:sz w:val="20"/>
          <w:szCs w:val="20"/>
        </w:rPr>
      </w:pPr>
    </w:p>
    <w:p w:rsidRPr="007D6808" w:rsidR="00D07BF9" w:rsidP="00260A46" w:rsidRDefault="00D07BF9" w14:paraId="273E9A65" w14:textId="77777777">
      <w:pPr>
        <w:pStyle w:val="Estilo"/>
        <w:jc w:val="right"/>
        <w:rPr>
          <w:rFonts w:ascii="Verdana" w:hAnsi="Verdana"/>
          <w:b/>
          <w:bCs/>
          <w:sz w:val="20"/>
          <w:szCs w:val="20"/>
        </w:rPr>
      </w:pPr>
      <w:r w:rsidRPr="007D6808">
        <w:rPr>
          <w:rFonts w:ascii="Verdana" w:hAnsi="Verdana"/>
          <w:b/>
          <w:bCs/>
          <w:sz w:val="20"/>
          <w:szCs w:val="20"/>
        </w:rPr>
        <w:lastRenderedPageBreak/>
        <w:t>Excepción del cómputo</w:t>
      </w:r>
    </w:p>
    <w:p w:rsidRPr="00D07BF9" w:rsidR="00D07BF9" w:rsidP="00D07BF9" w:rsidRDefault="00D07BF9" w14:paraId="27B5CDB7" w14:textId="77777777">
      <w:pPr>
        <w:pStyle w:val="Estilo"/>
        <w:rPr>
          <w:rFonts w:ascii="Verdana" w:hAnsi="Verdana"/>
          <w:sz w:val="20"/>
          <w:szCs w:val="20"/>
        </w:rPr>
      </w:pPr>
      <w:r w:rsidRPr="00D07BF9">
        <w:rPr>
          <w:rFonts w:ascii="Verdana" w:hAnsi="Verdana"/>
          <w:sz w:val="20"/>
          <w:szCs w:val="20"/>
        </w:rPr>
        <w:t>Artículo 64. El análisis de la información financiera trimestral no computará para el plazo previsto en el artículo 35 de esta ley.</w:t>
      </w:r>
    </w:p>
    <w:p w:rsidRPr="00D07BF9" w:rsidR="00D07BF9" w:rsidP="00D07BF9" w:rsidRDefault="00D07BF9" w14:paraId="04A1A1BA" w14:textId="77777777">
      <w:pPr>
        <w:pStyle w:val="Estilo"/>
        <w:rPr>
          <w:rFonts w:ascii="Verdana" w:hAnsi="Verdana"/>
          <w:sz w:val="20"/>
          <w:szCs w:val="20"/>
        </w:rPr>
      </w:pPr>
    </w:p>
    <w:p w:rsidRPr="00D07BF9" w:rsidR="00D07BF9" w:rsidP="00D07BF9" w:rsidRDefault="00D07BF9" w14:paraId="47C6118B" w14:textId="77777777">
      <w:pPr>
        <w:pStyle w:val="Estilo"/>
        <w:rPr>
          <w:rFonts w:ascii="Verdana" w:hAnsi="Verdana"/>
          <w:sz w:val="20"/>
          <w:szCs w:val="20"/>
        </w:rPr>
      </w:pPr>
    </w:p>
    <w:p w:rsidRPr="007D6808" w:rsidR="00D07BF9" w:rsidP="007D6808" w:rsidRDefault="00D07BF9" w14:paraId="149BEB73" w14:textId="77777777">
      <w:pPr>
        <w:pStyle w:val="Estilo"/>
        <w:jc w:val="center"/>
        <w:rPr>
          <w:rFonts w:ascii="Verdana" w:hAnsi="Verdana"/>
          <w:b/>
          <w:bCs/>
          <w:sz w:val="20"/>
          <w:szCs w:val="20"/>
        </w:rPr>
      </w:pPr>
      <w:r w:rsidRPr="007D6808">
        <w:rPr>
          <w:rFonts w:ascii="Verdana" w:hAnsi="Verdana"/>
          <w:b/>
          <w:bCs/>
          <w:sz w:val="20"/>
          <w:szCs w:val="20"/>
        </w:rPr>
        <w:t>Capítulo VIII</w:t>
      </w:r>
    </w:p>
    <w:p w:rsidRPr="007D6808" w:rsidR="00D07BF9" w:rsidP="007D6808" w:rsidRDefault="00D07BF9" w14:paraId="056F2FE5" w14:textId="77777777">
      <w:pPr>
        <w:pStyle w:val="Estilo"/>
        <w:jc w:val="center"/>
        <w:rPr>
          <w:rFonts w:ascii="Verdana" w:hAnsi="Verdana"/>
          <w:b/>
          <w:bCs/>
          <w:sz w:val="20"/>
          <w:szCs w:val="20"/>
        </w:rPr>
      </w:pPr>
      <w:r w:rsidRPr="007D6808">
        <w:rPr>
          <w:rFonts w:ascii="Verdana" w:hAnsi="Verdana"/>
          <w:b/>
          <w:bCs/>
          <w:sz w:val="20"/>
          <w:szCs w:val="20"/>
        </w:rPr>
        <w:t>Seguimiento</w:t>
      </w:r>
    </w:p>
    <w:p w:rsidRPr="00D07BF9" w:rsidR="00D07BF9" w:rsidP="00D07BF9" w:rsidRDefault="00D07BF9" w14:paraId="158D0FE1" w14:textId="77777777">
      <w:pPr>
        <w:pStyle w:val="Estilo"/>
        <w:rPr>
          <w:rFonts w:ascii="Verdana" w:hAnsi="Verdana"/>
          <w:sz w:val="20"/>
          <w:szCs w:val="20"/>
        </w:rPr>
      </w:pPr>
    </w:p>
    <w:p w:rsidRPr="007D6808" w:rsidR="00D07BF9" w:rsidP="007D6808" w:rsidRDefault="00D07BF9" w14:paraId="5FA6DA3E" w14:textId="77777777">
      <w:pPr>
        <w:pStyle w:val="Estilo"/>
        <w:jc w:val="right"/>
        <w:rPr>
          <w:rFonts w:ascii="Verdana" w:hAnsi="Verdana"/>
          <w:b/>
          <w:bCs/>
          <w:sz w:val="20"/>
          <w:szCs w:val="20"/>
        </w:rPr>
      </w:pPr>
      <w:r w:rsidRPr="007D6808">
        <w:rPr>
          <w:rFonts w:ascii="Verdana" w:hAnsi="Verdana"/>
          <w:b/>
          <w:bCs/>
          <w:sz w:val="20"/>
          <w:szCs w:val="20"/>
        </w:rPr>
        <w:t>Seguimiento al acuerdo del Congreso</w:t>
      </w:r>
    </w:p>
    <w:p w:rsidRPr="00D07BF9" w:rsidR="00D07BF9" w:rsidP="00D07BF9" w:rsidRDefault="00D07BF9" w14:paraId="1F0F5C82" w14:textId="77777777">
      <w:pPr>
        <w:pStyle w:val="Estilo"/>
        <w:rPr>
          <w:rFonts w:ascii="Verdana" w:hAnsi="Verdana"/>
          <w:sz w:val="20"/>
          <w:szCs w:val="20"/>
        </w:rPr>
      </w:pPr>
      <w:r w:rsidRPr="00D07BF9">
        <w:rPr>
          <w:rFonts w:ascii="Verdana" w:hAnsi="Verdana"/>
          <w:sz w:val="20"/>
          <w:szCs w:val="20"/>
        </w:rPr>
        <w:t>Artículo 65. Una vez que el Congreso emita el acuerdo respecto al informe de resultados, la Auditoría Superior procederá a promover las acciones necesarias para que se finquen las responsabilidades, así como el seguimiento a las recomendaciones no atendidas u observaciones no solventadas en el informe de resultados, en los términos establecidos en esta ley.</w:t>
      </w:r>
    </w:p>
    <w:p w:rsidRPr="00D07BF9" w:rsidR="00D07BF9" w:rsidP="00D07BF9" w:rsidRDefault="00D07BF9" w14:paraId="2B5CB4DB" w14:textId="77777777">
      <w:pPr>
        <w:pStyle w:val="Estilo"/>
        <w:rPr>
          <w:rFonts w:ascii="Verdana" w:hAnsi="Verdana"/>
          <w:sz w:val="20"/>
          <w:szCs w:val="20"/>
        </w:rPr>
      </w:pPr>
    </w:p>
    <w:p w:rsidRPr="007D6808" w:rsidR="00D07BF9" w:rsidP="007D6808" w:rsidRDefault="00D07BF9" w14:paraId="1E92EFEE" w14:textId="77777777">
      <w:pPr>
        <w:pStyle w:val="Estilo"/>
        <w:jc w:val="right"/>
        <w:rPr>
          <w:rFonts w:ascii="Verdana" w:hAnsi="Verdana"/>
          <w:b/>
          <w:bCs/>
          <w:sz w:val="20"/>
          <w:szCs w:val="20"/>
        </w:rPr>
      </w:pPr>
      <w:r w:rsidRPr="007D6808">
        <w:rPr>
          <w:rFonts w:ascii="Verdana" w:hAnsi="Verdana"/>
          <w:b/>
          <w:bCs/>
          <w:sz w:val="20"/>
          <w:szCs w:val="20"/>
        </w:rPr>
        <w:t>Plazo de atención</w:t>
      </w:r>
    </w:p>
    <w:p w:rsidRPr="00D07BF9" w:rsidR="00D07BF9" w:rsidP="00D07BF9" w:rsidRDefault="00D07BF9" w14:paraId="060B440C" w14:textId="77777777">
      <w:pPr>
        <w:pStyle w:val="Estilo"/>
        <w:rPr>
          <w:rFonts w:ascii="Verdana" w:hAnsi="Verdana"/>
          <w:sz w:val="20"/>
          <w:szCs w:val="20"/>
        </w:rPr>
      </w:pPr>
      <w:r w:rsidRPr="00D07BF9">
        <w:rPr>
          <w:rFonts w:ascii="Verdana" w:hAnsi="Verdana"/>
          <w:sz w:val="20"/>
          <w:szCs w:val="20"/>
        </w:rPr>
        <w:t>Artículo 66. Las recomendaciones deberán ser atendidas en el término de diez días hábiles contados a partir del día hábil siguiente al de su notificación. Sólo por causa justificada a juicio del Auditor Superior, podrá prorrogarse por una sola vez el plazo antes referido.</w:t>
      </w:r>
    </w:p>
    <w:p w:rsidRPr="00D07BF9" w:rsidR="00D07BF9" w:rsidP="00D07BF9" w:rsidRDefault="00D07BF9" w14:paraId="793E37E1" w14:textId="77777777">
      <w:pPr>
        <w:pStyle w:val="Estilo"/>
        <w:rPr>
          <w:rFonts w:ascii="Verdana" w:hAnsi="Verdana"/>
          <w:sz w:val="20"/>
          <w:szCs w:val="20"/>
        </w:rPr>
      </w:pPr>
    </w:p>
    <w:p w:rsidRPr="00D07BF9" w:rsidR="00D07BF9" w:rsidP="00D07BF9" w:rsidRDefault="00D07BF9" w14:paraId="62F2A36E" w14:textId="77777777">
      <w:pPr>
        <w:pStyle w:val="Estilo"/>
        <w:rPr>
          <w:rFonts w:ascii="Verdana" w:hAnsi="Verdana"/>
          <w:sz w:val="20"/>
          <w:szCs w:val="20"/>
        </w:rPr>
      </w:pPr>
      <w:r w:rsidRPr="00D07BF9">
        <w:rPr>
          <w:rFonts w:ascii="Verdana" w:hAnsi="Verdana"/>
          <w:sz w:val="20"/>
          <w:szCs w:val="20"/>
        </w:rPr>
        <w:t>Dicha prórroga no podrá exceder de cinco días hábiles. La solicitud de prórroga deberá presentarse dentro del plazo señalado para la atención de las recomendaciones.</w:t>
      </w:r>
    </w:p>
    <w:p w:rsidRPr="00D07BF9" w:rsidR="00D07BF9" w:rsidP="00D07BF9" w:rsidRDefault="00D07BF9" w14:paraId="117493FF" w14:textId="77777777">
      <w:pPr>
        <w:pStyle w:val="Estilo"/>
        <w:rPr>
          <w:rFonts w:ascii="Verdana" w:hAnsi="Verdana"/>
          <w:sz w:val="20"/>
          <w:szCs w:val="20"/>
        </w:rPr>
      </w:pPr>
    </w:p>
    <w:p w:rsidRPr="00D07BF9" w:rsidR="00D07BF9" w:rsidP="00D07BF9" w:rsidRDefault="00D07BF9" w14:paraId="405E59BB" w14:textId="77777777">
      <w:pPr>
        <w:pStyle w:val="Estilo"/>
        <w:rPr>
          <w:rFonts w:ascii="Verdana" w:hAnsi="Verdana"/>
          <w:sz w:val="20"/>
          <w:szCs w:val="20"/>
        </w:rPr>
      </w:pPr>
      <w:r w:rsidRPr="00D07BF9">
        <w:rPr>
          <w:rFonts w:ascii="Verdana" w:hAnsi="Verdana"/>
          <w:sz w:val="20"/>
          <w:szCs w:val="20"/>
        </w:rPr>
        <w:t xml:space="preserve">Una vez que se acredite el debido cumplimiento de la totalidad de las recomendaciones, o bien, el sujeto fiscalizado justifique su improcedencia o las razones por las cuales no resulta factible su implementación, la Auditoría Superior expedirá la constancia de que se han </w:t>
      </w:r>
      <w:proofErr w:type="spellStart"/>
      <w:r w:rsidRPr="00D07BF9">
        <w:rPr>
          <w:rFonts w:ascii="Verdana" w:hAnsi="Verdana"/>
          <w:sz w:val="20"/>
          <w:szCs w:val="20"/>
        </w:rPr>
        <w:t>afendido</w:t>
      </w:r>
      <w:proofErr w:type="spellEnd"/>
      <w:r w:rsidRPr="00D07BF9">
        <w:rPr>
          <w:rFonts w:ascii="Verdana" w:hAnsi="Verdana"/>
          <w:sz w:val="20"/>
          <w:szCs w:val="20"/>
        </w:rPr>
        <w:t xml:space="preserve"> (sic) dichas recomendaciones, para los efectos a que haya lugar en los ámbitos de competencia del sujeto fiscalizado y de la propia Auditoría Superior y ésta notificará al Congreso cuando expida la referida constancia.</w:t>
      </w:r>
    </w:p>
    <w:p w:rsidRPr="00D07BF9" w:rsidR="00D07BF9" w:rsidP="00D07BF9" w:rsidRDefault="00D07BF9" w14:paraId="7EA52855" w14:textId="77777777">
      <w:pPr>
        <w:pStyle w:val="Estilo"/>
        <w:rPr>
          <w:rFonts w:ascii="Verdana" w:hAnsi="Verdana"/>
          <w:sz w:val="20"/>
          <w:szCs w:val="20"/>
        </w:rPr>
      </w:pPr>
    </w:p>
    <w:p w:rsidRPr="00D07BF9" w:rsidR="00D07BF9" w:rsidP="00D07BF9" w:rsidRDefault="00D07BF9" w14:paraId="21093712" w14:textId="77777777">
      <w:pPr>
        <w:pStyle w:val="Estilo"/>
        <w:rPr>
          <w:rFonts w:ascii="Verdana" w:hAnsi="Verdana"/>
          <w:sz w:val="20"/>
          <w:szCs w:val="20"/>
        </w:rPr>
      </w:pPr>
      <w:r w:rsidRPr="00D07BF9">
        <w:rPr>
          <w:rFonts w:ascii="Verdana" w:hAnsi="Verdana"/>
          <w:sz w:val="20"/>
          <w:szCs w:val="20"/>
        </w:rPr>
        <w:t xml:space="preserve">La expedición de la constancia prevista en el párrafo </w:t>
      </w:r>
      <w:proofErr w:type="gramStart"/>
      <w:r w:rsidRPr="00D07BF9">
        <w:rPr>
          <w:rFonts w:ascii="Verdana" w:hAnsi="Verdana"/>
          <w:sz w:val="20"/>
          <w:szCs w:val="20"/>
        </w:rPr>
        <w:t>anterior,</w:t>
      </w:r>
      <w:proofErr w:type="gramEnd"/>
      <w:r w:rsidRPr="00D07BF9">
        <w:rPr>
          <w:rFonts w:ascii="Verdana" w:hAnsi="Verdana"/>
          <w:sz w:val="20"/>
          <w:szCs w:val="20"/>
        </w:rPr>
        <w:t xml:space="preserve"> no exime a la Auditoría Superior para promover y dar seguimiento a las responsabilidades a que hubiere lugar con motivo del acuerdo correspondiente.</w:t>
      </w:r>
    </w:p>
    <w:p w:rsidRPr="00D07BF9" w:rsidR="00D07BF9" w:rsidP="00D07BF9" w:rsidRDefault="00D07BF9" w14:paraId="7992807B" w14:textId="77777777">
      <w:pPr>
        <w:pStyle w:val="Estilo"/>
        <w:rPr>
          <w:rFonts w:ascii="Verdana" w:hAnsi="Verdana"/>
          <w:sz w:val="20"/>
          <w:szCs w:val="20"/>
        </w:rPr>
      </w:pPr>
    </w:p>
    <w:p w:rsidRPr="007D6808" w:rsidR="00D07BF9" w:rsidP="007D6808" w:rsidRDefault="00D07BF9" w14:paraId="0457F1D0" w14:textId="77777777">
      <w:pPr>
        <w:pStyle w:val="Estilo"/>
        <w:jc w:val="right"/>
        <w:rPr>
          <w:rFonts w:ascii="Verdana" w:hAnsi="Verdana"/>
          <w:b/>
          <w:bCs/>
          <w:sz w:val="20"/>
          <w:szCs w:val="20"/>
        </w:rPr>
      </w:pPr>
      <w:r w:rsidRPr="007D6808">
        <w:rPr>
          <w:rFonts w:ascii="Verdana" w:hAnsi="Verdana"/>
          <w:b/>
          <w:bCs/>
          <w:sz w:val="20"/>
          <w:szCs w:val="20"/>
        </w:rPr>
        <w:t>Modificación de responsabilidades</w:t>
      </w:r>
    </w:p>
    <w:p w:rsidRPr="00D07BF9" w:rsidR="00D07BF9" w:rsidP="00D07BF9" w:rsidRDefault="00D07BF9" w14:paraId="3CE4673E" w14:textId="77777777">
      <w:pPr>
        <w:pStyle w:val="Estilo"/>
        <w:rPr>
          <w:rFonts w:ascii="Verdana" w:hAnsi="Verdana"/>
          <w:sz w:val="20"/>
          <w:szCs w:val="20"/>
        </w:rPr>
      </w:pPr>
      <w:r w:rsidRPr="00D07BF9">
        <w:rPr>
          <w:rFonts w:ascii="Verdana" w:hAnsi="Verdana"/>
          <w:sz w:val="20"/>
          <w:szCs w:val="20"/>
        </w:rPr>
        <w:t>Artículo 67. Cuando por el acuerdo del Congreso que recaiga al informe de resultados, se modifique el criterio por el que se haya definido una probable responsabilidad; el Auditor Superior de oficio o a petición de los sujetos fiscalizados, podrá acordar la modificación de las responsabilidades determinadas en informes de resultados aprobados con anterioridad que deriven de observaciones de la misma naturaleza, siempre que ello sea en beneficio de los presuntos responsables y no hayan sido declaradas firmes las sanciones correspondientes. Lo anterior, deberá hacerse de conocimiento al Congreso.</w:t>
      </w:r>
    </w:p>
    <w:p w:rsidRPr="00D07BF9" w:rsidR="00D07BF9" w:rsidP="00D07BF9" w:rsidRDefault="00D07BF9" w14:paraId="21599595" w14:textId="77777777">
      <w:pPr>
        <w:pStyle w:val="Estilo"/>
        <w:rPr>
          <w:rFonts w:ascii="Verdana" w:hAnsi="Verdana"/>
          <w:sz w:val="20"/>
          <w:szCs w:val="20"/>
        </w:rPr>
      </w:pPr>
    </w:p>
    <w:p w:rsidRPr="00D07BF9" w:rsidR="00D07BF9" w:rsidP="00D07BF9" w:rsidRDefault="00D07BF9" w14:paraId="04CC49BA" w14:textId="77777777">
      <w:pPr>
        <w:pStyle w:val="Estilo"/>
        <w:rPr>
          <w:rFonts w:ascii="Verdana" w:hAnsi="Verdana"/>
          <w:sz w:val="20"/>
          <w:szCs w:val="20"/>
        </w:rPr>
      </w:pPr>
    </w:p>
    <w:p w:rsidRPr="007D6808" w:rsidR="00D07BF9" w:rsidP="007D6808" w:rsidRDefault="00D07BF9" w14:paraId="2C351AD2" w14:textId="77777777">
      <w:pPr>
        <w:pStyle w:val="Estilo"/>
        <w:jc w:val="center"/>
        <w:rPr>
          <w:rFonts w:ascii="Verdana" w:hAnsi="Verdana"/>
          <w:b/>
          <w:bCs/>
          <w:sz w:val="20"/>
          <w:szCs w:val="20"/>
        </w:rPr>
      </w:pPr>
      <w:r w:rsidRPr="007D6808">
        <w:rPr>
          <w:rFonts w:ascii="Verdana" w:hAnsi="Verdana"/>
          <w:b/>
          <w:bCs/>
          <w:sz w:val="20"/>
          <w:szCs w:val="20"/>
        </w:rPr>
        <w:t>Capítulo IX</w:t>
      </w:r>
    </w:p>
    <w:p w:rsidRPr="007D6808" w:rsidR="00D07BF9" w:rsidP="007D6808" w:rsidRDefault="00D07BF9" w14:paraId="5B669840" w14:textId="77777777">
      <w:pPr>
        <w:pStyle w:val="Estilo"/>
        <w:jc w:val="center"/>
        <w:rPr>
          <w:rFonts w:ascii="Verdana" w:hAnsi="Verdana"/>
          <w:b/>
          <w:bCs/>
          <w:sz w:val="20"/>
          <w:szCs w:val="20"/>
        </w:rPr>
      </w:pPr>
      <w:r w:rsidRPr="007D6808">
        <w:rPr>
          <w:rFonts w:ascii="Verdana" w:hAnsi="Verdana"/>
          <w:b/>
          <w:bCs/>
          <w:sz w:val="20"/>
          <w:szCs w:val="20"/>
        </w:rPr>
        <w:t>Responsabilidades Civiles</w:t>
      </w:r>
    </w:p>
    <w:p w:rsidRPr="00D07BF9" w:rsidR="00D07BF9" w:rsidP="00D07BF9" w:rsidRDefault="00D07BF9" w14:paraId="09EBAB57" w14:textId="77777777">
      <w:pPr>
        <w:pStyle w:val="Estilo"/>
        <w:rPr>
          <w:rFonts w:ascii="Verdana" w:hAnsi="Verdana"/>
          <w:sz w:val="20"/>
          <w:szCs w:val="20"/>
        </w:rPr>
      </w:pPr>
    </w:p>
    <w:p w:rsidRPr="007D6808" w:rsidR="00D07BF9" w:rsidP="007D6808" w:rsidRDefault="00D07BF9" w14:paraId="3118E526" w14:textId="77777777">
      <w:pPr>
        <w:pStyle w:val="Estilo"/>
        <w:jc w:val="right"/>
        <w:rPr>
          <w:rFonts w:ascii="Verdana" w:hAnsi="Verdana"/>
          <w:b/>
          <w:bCs/>
          <w:sz w:val="20"/>
          <w:szCs w:val="20"/>
        </w:rPr>
      </w:pPr>
      <w:r w:rsidRPr="007D6808">
        <w:rPr>
          <w:rFonts w:ascii="Verdana" w:hAnsi="Verdana"/>
          <w:b/>
          <w:bCs/>
          <w:sz w:val="20"/>
          <w:szCs w:val="20"/>
        </w:rPr>
        <w:t>Plazo para ejercitar la acción civil</w:t>
      </w:r>
    </w:p>
    <w:p w:rsidRPr="00D07BF9" w:rsidR="00D07BF9" w:rsidP="00D07BF9" w:rsidRDefault="00D07BF9" w14:paraId="231BB3A8" w14:textId="77777777">
      <w:pPr>
        <w:pStyle w:val="Estilo"/>
        <w:rPr>
          <w:rFonts w:ascii="Verdana" w:hAnsi="Verdana"/>
          <w:sz w:val="20"/>
          <w:szCs w:val="20"/>
        </w:rPr>
      </w:pPr>
      <w:r w:rsidRPr="00D07BF9">
        <w:rPr>
          <w:rFonts w:ascii="Verdana" w:hAnsi="Verdana"/>
          <w:sz w:val="20"/>
          <w:szCs w:val="20"/>
        </w:rPr>
        <w:t xml:space="preserve">Artículo 68. Si la responsabilidad que derive del proceso de fiscalización es de orden civil, el sujeto de fiscalización, por conducto de su titular o en quien se encuentre delegada dicha facultad de conformidad con las disposiciones legales o reglamentarias, procederá a ejercer las acciones civiles en la vía y forma que corresponda, ante la autoridad, dentro </w:t>
      </w:r>
      <w:r w:rsidRPr="00D07BF9">
        <w:rPr>
          <w:rFonts w:ascii="Verdana" w:hAnsi="Verdana"/>
          <w:sz w:val="20"/>
          <w:szCs w:val="20"/>
        </w:rPr>
        <w:lastRenderedPageBreak/>
        <w:t>del término de tres meses contados a partir de (sic) día siguiente de la notificación del acuerdo del Congreso. Dicho término, previa justificación, podrá duplicarse a petición por escrito del sujeto de fiscalización presentada al Congreso dentro del término antes señalado.</w:t>
      </w:r>
    </w:p>
    <w:p w:rsidRPr="00D07BF9" w:rsidR="00D07BF9" w:rsidP="00D07BF9" w:rsidRDefault="00D07BF9" w14:paraId="78C7E721" w14:textId="77777777">
      <w:pPr>
        <w:pStyle w:val="Estilo"/>
        <w:rPr>
          <w:rFonts w:ascii="Verdana" w:hAnsi="Verdana"/>
          <w:sz w:val="20"/>
          <w:szCs w:val="20"/>
        </w:rPr>
      </w:pPr>
    </w:p>
    <w:p w:rsidRPr="00D07BF9" w:rsidR="00D07BF9" w:rsidP="00D07BF9" w:rsidRDefault="00D07BF9" w14:paraId="27FAD88C" w14:textId="77777777">
      <w:pPr>
        <w:pStyle w:val="Estilo"/>
        <w:rPr>
          <w:rFonts w:ascii="Verdana" w:hAnsi="Verdana"/>
          <w:sz w:val="20"/>
          <w:szCs w:val="20"/>
        </w:rPr>
      </w:pPr>
      <w:r w:rsidRPr="00D07BF9">
        <w:rPr>
          <w:rFonts w:ascii="Verdana" w:hAnsi="Verdana"/>
          <w:sz w:val="20"/>
          <w:szCs w:val="20"/>
        </w:rPr>
        <w:t>La Auditoría Superior podrá consultar los expedientes de los juicios civiles que con motivo del cumplimiento de esta ley sean substanciados por los sujetos de fiscalización, con el objeto de verificar su avance y resultados.</w:t>
      </w:r>
    </w:p>
    <w:p w:rsidRPr="00D07BF9" w:rsidR="00D07BF9" w:rsidP="00D07BF9" w:rsidRDefault="00D07BF9" w14:paraId="5D523A90" w14:textId="77777777">
      <w:pPr>
        <w:pStyle w:val="Estilo"/>
        <w:rPr>
          <w:rFonts w:ascii="Verdana" w:hAnsi="Verdana"/>
          <w:sz w:val="20"/>
          <w:szCs w:val="20"/>
        </w:rPr>
      </w:pPr>
    </w:p>
    <w:p w:rsidRPr="007D6808" w:rsidR="00D07BF9" w:rsidP="007D6808" w:rsidRDefault="00D07BF9" w14:paraId="369D9FFF" w14:textId="77777777">
      <w:pPr>
        <w:pStyle w:val="Estilo"/>
        <w:jc w:val="right"/>
        <w:rPr>
          <w:rFonts w:ascii="Verdana" w:hAnsi="Verdana"/>
          <w:b/>
          <w:bCs/>
          <w:sz w:val="20"/>
          <w:szCs w:val="20"/>
        </w:rPr>
      </w:pPr>
      <w:r w:rsidRPr="007D6808">
        <w:rPr>
          <w:rFonts w:ascii="Verdana" w:hAnsi="Verdana"/>
          <w:b/>
          <w:bCs/>
          <w:sz w:val="20"/>
          <w:szCs w:val="20"/>
        </w:rPr>
        <w:t>Ejercicio de acciones civiles por la Auditoría Superior</w:t>
      </w:r>
    </w:p>
    <w:p w:rsidRPr="00D07BF9" w:rsidR="00D07BF9" w:rsidP="00D07BF9" w:rsidRDefault="00D07BF9" w14:paraId="580FD2E0" w14:textId="77777777">
      <w:pPr>
        <w:pStyle w:val="Estilo"/>
        <w:rPr>
          <w:rFonts w:ascii="Verdana" w:hAnsi="Verdana"/>
          <w:sz w:val="20"/>
          <w:szCs w:val="20"/>
        </w:rPr>
      </w:pPr>
      <w:r w:rsidRPr="00D07BF9">
        <w:rPr>
          <w:rFonts w:ascii="Verdana" w:hAnsi="Verdana"/>
          <w:sz w:val="20"/>
          <w:szCs w:val="20"/>
        </w:rPr>
        <w:t>Artículo 69. La Auditoría Superior será competente para ejercer las acciones civiles en los supuestos siguientes:</w:t>
      </w:r>
    </w:p>
    <w:p w:rsidRPr="00D07BF9" w:rsidR="00D07BF9" w:rsidP="00D07BF9" w:rsidRDefault="00D07BF9" w14:paraId="7219C206" w14:textId="77777777">
      <w:pPr>
        <w:pStyle w:val="Estilo"/>
        <w:rPr>
          <w:rFonts w:ascii="Verdana" w:hAnsi="Verdana"/>
          <w:sz w:val="20"/>
          <w:szCs w:val="20"/>
        </w:rPr>
      </w:pPr>
    </w:p>
    <w:p w:rsidRPr="00D07BF9" w:rsidR="00D07BF9" w:rsidP="00D07BF9" w:rsidRDefault="00D07BF9" w14:paraId="61355A89" w14:textId="77777777">
      <w:pPr>
        <w:pStyle w:val="Estilo"/>
        <w:rPr>
          <w:rFonts w:ascii="Verdana" w:hAnsi="Verdana"/>
          <w:sz w:val="20"/>
          <w:szCs w:val="20"/>
        </w:rPr>
      </w:pPr>
      <w:r w:rsidRPr="00D07BF9">
        <w:rPr>
          <w:rFonts w:ascii="Verdana" w:hAnsi="Verdana"/>
          <w:sz w:val="20"/>
          <w:szCs w:val="20"/>
        </w:rPr>
        <w:t>I. Cuando exista conflicto de intereses por parte de los servidores públicos responsables de ejercer dichas acciones en los términos que prescribe la Ley de Responsabilidades Administrativas de los Servidores Públicos del Estado de Guanajuato y sus Municipios, en cuyo caso deberán informarlo en el término de quince días hábiles, contados a partir de la fecha de notificación del acuerdo del Congreso, justificando las causales de conflicto de intereses en las que se ubican y se abstendrán de ejercer cualquier acción; y</w:t>
      </w:r>
    </w:p>
    <w:p w:rsidRPr="00D07BF9" w:rsidR="00D07BF9" w:rsidP="00D07BF9" w:rsidRDefault="00D07BF9" w14:paraId="56DF2B6F" w14:textId="77777777">
      <w:pPr>
        <w:pStyle w:val="Estilo"/>
        <w:rPr>
          <w:rFonts w:ascii="Verdana" w:hAnsi="Verdana"/>
          <w:sz w:val="20"/>
          <w:szCs w:val="20"/>
        </w:rPr>
      </w:pPr>
    </w:p>
    <w:p w:rsidRPr="00D07BF9" w:rsidR="00D07BF9" w:rsidP="00D07BF9" w:rsidRDefault="00D07BF9" w14:paraId="4A923038" w14:textId="77777777">
      <w:pPr>
        <w:pStyle w:val="Estilo"/>
        <w:rPr>
          <w:rFonts w:ascii="Verdana" w:hAnsi="Verdana"/>
          <w:sz w:val="20"/>
          <w:szCs w:val="20"/>
        </w:rPr>
      </w:pPr>
      <w:r w:rsidRPr="00D07BF9">
        <w:rPr>
          <w:rFonts w:ascii="Verdana" w:hAnsi="Verdana"/>
          <w:sz w:val="20"/>
          <w:szCs w:val="20"/>
        </w:rPr>
        <w:t>II. Las que convenga con los sujetos de fiscalización, previa justificación de su imposibilidad material y humana para ejercer las acciones conducentes.</w:t>
      </w:r>
    </w:p>
    <w:p w:rsidRPr="00D07BF9" w:rsidR="00D07BF9" w:rsidP="00D07BF9" w:rsidRDefault="00D07BF9" w14:paraId="6550A796" w14:textId="77777777">
      <w:pPr>
        <w:pStyle w:val="Estilo"/>
        <w:rPr>
          <w:rFonts w:ascii="Verdana" w:hAnsi="Verdana"/>
          <w:sz w:val="20"/>
          <w:szCs w:val="20"/>
        </w:rPr>
      </w:pPr>
    </w:p>
    <w:p w:rsidRPr="007D6808" w:rsidR="00D07BF9" w:rsidP="007D6808" w:rsidRDefault="00D07BF9" w14:paraId="623A1E20" w14:textId="77777777">
      <w:pPr>
        <w:pStyle w:val="Estilo"/>
        <w:jc w:val="right"/>
        <w:rPr>
          <w:rFonts w:ascii="Verdana" w:hAnsi="Verdana"/>
          <w:b/>
          <w:bCs/>
          <w:sz w:val="20"/>
          <w:szCs w:val="20"/>
        </w:rPr>
      </w:pPr>
      <w:r w:rsidRPr="007D6808">
        <w:rPr>
          <w:rFonts w:ascii="Verdana" w:hAnsi="Verdana"/>
          <w:b/>
          <w:bCs/>
          <w:sz w:val="20"/>
          <w:szCs w:val="20"/>
        </w:rPr>
        <w:t>Causales de abstención</w:t>
      </w:r>
    </w:p>
    <w:p w:rsidRPr="00D07BF9" w:rsidR="00D07BF9" w:rsidP="00D07BF9" w:rsidRDefault="00D07BF9" w14:paraId="6AA29C65" w14:textId="77777777">
      <w:pPr>
        <w:pStyle w:val="Estilo"/>
        <w:rPr>
          <w:rFonts w:ascii="Verdana" w:hAnsi="Verdana"/>
          <w:sz w:val="20"/>
          <w:szCs w:val="20"/>
        </w:rPr>
      </w:pPr>
      <w:r w:rsidRPr="00D07BF9">
        <w:rPr>
          <w:rFonts w:ascii="Verdana" w:hAnsi="Verdana"/>
          <w:sz w:val="20"/>
          <w:szCs w:val="20"/>
        </w:rPr>
        <w:t xml:space="preserve">Artículo 70. Los titulares del ejercicio de la acción civil que contempla esta </w:t>
      </w:r>
      <w:proofErr w:type="gramStart"/>
      <w:r w:rsidRPr="00D07BF9">
        <w:rPr>
          <w:rFonts w:ascii="Verdana" w:hAnsi="Verdana"/>
          <w:sz w:val="20"/>
          <w:szCs w:val="20"/>
        </w:rPr>
        <w:t>ley,</w:t>
      </w:r>
      <w:proofErr w:type="gramEnd"/>
      <w:r w:rsidRPr="00D07BF9">
        <w:rPr>
          <w:rFonts w:ascii="Verdana" w:hAnsi="Verdana"/>
          <w:sz w:val="20"/>
          <w:szCs w:val="20"/>
        </w:rPr>
        <w:t xml:space="preserve"> podrán abstenerse de ejercer las acciones civiles o la prosecución de las mismas, en los supuestos siguientes:</w:t>
      </w:r>
    </w:p>
    <w:p w:rsidRPr="00D07BF9" w:rsidR="00D07BF9" w:rsidP="00D07BF9" w:rsidRDefault="00D07BF9" w14:paraId="7B56C8AC" w14:textId="77777777">
      <w:pPr>
        <w:pStyle w:val="Estilo"/>
        <w:rPr>
          <w:rFonts w:ascii="Verdana" w:hAnsi="Verdana"/>
          <w:sz w:val="20"/>
          <w:szCs w:val="20"/>
        </w:rPr>
      </w:pPr>
    </w:p>
    <w:p w:rsidRPr="00D07BF9" w:rsidR="00D07BF9" w:rsidP="00D07BF9" w:rsidRDefault="00D07BF9" w14:paraId="4B5D6399" w14:textId="77777777">
      <w:pPr>
        <w:pStyle w:val="Estilo"/>
        <w:rPr>
          <w:rFonts w:ascii="Verdana" w:hAnsi="Verdana"/>
          <w:sz w:val="20"/>
          <w:szCs w:val="20"/>
        </w:rPr>
      </w:pPr>
      <w:r w:rsidRPr="00D07BF9">
        <w:rPr>
          <w:rFonts w:ascii="Verdana" w:hAnsi="Verdana"/>
          <w:sz w:val="20"/>
          <w:szCs w:val="20"/>
        </w:rPr>
        <w:t>I. Cuando el deudor reintegre o repare la totalidad de los daños y perjuicios causados al patrimonio o a la hacienda pública de los sujetos de fiscalización, previo al ejercicio de las acciones civiles;</w:t>
      </w:r>
    </w:p>
    <w:p w:rsidRPr="00D07BF9" w:rsidR="00D07BF9" w:rsidP="00D07BF9" w:rsidRDefault="00D07BF9" w14:paraId="58C2BAD3" w14:textId="77777777">
      <w:pPr>
        <w:pStyle w:val="Estilo"/>
        <w:rPr>
          <w:rFonts w:ascii="Verdana" w:hAnsi="Verdana"/>
          <w:sz w:val="20"/>
          <w:szCs w:val="20"/>
        </w:rPr>
      </w:pPr>
    </w:p>
    <w:p w:rsidRPr="00D07BF9" w:rsidR="00D07BF9" w:rsidP="00D07BF9" w:rsidRDefault="00D07BF9" w14:paraId="41860D1D" w14:textId="77777777">
      <w:pPr>
        <w:pStyle w:val="Estilo"/>
        <w:rPr>
          <w:rFonts w:ascii="Verdana" w:hAnsi="Verdana"/>
          <w:sz w:val="20"/>
          <w:szCs w:val="20"/>
        </w:rPr>
      </w:pPr>
      <w:r w:rsidRPr="00D07BF9">
        <w:rPr>
          <w:rFonts w:ascii="Verdana" w:hAnsi="Verdana"/>
          <w:sz w:val="20"/>
          <w:szCs w:val="20"/>
        </w:rPr>
        <w:t>II. Por incosteabilidad en la recuperación de los daños y perjuicios, previo a ejercer la acción civil, en los supuestos siguientes:</w:t>
      </w:r>
    </w:p>
    <w:p w:rsidRPr="00D07BF9" w:rsidR="00D07BF9" w:rsidP="00D07BF9" w:rsidRDefault="00D07BF9" w14:paraId="4EB1F0EB" w14:textId="77777777">
      <w:pPr>
        <w:pStyle w:val="Estilo"/>
        <w:rPr>
          <w:rFonts w:ascii="Verdana" w:hAnsi="Verdana"/>
          <w:sz w:val="20"/>
          <w:szCs w:val="20"/>
        </w:rPr>
      </w:pPr>
    </w:p>
    <w:p w:rsidRPr="00D07BF9" w:rsidR="00D07BF9" w:rsidP="00D07BF9" w:rsidRDefault="00D07BF9" w14:paraId="1B7449FB" w14:textId="77777777">
      <w:pPr>
        <w:pStyle w:val="Estilo"/>
        <w:rPr>
          <w:rFonts w:ascii="Verdana" w:hAnsi="Verdana"/>
          <w:sz w:val="20"/>
          <w:szCs w:val="20"/>
        </w:rPr>
      </w:pPr>
      <w:r w:rsidRPr="00D07BF9">
        <w:rPr>
          <w:rFonts w:ascii="Verdana" w:hAnsi="Verdana"/>
          <w:sz w:val="20"/>
          <w:szCs w:val="20"/>
        </w:rPr>
        <w:t>a) El deudor hubiera fallecido; o</w:t>
      </w:r>
    </w:p>
    <w:p w:rsidRPr="00D07BF9" w:rsidR="00D07BF9" w:rsidP="00D07BF9" w:rsidRDefault="00D07BF9" w14:paraId="5746D728" w14:textId="77777777">
      <w:pPr>
        <w:pStyle w:val="Estilo"/>
        <w:rPr>
          <w:rFonts w:ascii="Verdana" w:hAnsi="Verdana"/>
          <w:sz w:val="20"/>
          <w:szCs w:val="20"/>
        </w:rPr>
      </w:pPr>
    </w:p>
    <w:p w:rsidRPr="00D07BF9" w:rsidR="00D07BF9" w:rsidP="00D07BF9" w:rsidRDefault="00D07BF9" w14:paraId="53B9037B" w14:textId="77777777">
      <w:pPr>
        <w:pStyle w:val="Estilo"/>
        <w:rPr>
          <w:rFonts w:ascii="Verdana" w:hAnsi="Verdana"/>
          <w:sz w:val="20"/>
          <w:szCs w:val="20"/>
        </w:rPr>
      </w:pPr>
      <w:r w:rsidRPr="00D07BF9">
        <w:rPr>
          <w:rFonts w:ascii="Verdana" w:hAnsi="Verdana"/>
          <w:sz w:val="20"/>
          <w:szCs w:val="20"/>
        </w:rPr>
        <w:t>b) Exista sentencia que determine en estado de quiebra al deudor, así como declaratoria de insolvencia por procedimiento de concurso;</w:t>
      </w:r>
    </w:p>
    <w:p w:rsidRPr="00D07BF9" w:rsidR="00D07BF9" w:rsidP="00D07BF9" w:rsidRDefault="00D07BF9" w14:paraId="7BC75960" w14:textId="77777777">
      <w:pPr>
        <w:pStyle w:val="Estilo"/>
        <w:rPr>
          <w:rFonts w:ascii="Verdana" w:hAnsi="Verdana"/>
          <w:sz w:val="20"/>
          <w:szCs w:val="20"/>
        </w:rPr>
      </w:pPr>
    </w:p>
    <w:p w:rsidRPr="00D07BF9" w:rsidR="00D07BF9" w:rsidP="00D07BF9" w:rsidRDefault="00D07BF9" w14:paraId="29BCB3F5" w14:textId="77777777">
      <w:pPr>
        <w:pStyle w:val="Estilo"/>
        <w:rPr>
          <w:rFonts w:ascii="Verdana" w:hAnsi="Verdana"/>
          <w:sz w:val="20"/>
          <w:szCs w:val="20"/>
        </w:rPr>
      </w:pPr>
      <w:r w:rsidRPr="00D07BF9">
        <w:rPr>
          <w:rFonts w:ascii="Verdana" w:hAnsi="Verdana"/>
          <w:sz w:val="20"/>
          <w:szCs w:val="20"/>
        </w:rPr>
        <w:t>III. También procederá la incosteabilidad durante el procedimiento y previo a la práctica del emplazamiento al deudor, en los supuestos de la fracción II, así como cuando no haya podido ser localizado el deudor dentro del procedimiento; y</w:t>
      </w:r>
    </w:p>
    <w:p w:rsidRPr="00D07BF9" w:rsidR="00D07BF9" w:rsidP="00D07BF9" w:rsidRDefault="00D07BF9" w14:paraId="4750900D" w14:textId="77777777">
      <w:pPr>
        <w:pStyle w:val="Estilo"/>
        <w:rPr>
          <w:rFonts w:ascii="Verdana" w:hAnsi="Verdana"/>
          <w:sz w:val="20"/>
          <w:szCs w:val="20"/>
        </w:rPr>
      </w:pPr>
    </w:p>
    <w:p w:rsidRPr="00D07BF9" w:rsidR="00D07BF9" w:rsidP="00D07BF9" w:rsidRDefault="00D07BF9" w14:paraId="78B31896" w14:textId="77777777">
      <w:pPr>
        <w:pStyle w:val="Estilo"/>
        <w:rPr>
          <w:rFonts w:ascii="Verdana" w:hAnsi="Verdana"/>
          <w:sz w:val="20"/>
          <w:szCs w:val="20"/>
        </w:rPr>
      </w:pPr>
      <w:r w:rsidRPr="00D07BF9">
        <w:rPr>
          <w:rFonts w:ascii="Verdana" w:hAnsi="Verdana"/>
          <w:sz w:val="20"/>
          <w:szCs w:val="20"/>
        </w:rPr>
        <w:t>IV. Por incobrabilidad, una vez que ya exista sentencia favorable, cuando en la ejecución de sentencia se actualicen los supuestos previstos en la fracción II.</w:t>
      </w:r>
    </w:p>
    <w:p w:rsidRPr="00D07BF9" w:rsidR="00D07BF9" w:rsidP="00D07BF9" w:rsidRDefault="00D07BF9" w14:paraId="09C338D8" w14:textId="77777777">
      <w:pPr>
        <w:pStyle w:val="Estilo"/>
        <w:rPr>
          <w:rFonts w:ascii="Verdana" w:hAnsi="Verdana"/>
          <w:sz w:val="20"/>
          <w:szCs w:val="20"/>
        </w:rPr>
      </w:pPr>
    </w:p>
    <w:p w:rsidRPr="00D07BF9" w:rsidR="00D07BF9" w:rsidP="007D6808" w:rsidRDefault="00D07BF9" w14:paraId="21685DCF" w14:textId="77777777">
      <w:pPr>
        <w:pStyle w:val="Estilo"/>
        <w:jc w:val="right"/>
        <w:rPr>
          <w:rFonts w:ascii="Verdana" w:hAnsi="Verdana"/>
          <w:sz w:val="20"/>
          <w:szCs w:val="20"/>
        </w:rPr>
      </w:pPr>
      <w:r w:rsidRPr="00D07BF9">
        <w:rPr>
          <w:rFonts w:ascii="Verdana" w:hAnsi="Verdana"/>
          <w:sz w:val="20"/>
          <w:szCs w:val="20"/>
        </w:rPr>
        <w:t>(REFORMADO, P.O. 1 DE JULIO DE 2016)</w:t>
      </w:r>
    </w:p>
    <w:p w:rsidRPr="00D07BF9" w:rsidR="00D07BF9" w:rsidP="00D07BF9" w:rsidRDefault="00D07BF9" w14:paraId="3BE38F8A" w14:textId="77777777">
      <w:pPr>
        <w:pStyle w:val="Estilo"/>
        <w:rPr>
          <w:rFonts w:ascii="Verdana" w:hAnsi="Verdana"/>
          <w:sz w:val="20"/>
          <w:szCs w:val="20"/>
        </w:rPr>
      </w:pPr>
      <w:r w:rsidRPr="00D07BF9">
        <w:rPr>
          <w:rFonts w:ascii="Verdana" w:hAnsi="Verdana"/>
          <w:sz w:val="20"/>
          <w:szCs w:val="20"/>
        </w:rPr>
        <w:t>En los casos previstos en las fracciones II y III de este artículo, el daño causado al patrimonio o a la hacienda pública, no deberá exceder de doscientas veces la Unidad de Medida y Actualización diaria, vigente al momento que se haya emitido el acuerdo.</w:t>
      </w:r>
    </w:p>
    <w:p w:rsidRPr="00D07BF9" w:rsidR="00D07BF9" w:rsidP="00D07BF9" w:rsidRDefault="00D07BF9" w14:paraId="24066399" w14:textId="77777777">
      <w:pPr>
        <w:pStyle w:val="Estilo"/>
        <w:rPr>
          <w:rFonts w:ascii="Verdana" w:hAnsi="Verdana"/>
          <w:sz w:val="20"/>
          <w:szCs w:val="20"/>
        </w:rPr>
      </w:pPr>
    </w:p>
    <w:p w:rsidRPr="00D07BF9" w:rsidR="00D07BF9" w:rsidP="00D07BF9" w:rsidRDefault="00D07BF9" w14:paraId="24279C7B" w14:textId="77777777">
      <w:pPr>
        <w:pStyle w:val="Estilo"/>
        <w:rPr>
          <w:rFonts w:ascii="Verdana" w:hAnsi="Verdana"/>
          <w:sz w:val="20"/>
          <w:szCs w:val="20"/>
        </w:rPr>
      </w:pPr>
      <w:r w:rsidRPr="00D07BF9">
        <w:rPr>
          <w:rFonts w:ascii="Verdana" w:hAnsi="Verdana"/>
          <w:sz w:val="20"/>
          <w:szCs w:val="20"/>
        </w:rPr>
        <w:lastRenderedPageBreak/>
        <w:t>Para los casos anteriores, el sujeto de fiscalización deberá efectuar el dictamen correspondiente, en donde se justifiquen con el soporte documental pertinente, las acciones o circunstancias que respalden los supuestos sobre los cuales se determinará el no ejercicio o la no ejecución de la acción civil sobre los probables responsables.</w:t>
      </w:r>
    </w:p>
    <w:p w:rsidRPr="00D07BF9" w:rsidR="00D07BF9" w:rsidP="00D07BF9" w:rsidRDefault="00D07BF9" w14:paraId="1EAAE17E" w14:textId="77777777">
      <w:pPr>
        <w:pStyle w:val="Estilo"/>
        <w:rPr>
          <w:rFonts w:ascii="Verdana" w:hAnsi="Verdana"/>
          <w:sz w:val="20"/>
          <w:szCs w:val="20"/>
        </w:rPr>
      </w:pPr>
    </w:p>
    <w:p w:rsidRPr="00D07BF9" w:rsidR="00D07BF9" w:rsidP="00D07BF9" w:rsidRDefault="00D07BF9" w14:paraId="1C996B34" w14:textId="77777777">
      <w:pPr>
        <w:pStyle w:val="Estilo"/>
        <w:rPr>
          <w:rFonts w:ascii="Verdana" w:hAnsi="Verdana"/>
          <w:sz w:val="20"/>
          <w:szCs w:val="20"/>
        </w:rPr>
      </w:pPr>
      <w:r w:rsidRPr="00D07BF9">
        <w:rPr>
          <w:rFonts w:ascii="Verdana" w:hAnsi="Verdana"/>
          <w:sz w:val="20"/>
          <w:szCs w:val="20"/>
        </w:rPr>
        <w:t>De los asuntos civiles competencia de la Auditoría Superior, el dictamen deberá suscribirse por el Auditor Superior e informará de ello al Pleno del Congreso. En los asuntos competencia de los sujetos de fiscalización deberá suscribirse por el titular del sujeto de fiscalización y validarse por el titular del órgano de control para justificar su procedencia y se informará de ello al Congreso.</w:t>
      </w:r>
    </w:p>
    <w:p w:rsidRPr="00D07BF9" w:rsidR="00D07BF9" w:rsidP="00D07BF9" w:rsidRDefault="00D07BF9" w14:paraId="44B267DB" w14:textId="77777777">
      <w:pPr>
        <w:pStyle w:val="Estilo"/>
        <w:rPr>
          <w:rFonts w:ascii="Verdana" w:hAnsi="Verdana"/>
          <w:sz w:val="20"/>
          <w:szCs w:val="20"/>
        </w:rPr>
      </w:pPr>
    </w:p>
    <w:p w:rsidRPr="00D07BF9" w:rsidR="00D07BF9" w:rsidP="00D07BF9" w:rsidRDefault="00D07BF9" w14:paraId="0B471EB8" w14:textId="77777777">
      <w:pPr>
        <w:pStyle w:val="Estilo"/>
        <w:rPr>
          <w:rFonts w:ascii="Verdana" w:hAnsi="Verdana"/>
          <w:sz w:val="20"/>
          <w:szCs w:val="20"/>
        </w:rPr>
      </w:pPr>
    </w:p>
    <w:p w:rsidRPr="007D6808" w:rsidR="00D07BF9" w:rsidP="007D6808" w:rsidRDefault="00D07BF9" w14:paraId="42722A5F" w14:textId="77777777">
      <w:pPr>
        <w:pStyle w:val="Estilo"/>
        <w:jc w:val="center"/>
        <w:rPr>
          <w:rFonts w:ascii="Verdana" w:hAnsi="Verdana"/>
          <w:b/>
          <w:bCs/>
          <w:sz w:val="20"/>
          <w:szCs w:val="20"/>
        </w:rPr>
      </w:pPr>
      <w:r w:rsidRPr="007D6808">
        <w:rPr>
          <w:rFonts w:ascii="Verdana" w:hAnsi="Verdana"/>
          <w:b/>
          <w:bCs/>
          <w:sz w:val="20"/>
          <w:szCs w:val="20"/>
        </w:rPr>
        <w:t>Capítulo X</w:t>
      </w:r>
    </w:p>
    <w:p w:rsidRPr="007D6808" w:rsidR="00D07BF9" w:rsidP="007D6808" w:rsidRDefault="00D07BF9" w14:paraId="44392219" w14:textId="77777777">
      <w:pPr>
        <w:pStyle w:val="Estilo"/>
        <w:jc w:val="center"/>
        <w:rPr>
          <w:rFonts w:ascii="Verdana" w:hAnsi="Verdana"/>
          <w:b/>
          <w:bCs/>
          <w:sz w:val="20"/>
          <w:szCs w:val="20"/>
        </w:rPr>
      </w:pPr>
      <w:r w:rsidRPr="007D6808">
        <w:rPr>
          <w:rFonts w:ascii="Verdana" w:hAnsi="Verdana"/>
          <w:b/>
          <w:bCs/>
          <w:sz w:val="20"/>
          <w:szCs w:val="20"/>
        </w:rPr>
        <w:t>Denuncias Administrativas</w:t>
      </w:r>
    </w:p>
    <w:p w:rsidRPr="00D07BF9" w:rsidR="00D07BF9" w:rsidP="00D07BF9" w:rsidRDefault="00D07BF9" w14:paraId="5EDE03EE" w14:textId="77777777">
      <w:pPr>
        <w:pStyle w:val="Estilo"/>
        <w:rPr>
          <w:rFonts w:ascii="Verdana" w:hAnsi="Verdana"/>
          <w:sz w:val="20"/>
          <w:szCs w:val="20"/>
        </w:rPr>
      </w:pPr>
    </w:p>
    <w:p w:rsidRPr="007D6808" w:rsidR="00D07BF9" w:rsidP="007D6808" w:rsidRDefault="00D07BF9" w14:paraId="06499C0E" w14:textId="77777777">
      <w:pPr>
        <w:pStyle w:val="Estilo"/>
        <w:jc w:val="right"/>
        <w:rPr>
          <w:rFonts w:ascii="Verdana" w:hAnsi="Verdana"/>
          <w:b/>
          <w:bCs/>
          <w:sz w:val="20"/>
          <w:szCs w:val="20"/>
        </w:rPr>
      </w:pPr>
      <w:r w:rsidRPr="007D6808">
        <w:rPr>
          <w:rFonts w:ascii="Verdana" w:hAnsi="Verdana"/>
          <w:b/>
          <w:bCs/>
          <w:sz w:val="20"/>
          <w:szCs w:val="20"/>
        </w:rPr>
        <w:t>Presentación</w:t>
      </w:r>
    </w:p>
    <w:p w:rsidRPr="00D07BF9" w:rsidR="00D07BF9" w:rsidP="00D07BF9" w:rsidRDefault="00D07BF9" w14:paraId="50F4695A" w14:textId="77777777">
      <w:pPr>
        <w:pStyle w:val="Estilo"/>
        <w:rPr>
          <w:rFonts w:ascii="Verdana" w:hAnsi="Verdana"/>
          <w:sz w:val="20"/>
          <w:szCs w:val="20"/>
        </w:rPr>
      </w:pPr>
      <w:r w:rsidRPr="00D07BF9">
        <w:rPr>
          <w:rFonts w:ascii="Verdana" w:hAnsi="Verdana"/>
          <w:sz w:val="20"/>
          <w:szCs w:val="20"/>
        </w:rPr>
        <w:t>Artículo 71. Si la responsabilidad fuese de carácter administrativo, el Auditor Superior promoverá las denuncias correspondientes ante los órganos de control para que se les dé trámite y en su oportunidad se aplique la sanción que corresponda.</w:t>
      </w:r>
    </w:p>
    <w:p w:rsidRPr="00D07BF9" w:rsidR="00D07BF9" w:rsidP="00D07BF9" w:rsidRDefault="00D07BF9" w14:paraId="4B7A783D" w14:textId="77777777">
      <w:pPr>
        <w:pStyle w:val="Estilo"/>
        <w:rPr>
          <w:rFonts w:ascii="Verdana" w:hAnsi="Verdana"/>
          <w:sz w:val="20"/>
          <w:szCs w:val="20"/>
        </w:rPr>
      </w:pPr>
    </w:p>
    <w:p w:rsidRPr="007D6808" w:rsidR="00D07BF9" w:rsidP="007D6808" w:rsidRDefault="00D07BF9" w14:paraId="34638E22" w14:textId="77777777">
      <w:pPr>
        <w:pStyle w:val="Estilo"/>
        <w:jc w:val="right"/>
        <w:rPr>
          <w:rFonts w:ascii="Verdana" w:hAnsi="Verdana"/>
          <w:b/>
          <w:bCs/>
          <w:sz w:val="20"/>
          <w:szCs w:val="20"/>
        </w:rPr>
      </w:pPr>
      <w:r w:rsidRPr="007D6808">
        <w:rPr>
          <w:rFonts w:ascii="Verdana" w:hAnsi="Verdana"/>
          <w:b/>
          <w:bCs/>
          <w:sz w:val="20"/>
          <w:szCs w:val="20"/>
        </w:rPr>
        <w:t>Solicitud de información a los órganos de control</w:t>
      </w:r>
    </w:p>
    <w:p w:rsidRPr="00D07BF9" w:rsidR="00D07BF9" w:rsidP="00D07BF9" w:rsidRDefault="00D07BF9" w14:paraId="6A507D40" w14:textId="77777777">
      <w:pPr>
        <w:pStyle w:val="Estilo"/>
        <w:rPr>
          <w:rFonts w:ascii="Verdana" w:hAnsi="Verdana"/>
          <w:sz w:val="20"/>
          <w:szCs w:val="20"/>
        </w:rPr>
      </w:pPr>
      <w:r w:rsidRPr="00D07BF9">
        <w:rPr>
          <w:rFonts w:ascii="Verdana" w:hAnsi="Verdana"/>
          <w:sz w:val="20"/>
          <w:szCs w:val="20"/>
        </w:rPr>
        <w:t>Artículo 72. La Auditoría Superior solicitará a los órganos de control información relativa a los procedimientos de responsabilidad administrativa que se hayan iniciado derivados del proceso de fiscalización regulado en esta ley.</w:t>
      </w:r>
    </w:p>
    <w:p w:rsidRPr="00D07BF9" w:rsidR="00D07BF9" w:rsidP="00D07BF9" w:rsidRDefault="00D07BF9" w14:paraId="2CE1E45B" w14:textId="77777777">
      <w:pPr>
        <w:pStyle w:val="Estilo"/>
        <w:rPr>
          <w:rFonts w:ascii="Verdana" w:hAnsi="Verdana"/>
          <w:sz w:val="20"/>
          <w:szCs w:val="20"/>
        </w:rPr>
      </w:pPr>
    </w:p>
    <w:p w:rsidRPr="00D07BF9" w:rsidR="00D07BF9" w:rsidP="00D07BF9" w:rsidRDefault="00D07BF9" w14:paraId="7102444F" w14:textId="77777777">
      <w:pPr>
        <w:pStyle w:val="Estilo"/>
        <w:rPr>
          <w:rFonts w:ascii="Verdana" w:hAnsi="Verdana"/>
          <w:sz w:val="20"/>
          <w:szCs w:val="20"/>
        </w:rPr>
      </w:pPr>
    </w:p>
    <w:p w:rsidRPr="007D6808" w:rsidR="00D07BF9" w:rsidP="007D6808" w:rsidRDefault="00D07BF9" w14:paraId="7F036EF3" w14:textId="77777777">
      <w:pPr>
        <w:pStyle w:val="Estilo"/>
        <w:jc w:val="center"/>
        <w:rPr>
          <w:rFonts w:ascii="Verdana" w:hAnsi="Verdana"/>
          <w:b/>
          <w:bCs/>
          <w:sz w:val="20"/>
          <w:szCs w:val="20"/>
        </w:rPr>
      </w:pPr>
      <w:r w:rsidRPr="007D6808">
        <w:rPr>
          <w:rFonts w:ascii="Verdana" w:hAnsi="Verdana"/>
          <w:b/>
          <w:bCs/>
          <w:sz w:val="20"/>
          <w:szCs w:val="20"/>
        </w:rPr>
        <w:t>Capítulo XI</w:t>
      </w:r>
    </w:p>
    <w:p w:rsidRPr="007D6808" w:rsidR="00D07BF9" w:rsidP="007D6808" w:rsidRDefault="00D07BF9" w14:paraId="25EF9DD9" w14:textId="77777777">
      <w:pPr>
        <w:pStyle w:val="Estilo"/>
        <w:jc w:val="center"/>
        <w:rPr>
          <w:rFonts w:ascii="Verdana" w:hAnsi="Verdana"/>
          <w:b/>
          <w:bCs/>
          <w:sz w:val="20"/>
          <w:szCs w:val="20"/>
        </w:rPr>
      </w:pPr>
      <w:r w:rsidRPr="007D6808">
        <w:rPr>
          <w:rFonts w:ascii="Verdana" w:hAnsi="Verdana"/>
          <w:b/>
          <w:bCs/>
          <w:sz w:val="20"/>
          <w:szCs w:val="20"/>
        </w:rPr>
        <w:t>Denuncias Penales</w:t>
      </w:r>
    </w:p>
    <w:p w:rsidRPr="00D07BF9" w:rsidR="00D07BF9" w:rsidP="00D07BF9" w:rsidRDefault="00D07BF9" w14:paraId="74874221" w14:textId="77777777">
      <w:pPr>
        <w:pStyle w:val="Estilo"/>
        <w:rPr>
          <w:rFonts w:ascii="Verdana" w:hAnsi="Verdana"/>
          <w:sz w:val="20"/>
          <w:szCs w:val="20"/>
        </w:rPr>
      </w:pPr>
    </w:p>
    <w:p w:rsidRPr="007D6808" w:rsidR="00D07BF9" w:rsidP="007D6808" w:rsidRDefault="00D07BF9" w14:paraId="0400E3F4" w14:textId="77777777">
      <w:pPr>
        <w:pStyle w:val="Estilo"/>
        <w:jc w:val="right"/>
        <w:rPr>
          <w:rFonts w:ascii="Verdana" w:hAnsi="Verdana"/>
          <w:b/>
          <w:bCs/>
          <w:sz w:val="20"/>
          <w:szCs w:val="20"/>
        </w:rPr>
      </w:pPr>
      <w:r w:rsidRPr="007D6808">
        <w:rPr>
          <w:rFonts w:ascii="Verdana" w:hAnsi="Verdana"/>
          <w:b/>
          <w:bCs/>
          <w:sz w:val="20"/>
          <w:szCs w:val="20"/>
        </w:rPr>
        <w:t>Ejercicio de la acción</w:t>
      </w:r>
    </w:p>
    <w:p w:rsidRPr="00D07BF9" w:rsidR="00D07BF9" w:rsidP="00D07BF9" w:rsidRDefault="00D07BF9" w14:paraId="3135B3C6" w14:textId="77777777">
      <w:pPr>
        <w:pStyle w:val="Estilo"/>
        <w:rPr>
          <w:rFonts w:ascii="Verdana" w:hAnsi="Verdana"/>
          <w:sz w:val="20"/>
          <w:szCs w:val="20"/>
        </w:rPr>
      </w:pPr>
      <w:r w:rsidRPr="00D07BF9">
        <w:rPr>
          <w:rFonts w:ascii="Verdana" w:hAnsi="Verdana"/>
          <w:sz w:val="20"/>
          <w:szCs w:val="20"/>
        </w:rPr>
        <w:t>Artículo 73. Si del informe de resultados una vez emitido el acuerdo por el Congreso, se desprenden hechos que hagan presumir la existencia de un delito y la probable responsabilidad de alguna o algunas personas en su comisión, el Auditor Superior procederá a presentar la denuncia o querella ante el Ministerio Público coadyuvando con la autoridad en la investigación.</w:t>
      </w:r>
    </w:p>
    <w:p w:rsidRPr="00D07BF9" w:rsidR="00D07BF9" w:rsidP="00D07BF9" w:rsidRDefault="00D07BF9" w14:paraId="743E8C3E" w14:textId="77777777">
      <w:pPr>
        <w:pStyle w:val="Estilo"/>
        <w:rPr>
          <w:rFonts w:ascii="Verdana" w:hAnsi="Verdana"/>
          <w:sz w:val="20"/>
          <w:szCs w:val="20"/>
        </w:rPr>
      </w:pPr>
    </w:p>
    <w:p w:rsidRPr="007D6808" w:rsidR="00D07BF9" w:rsidP="007D6808" w:rsidRDefault="00D07BF9" w14:paraId="1E971425" w14:textId="77777777">
      <w:pPr>
        <w:pStyle w:val="Estilo"/>
        <w:jc w:val="right"/>
        <w:rPr>
          <w:rFonts w:ascii="Verdana" w:hAnsi="Verdana"/>
          <w:b/>
          <w:bCs/>
          <w:sz w:val="20"/>
          <w:szCs w:val="20"/>
        </w:rPr>
      </w:pPr>
      <w:r w:rsidRPr="007D6808">
        <w:rPr>
          <w:rFonts w:ascii="Verdana" w:hAnsi="Verdana"/>
          <w:b/>
          <w:bCs/>
          <w:sz w:val="20"/>
          <w:szCs w:val="20"/>
        </w:rPr>
        <w:t>Presentación de denuncias</w:t>
      </w:r>
    </w:p>
    <w:p w:rsidRPr="00D07BF9" w:rsidR="00D07BF9" w:rsidP="00D07BF9" w:rsidRDefault="00D07BF9" w14:paraId="24EC9F64" w14:textId="77777777">
      <w:pPr>
        <w:pStyle w:val="Estilo"/>
        <w:rPr>
          <w:rFonts w:ascii="Verdana" w:hAnsi="Verdana"/>
          <w:sz w:val="20"/>
          <w:szCs w:val="20"/>
        </w:rPr>
      </w:pPr>
      <w:r w:rsidRPr="00D07BF9">
        <w:rPr>
          <w:rFonts w:ascii="Verdana" w:hAnsi="Verdana"/>
          <w:sz w:val="20"/>
          <w:szCs w:val="20"/>
        </w:rPr>
        <w:t>Artículo 74. Cuando durante el proceso de la auditoría se detecten elementos que acrediten algún ilícito penal, la Auditoría Superior promoverá para que los sujetos de fiscalización presenten las denuncias penales ante las instancias correspondientes.</w:t>
      </w:r>
    </w:p>
    <w:p w:rsidRPr="00D07BF9" w:rsidR="00D07BF9" w:rsidP="00D07BF9" w:rsidRDefault="00D07BF9" w14:paraId="24AB91E7" w14:textId="77777777">
      <w:pPr>
        <w:pStyle w:val="Estilo"/>
        <w:rPr>
          <w:rFonts w:ascii="Verdana" w:hAnsi="Verdana"/>
          <w:sz w:val="20"/>
          <w:szCs w:val="20"/>
        </w:rPr>
      </w:pPr>
    </w:p>
    <w:p w:rsidRPr="00D07BF9" w:rsidR="00D07BF9" w:rsidP="00D07BF9" w:rsidRDefault="00D07BF9" w14:paraId="650904D6" w14:textId="77777777">
      <w:pPr>
        <w:pStyle w:val="Estilo"/>
        <w:rPr>
          <w:rFonts w:ascii="Verdana" w:hAnsi="Verdana"/>
          <w:sz w:val="20"/>
          <w:szCs w:val="20"/>
        </w:rPr>
      </w:pPr>
    </w:p>
    <w:p w:rsidRPr="007D6808" w:rsidR="00D07BF9" w:rsidP="007D6808" w:rsidRDefault="00D07BF9" w14:paraId="260B6F3E" w14:textId="77777777">
      <w:pPr>
        <w:pStyle w:val="Estilo"/>
        <w:jc w:val="center"/>
        <w:rPr>
          <w:rFonts w:ascii="Verdana" w:hAnsi="Verdana"/>
          <w:b/>
          <w:bCs/>
          <w:sz w:val="20"/>
          <w:szCs w:val="20"/>
        </w:rPr>
      </w:pPr>
      <w:r w:rsidRPr="007D6808">
        <w:rPr>
          <w:rFonts w:ascii="Verdana" w:hAnsi="Verdana"/>
          <w:b/>
          <w:bCs/>
          <w:sz w:val="20"/>
          <w:szCs w:val="20"/>
        </w:rPr>
        <w:t>Capítulo XII</w:t>
      </w:r>
    </w:p>
    <w:p w:rsidRPr="007D6808" w:rsidR="00D07BF9" w:rsidP="007D6808" w:rsidRDefault="00D07BF9" w14:paraId="5AFB0D02" w14:textId="77777777">
      <w:pPr>
        <w:pStyle w:val="Estilo"/>
        <w:jc w:val="center"/>
        <w:rPr>
          <w:rFonts w:ascii="Verdana" w:hAnsi="Verdana"/>
          <w:b/>
          <w:bCs/>
          <w:sz w:val="20"/>
          <w:szCs w:val="20"/>
        </w:rPr>
      </w:pPr>
      <w:r w:rsidRPr="007D6808">
        <w:rPr>
          <w:rFonts w:ascii="Verdana" w:hAnsi="Verdana"/>
          <w:b/>
          <w:bCs/>
          <w:sz w:val="20"/>
          <w:szCs w:val="20"/>
        </w:rPr>
        <w:t>Medidas de Apremio</w:t>
      </w:r>
    </w:p>
    <w:p w:rsidRPr="00D07BF9" w:rsidR="00D07BF9" w:rsidP="00D07BF9" w:rsidRDefault="00D07BF9" w14:paraId="6C2EFBE3" w14:textId="77777777">
      <w:pPr>
        <w:pStyle w:val="Estilo"/>
        <w:rPr>
          <w:rFonts w:ascii="Verdana" w:hAnsi="Verdana"/>
          <w:sz w:val="20"/>
          <w:szCs w:val="20"/>
        </w:rPr>
      </w:pPr>
    </w:p>
    <w:p w:rsidRPr="007D6808" w:rsidR="00D07BF9" w:rsidP="007D6808" w:rsidRDefault="00D07BF9" w14:paraId="61821E76" w14:textId="77777777">
      <w:pPr>
        <w:pStyle w:val="Estilo"/>
        <w:jc w:val="right"/>
        <w:rPr>
          <w:rFonts w:ascii="Verdana" w:hAnsi="Verdana"/>
          <w:b/>
          <w:bCs/>
          <w:sz w:val="20"/>
          <w:szCs w:val="20"/>
        </w:rPr>
      </w:pPr>
      <w:r w:rsidRPr="007D6808">
        <w:rPr>
          <w:rFonts w:ascii="Verdana" w:hAnsi="Verdana"/>
          <w:b/>
          <w:bCs/>
          <w:sz w:val="20"/>
          <w:szCs w:val="20"/>
        </w:rPr>
        <w:t>Medidas de apremio</w:t>
      </w:r>
    </w:p>
    <w:p w:rsidRPr="00D07BF9" w:rsidR="00D07BF9" w:rsidP="00D07BF9" w:rsidRDefault="00D07BF9" w14:paraId="57D77D64" w14:textId="77777777">
      <w:pPr>
        <w:pStyle w:val="Estilo"/>
        <w:rPr>
          <w:rFonts w:ascii="Verdana" w:hAnsi="Verdana"/>
          <w:sz w:val="20"/>
          <w:szCs w:val="20"/>
        </w:rPr>
      </w:pPr>
      <w:r w:rsidRPr="00D07BF9">
        <w:rPr>
          <w:rFonts w:ascii="Verdana" w:hAnsi="Verdana"/>
          <w:sz w:val="20"/>
          <w:szCs w:val="20"/>
        </w:rPr>
        <w:t>Artículo 75. La Auditoría Superior para hacer cumplir sus requerimientos formulados a los sujetos de fiscalización, contará con las siguientes medidas de apremio:</w:t>
      </w:r>
    </w:p>
    <w:p w:rsidRPr="00D07BF9" w:rsidR="00D07BF9" w:rsidP="00D07BF9" w:rsidRDefault="00D07BF9" w14:paraId="00F24E15" w14:textId="77777777">
      <w:pPr>
        <w:pStyle w:val="Estilo"/>
        <w:rPr>
          <w:rFonts w:ascii="Verdana" w:hAnsi="Verdana"/>
          <w:sz w:val="20"/>
          <w:szCs w:val="20"/>
        </w:rPr>
      </w:pPr>
    </w:p>
    <w:p w:rsidRPr="00D07BF9" w:rsidR="00D07BF9" w:rsidP="00D07BF9" w:rsidRDefault="00D07BF9" w14:paraId="6AAA2C8E" w14:textId="77777777">
      <w:pPr>
        <w:pStyle w:val="Estilo"/>
        <w:rPr>
          <w:rFonts w:ascii="Verdana" w:hAnsi="Verdana"/>
          <w:sz w:val="20"/>
          <w:szCs w:val="20"/>
        </w:rPr>
      </w:pPr>
      <w:r w:rsidRPr="00D07BF9">
        <w:rPr>
          <w:rFonts w:ascii="Verdana" w:hAnsi="Verdana"/>
          <w:sz w:val="20"/>
          <w:szCs w:val="20"/>
        </w:rPr>
        <w:t>a) Multa;</w:t>
      </w:r>
    </w:p>
    <w:p w:rsidRPr="00D07BF9" w:rsidR="00D07BF9" w:rsidP="00D07BF9" w:rsidRDefault="00D07BF9" w14:paraId="1D7C34E2" w14:textId="77777777">
      <w:pPr>
        <w:pStyle w:val="Estilo"/>
        <w:rPr>
          <w:rFonts w:ascii="Verdana" w:hAnsi="Verdana"/>
          <w:sz w:val="20"/>
          <w:szCs w:val="20"/>
        </w:rPr>
      </w:pPr>
    </w:p>
    <w:p w:rsidRPr="00D07BF9" w:rsidR="00D07BF9" w:rsidP="00D07BF9" w:rsidRDefault="00D07BF9" w14:paraId="41057341" w14:textId="77777777">
      <w:pPr>
        <w:pStyle w:val="Estilo"/>
        <w:rPr>
          <w:rFonts w:ascii="Verdana" w:hAnsi="Verdana"/>
          <w:sz w:val="20"/>
          <w:szCs w:val="20"/>
        </w:rPr>
      </w:pPr>
      <w:r w:rsidRPr="00D07BF9">
        <w:rPr>
          <w:rFonts w:ascii="Verdana" w:hAnsi="Verdana"/>
          <w:sz w:val="20"/>
          <w:szCs w:val="20"/>
        </w:rPr>
        <w:t>b) Uso de la fuerza pública; y</w:t>
      </w:r>
    </w:p>
    <w:p w:rsidRPr="00D07BF9" w:rsidR="00D07BF9" w:rsidP="00D07BF9" w:rsidRDefault="00D07BF9" w14:paraId="09236473" w14:textId="77777777">
      <w:pPr>
        <w:pStyle w:val="Estilo"/>
        <w:rPr>
          <w:rFonts w:ascii="Verdana" w:hAnsi="Verdana"/>
          <w:sz w:val="20"/>
          <w:szCs w:val="20"/>
        </w:rPr>
      </w:pPr>
    </w:p>
    <w:p w:rsidRPr="00D07BF9" w:rsidR="00D07BF9" w:rsidP="00D07BF9" w:rsidRDefault="00D07BF9" w14:paraId="2DD14F78" w14:textId="77777777">
      <w:pPr>
        <w:pStyle w:val="Estilo"/>
        <w:rPr>
          <w:rFonts w:ascii="Verdana" w:hAnsi="Verdana"/>
          <w:sz w:val="20"/>
          <w:szCs w:val="20"/>
        </w:rPr>
      </w:pPr>
      <w:r w:rsidRPr="00D07BF9">
        <w:rPr>
          <w:rFonts w:ascii="Verdana" w:hAnsi="Verdana"/>
          <w:sz w:val="20"/>
          <w:szCs w:val="20"/>
        </w:rPr>
        <w:lastRenderedPageBreak/>
        <w:t>c) Promoción de las responsabilidades a que haya lugar.</w:t>
      </w:r>
    </w:p>
    <w:p w:rsidRPr="00D07BF9" w:rsidR="00D07BF9" w:rsidP="00D07BF9" w:rsidRDefault="00D07BF9" w14:paraId="51E27134" w14:textId="77777777">
      <w:pPr>
        <w:pStyle w:val="Estilo"/>
        <w:rPr>
          <w:rFonts w:ascii="Verdana" w:hAnsi="Verdana"/>
          <w:sz w:val="20"/>
          <w:szCs w:val="20"/>
        </w:rPr>
      </w:pPr>
    </w:p>
    <w:p w:rsidRPr="007D6808" w:rsidR="00D07BF9" w:rsidP="007D6808" w:rsidRDefault="00D07BF9" w14:paraId="771DC416" w14:textId="77777777">
      <w:pPr>
        <w:pStyle w:val="Estilo"/>
        <w:jc w:val="right"/>
        <w:rPr>
          <w:rFonts w:ascii="Verdana" w:hAnsi="Verdana"/>
          <w:b/>
          <w:bCs/>
          <w:sz w:val="20"/>
          <w:szCs w:val="20"/>
        </w:rPr>
      </w:pPr>
      <w:r w:rsidRPr="007D6808">
        <w:rPr>
          <w:rFonts w:ascii="Verdana" w:hAnsi="Verdana"/>
          <w:b/>
          <w:bCs/>
          <w:sz w:val="20"/>
          <w:szCs w:val="20"/>
        </w:rPr>
        <w:t>Cuantía</w:t>
      </w:r>
    </w:p>
    <w:p w:rsidRPr="00D07BF9" w:rsidR="00D07BF9" w:rsidP="007D6808" w:rsidRDefault="00D07BF9" w14:paraId="4BF864EC" w14:textId="77777777">
      <w:pPr>
        <w:pStyle w:val="Estilo"/>
        <w:jc w:val="right"/>
        <w:rPr>
          <w:rFonts w:ascii="Verdana" w:hAnsi="Verdana"/>
          <w:sz w:val="20"/>
          <w:szCs w:val="20"/>
        </w:rPr>
      </w:pPr>
      <w:r w:rsidRPr="00D07BF9">
        <w:rPr>
          <w:rFonts w:ascii="Verdana" w:hAnsi="Verdana"/>
          <w:sz w:val="20"/>
          <w:szCs w:val="20"/>
        </w:rPr>
        <w:t>(REFORMADO, P.O. 1 DE JULIO DE 2016)</w:t>
      </w:r>
    </w:p>
    <w:p w:rsidRPr="00D07BF9" w:rsidR="00D07BF9" w:rsidP="00D07BF9" w:rsidRDefault="00D07BF9" w14:paraId="13447EFD" w14:textId="77777777">
      <w:pPr>
        <w:pStyle w:val="Estilo"/>
        <w:rPr>
          <w:rFonts w:ascii="Verdana" w:hAnsi="Verdana"/>
          <w:sz w:val="20"/>
          <w:szCs w:val="20"/>
        </w:rPr>
      </w:pPr>
      <w:r w:rsidRPr="00D07BF9">
        <w:rPr>
          <w:rFonts w:ascii="Verdana" w:hAnsi="Verdana"/>
          <w:sz w:val="20"/>
          <w:szCs w:val="20"/>
        </w:rPr>
        <w:t>Artículo 76. Las multas que aplique la Auditoría Superior a los servidores públicos, personas físicas o morales, cuando éstos no atiendan los requerimientos que la misma les formule, serán de cien a cuatrocientos días de la Unidad de Medida y Actualización diaria. La reincidencia se castigará con una multa de hasta el doble a la ya impuesta.</w:t>
      </w:r>
    </w:p>
    <w:p w:rsidRPr="00D07BF9" w:rsidR="00D07BF9" w:rsidP="00D07BF9" w:rsidRDefault="00D07BF9" w14:paraId="45C86DCD" w14:textId="77777777">
      <w:pPr>
        <w:pStyle w:val="Estilo"/>
        <w:rPr>
          <w:rFonts w:ascii="Verdana" w:hAnsi="Verdana"/>
          <w:sz w:val="20"/>
          <w:szCs w:val="20"/>
        </w:rPr>
      </w:pPr>
    </w:p>
    <w:p w:rsidRPr="007D6808" w:rsidR="00D07BF9" w:rsidP="007D6808" w:rsidRDefault="00D07BF9" w14:paraId="35292CA9" w14:textId="77777777">
      <w:pPr>
        <w:pStyle w:val="Estilo"/>
        <w:jc w:val="right"/>
        <w:rPr>
          <w:rFonts w:ascii="Verdana" w:hAnsi="Verdana"/>
          <w:b/>
          <w:bCs/>
          <w:sz w:val="20"/>
          <w:szCs w:val="20"/>
        </w:rPr>
      </w:pPr>
      <w:r w:rsidRPr="007D6808">
        <w:rPr>
          <w:rFonts w:ascii="Verdana" w:hAnsi="Verdana"/>
          <w:b/>
          <w:bCs/>
          <w:sz w:val="20"/>
          <w:szCs w:val="20"/>
        </w:rPr>
        <w:t>Individualización de la multa</w:t>
      </w:r>
    </w:p>
    <w:p w:rsidRPr="00D07BF9" w:rsidR="00D07BF9" w:rsidP="00D07BF9" w:rsidRDefault="00D07BF9" w14:paraId="07A32B69" w14:textId="77777777">
      <w:pPr>
        <w:pStyle w:val="Estilo"/>
        <w:rPr>
          <w:rFonts w:ascii="Verdana" w:hAnsi="Verdana"/>
          <w:sz w:val="20"/>
          <w:szCs w:val="20"/>
        </w:rPr>
      </w:pPr>
      <w:r w:rsidRPr="00D07BF9">
        <w:rPr>
          <w:rFonts w:ascii="Verdana" w:hAnsi="Verdana"/>
          <w:sz w:val="20"/>
          <w:szCs w:val="20"/>
        </w:rPr>
        <w:t>Artículo 77. La Auditoría Superior, en la imposición de la multa deberá tomar en cuenta lo siguiente:</w:t>
      </w:r>
    </w:p>
    <w:p w:rsidRPr="00D07BF9" w:rsidR="00D07BF9" w:rsidP="00D07BF9" w:rsidRDefault="00D07BF9" w14:paraId="19C510B9" w14:textId="77777777">
      <w:pPr>
        <w:pStyle w:val="Estilo"/>
        <w:rPr>
          <w:rFonts w:ascii="Verdana" w:hAnsi="Verdana"/>
          <w:sz w:val="20"/>
          <w:szCs w:val="20"/>
        </w:rPr>
      </w:pPr>
    </w:p>
    <w:p w:rsidRPr="00D07BF9" w:rsidR="00D07BF9" w:rsidP="00D07BF9" w:rsidRDefault="00D07BF9" w14:paraId="381F37D0" w14:textId="77777777">
      <w:pPr>
        <w:pStyle w:val="Estilo"/>
        <w:rPr>
          <w:rFonts w:ascii="Verdana" w:hAnsi="Verdana"/>
          <w:sz w:val="20"/>
          <w:szCs w:val="20"/>
        </w:rPr>
      </w:pPr>
      <w:r w:rsidRPr="00D07BF9">
        <w:rPr>
          <w:rFonts w:ascii="Verdana" w:hAnsi="Verdana"/>
          <w:sz w:val="20"/>
          <w:szCs w:val="20"/>
        </w:rPr>
        <w:t>I. La gravedad de la falta;</w:t>
      </w:r>
    </w:p>
    <w:p w:rsidRPr="00D07BF9" w:rsidR="00D07BF9" w:rsidP="00D07BF9" w:rsidRDefault="00D07BF9" w14:paraId="20ACFFA8" w14:textId="77777777">
      <w:pPr>
        <w:pStyle w:val="Estilo"/>
        <w:rPr>
          <w:rFonts w:ascii="Verdana" w:hAnsi="Verdana"/>
          <w:sz w:val="20"/>
          <w:szCs w:val="20"/>
        </w:rPr>
      </w:pPr>
    </w:p>
    <w:p w:rsidRPr="00D07BF9" w:rsidR="00D07BF9" w:rsidP="00D07BF9" w:rsidRDefault="00D07BF9" w14:paraId="27D88263" w14:textId="77777777">
      <w:pPr>
        <w:pStyle w:val="Estilo"/>
        <w:rPr>
          <w:rFonts w:ascii="Verdana" w:hAnsi="Verdana"/>
          <w:sz w:val="20"/>
          <w:szCs w:val="20"/>
        </w:rPr>
      </w:pPr>
      <w:r w:rsidRPr="00D07BF9">
        <w:rPr>
          <w:rFonts w:ascii="Verdana" w:hAnsi="Verdana"/>
          <w:sz w:val="20"/>
          <w:szCs w:val="20"/>
        </w:rPr>
        <w:t>II. Las condiciones económicas y grado de escolaridad del infractor.</w:t>
      </w:r>
    </w:p>
    <w:p w:rsidRPr="00D07BF9" w:rsidR="00D07BF9" w:rsidP="00D07BF9" w:rsidRDefault="00D07BF9" w14:paraId="380EC5D7" w14:textId="77777777">
      <w:pPr>
        <w:pStyle w:val="Estilo"/>
        <w:rPr>
          <w:rFonts w:ascii="Verdana" w:hAnsi="Verdana"/>
          <w:sz w:val="20"/>
          <w:szCs w:val="20"/>
        </w:rPr>
      </w:pPr>
    </w:p>
    <w:p w:rsidRPr="00D07BF9" w:rsidR="00D07BF9" w:rsidP="00D07BF9" w:rsidRDefault="00D07BF9" w14:paraId="29C89396" w14:textId="77777777">
      <w:pPr>
        <w:pStyle w:val="Estilo"/>
        <w:rPr>
          <w:rFonts w:ascii="Verdana" w:hAnsi="Verdana"/>
          <w:sz w:val="20"/>
          <w:szCs w:val="20"/>
        </w:rPr>
      </w:pPr>
      <w:r w:rsidRPr="00D07BF9">
        <w:rPr>
          <w:rFonts w:ascii="Verdana" w:hAnsi="Verdana"/>
          <w:sz w:val="20"/>
          <w:szCs w:val="20"/>
        </w:rPr>
        <w:t>Para determinar las condiciones económicas del infractor, en el supuesto de servidores públicos, funcionarios o empleados del sector privado, se atenderá a las percepciones que por cualquier concepto hayan recibido los mismos por la prestación de sus servicios a las dependencias o instituciones públicas o empresas o instituciones privadas en el año anterior al momento de cometerse la infracción. Para tal efecto, dichas dependencias, o instituciones públicas o privadas, estarán obligadas a dar esa información a la Auditoría Superior, cuando ésta así se los requiera;</w:t>
      </w:r>
    </w:p>
    <w:p w:rsidRPr="00D07BF9" w:rsidR="00D07BF9" w:rsidP="00D07BF9" w:rsidRDefault="00D07BF9" w14:paraId="0ED2AA1A" w14:textId="77777777">
      <w:pPr>
        <w:pStyle w:val="Estilo"/>
        <w:rPr>
          <w:rFonts w:ascii="Verdana" w:hAnsi="Verdana"/>
          <w:sz w:val="20"/>
          <w:szCs w:val="20"/>
        </w:rPr>
      </w:pPr>
    </w:p>
    <w:p w:rsidRPr="00D07BF9" w:rsidR="00D07BF9" w:rsidP="00D07BF9" w:rsidRDefault="00D07BF9" w14:paraId="42D45B4C" w14:textId="77777777">
      <w:pPr>
        <w:pStyle w:val="Estilo"/>
        <w:rPr>
          <w:rFonts w:ascii="Verdana" w:hAnsi="Verdana"/>
          <w:sz w:val="20"/>
          <w:szCs w:val="20"/>
        </w:rPr>
      </w:pPr>
      <w:r w:rsidRPr="00D07BF9">
        <w:rPr>
          <w:rFonts w:ascii="Verdana" w:hAnsi="Verdana"/>
          <w:sz w:val="20"/>
          <w:szCs w:val="20"/>
        </w:rPr>
        <w:t>III. El nivel jerárquico, tratándose de servidores públicos; y</w:t>
      </w:r>
    </w:p>
    <w:p w:rsidRPr="00D07BF9" w:rsidR="00D07BF9" w:rsidP="00D07BF9" w:rsidRDefault="00D07BF9" w14:paraId="67BF40C2" w14:textId="77777777">
      <w:pPr>
        <w:pStyle w:val="Estilo"/>
        <w:rPr>
          <w:rFonts w:ascii="Verdana" w:hAnsi="Verdana"/>
          <w:sz w:val="20"/>
          <w:szCs w:val="20"/>
        </w:rPr>
      </w:pPr>
    </w:p>
    <w:p w:rsidRPr="00D07BF9" w:rsidR="00D07BF9" w:rsidP="00D07BF9" w:rsidRDefault="00D07BF9" w14:paraId="2F243DA0" w14:textId="77777777">
      <w:pPr>
        <w:pStyle w:val="Estilo"/>
        <w:rPr>
          <w:rFonts w:ascii="Verdana" w:hAnsi="Verdana"/>
          <w:sz w:val="20"/>
          <w:szCs w:val="20"/>
        </w:rPr>
      </w:pPr>
      <w:r w:rsidRPr="00D07BF9">
        <w:rPr>
          <w:rFonts w:ascii="Verdana" w:hAnsi="Verdana"/>
          <w:sz w:val="20"/>
          <w:szCs w:val="20"/>
        </w:rPr>
        <w:t>IV. La reincidencia de la conducta, para la cual se sancionará con una multa hasta del doble de la ya determinada o impuesta, sin perjuicio de que se deba atender el requerimiento respectivo y se haga referencia de la conducta en el informe de resultados para la posible aplicación de las sanciones administrativas conducentes.</w:t>
      </w:r>
    </w:p>
    <w:p w:rsidRPr="00D07BF9" w:rsidR="00D07BF9" w:rsidP="00D07BF9" w:rsidRDefault="00D07BF9" w14:paraId="1C5CF33A" w14:textId="77777777">
      <w:pPr>
        <w:pStyle w:val="Estilo"/>
        <w:rPr>
          <w:rFonts w:ascii="Verdana" w:hAnsi="Verdana"/>
          <w:sz w:val="20"/>
          <w:szCs w:val="20"/>
        </w:rPr>
      </w:pPr>
    </w:p>
    <w:p w:rsidRPr="00D07BF9" w:rsidR="00D07BF9" w:rsidP="00D07BF9" w:rsidRDefault="00D07BF9" w14:paraId="34EBB237" w14:textId="77777777">
      <w:pPr>
        <w:pStyle w:val="Estilo"/>
        <w:rPr>
          <w:rFonts w:ascii="Verdana" w:hAnsi="Verdana"/>
          <w:sz w:val="20"/>
          <w:szCs w:val="20"/>
        </w:rPr>
      </w:pPr>
      <w:r w:rsidRPr="00D07BF9">
        <w:rPr>
          <w:rFonts w:ascii="Verdana" w:hAnsi="Verdana"/>
          <w:sz w:val="20"/>
          <w:szCs w:val="20"/>
        </w:rPr>
        <w:t>Se considerará reincidente, al que habiendo incurrido en una infracción y haya sido sancionado, cometa otra del mismo tipo o naturaleza.</w:t>
      </w:r>
    </w:p>
    <w:p w:rsidRPr="00D07BF9" w:rsidR="00D07BF9" w:rsidP="00D07BF9" w:rsidRDefault="00D07BF9" w14:paraId="5120C005" w14:textId="77777777">
      <w:pPr>
        <w:pStyle w:val="Estilo"/>
        <w:rPr>
          <w:rFonts w:ascii="Verdana" w:hAnsi="Verdana"/>
          <w:sz w:val="20"/>
          <w:szCs w:val="20"/>
        </w:rPr>
      </w:pPr>
    </w:p>
    <w:p w:rsidRPr="007D6808" w:rsidR="00D07BF9" w:rsidP="007D6808" w:rsidRDefault="00D07BF9" w14:paraId="70736A10" w14:textId="77777777">
      <w:pPr>
        <w:pStyle w:val="Estilo"/>
        <w:jc w:val="right"/>
        <w:rPr>
          <w:rFonts w:ascii="Verdana" w:hAnsi="Verdana"/>
          <w:b/>
          <w:bCs/>
          <w:sz w:val="20"/>
          <w:szCs w:val="20"/>
        </w:rPr>
      </w:pPr>
      <w:r w:rsidRPr="007D6808">
        <w:rPr>
          <w:rFonts w:ascii="Verdana" w:hAnsi="Verdana"/>
          <w:b/>
          <w:bCs/>
          <w:sz w:val="20"/>
          <w:szCs w:val="20"/>
        </w:rPr>
        <w:t>Improcedencia de la multa</w:t>
      </w:r>
    </w:p>
    <w:p w:rsidRPr="00D07BF9" w:rsidR="00D07BF9" w:rsidP="00D07BF9" w:rsidRDefault="00D07BF9" w14:paraId="16B8D762" w14:textId="77777777">
      <w:pPr>
        <w:pStyle w:val="Estilo"/>
        <w:rPr>
          <w:rFonts w:ascii="Verdana" w:hAnsi="Verdana"/>
          <w:sz w:val="20"/>
          <w:szCs w:val="20"/>
        </w:rPr>
      </w:pPr>
      <w:r w:rsidRPr="00D07BF9">
        <w:rPr>
          <w:rFonts w:ascii="Verdana" w:hAnsi="Verdana"/>
          <w:sz w:val="20"/>
          <w:szCs w:val="20"/>
        </w:rPr>
        <w:t>Artículo 78. No se impondrán las multas a que se refiere este capítulo, cuando se presente alguno de los siguientes supuestos:</w:t>
      </w:r>
    </w:p>
    <w:p w:rsidRPr="00D07BF9" w:rsidR="00D07BF9" w:rsidP="00D07BF9" w:rsidRDefault="00D07BF9" w14:paraId="4C2B8FE9" w14:textId="77777777">
      <w:pPr>
        <w:pStyle w:val="Estilo"/>
        <w:rPr>
          <w:rFonts w:ascii="Verdana" w:hAnsi="Verdana"/>
          <w:sz w:val="20"/>
          <w:szCs w:val="20"/>
        </w:rPr>
      </w:pPr>
    </w:p>
    <w:p w:rsidRPr="00D07BF9" w:rsidR="00D07BF9" w:rsidP="00D07BF9" w:rsidRDefault="00D07BF9" w14:paraId="3E3CB829" w14:textId="77777777">
      <w:pPr>
        <w:pStyle w:val="Estilo"/>
        <w:rPr>
          <w:rFonts w:ascii="Verdana" w:hAnsi="Verdana"/>
          <w:sz w:val="20"/>
          <w:szCs w:val="20"/>
        </w:rPr>
      </w:pPr>
      <w:r w:rsidRPr="00D07BF9">
        <w:rPr>
          <w:rFonts w:ascii="Verdana" w:hAnsi="Verdana"/>
          <w:sz w:val="20"/>
          <w:szCs w:val="20"/>
        </w:rPr>
        <w:t>I. El incumplimiento se derive u origine por causas ajenas a la responsabilidad del que es requerido;</w:t>
      </w:r>
    </w:p>
    <w:p w:rsidRPr="00D07BF9" w:rsidR="00D07BF9" w:rsidP="00D07BF9" w:rsidRDefault="00D07BF9" w14:paraId="3A71C08E" w14:textId="77777777">
      <w:pPr>
        <w:pStyle w:val="Estilo"/>
        <w:rPr>
          <w:rFonts w:ascii="Verdana" w:hAnsi="Verdana"/>
          <w:sz w:val="20"/>
          <w:szCs w:val="20"/>
        </w:rPr>
      </w:pPr>
    </w:p>
    <w:p w:rsidRPr="00D07BF9" w:rsidR="00D07BF9" w:rsidP="00D07BF9" w:rsidRDefault="00D07BF9" w14:paraId="38F4E240" w14:textId="77777777">
      <w:pPr>
        <w:pStyle w:val="Estilo"/>
        <w:rPr>
          <w:rFonts w:ascii="Verdana" w:hAnsi="Verdana"/>
          <w:sz w:val="20"/>
          <w:szCs w:val="20"/>
        </w:rPr>
      </w:pPr>
      <w:r w:rsidRPr="00D07BF9">
        <w:rPr>
          <w:rFonts w:ascii="Verdana" w:hAnsi="Verdana"/>
          <w:sz w:val="20"/>
          <w:szCs w:val="20"/>
        </w:rPr>
        <w:t>II. El incumplimiento derive de caso fortuito o fuerza mayor, debidamente acreditados; o</w:t>
      </w:r>
    </w:p>
    <w:p w:rsidRPr="00D07BF9" w:rsidR="00D07BF9" w:rsidP="00D07BF9" w:rsidRDefault="00D07BF9" w14:paraId="259882D9" w14:textId="77777777">
      <w:pPr>
        <w:pStyle w:val="Estilo"/>
        <w:rPr>
          <w:rFonts w:ascii="Verdana" w:hAnsi="Verdana"/>
          <w:sz w:val="20"/>
          <w:szCs w:val="20"/>
        </w:rPr>
      </w:pPr>
    </w:p>
    <w:p w:rsidRPr="00D07BF9" w:rsidR="00D07BF9" w:rsidP="00D07BF9" w:rsidRDefault="00D07BF9" w14:paraId="66E09140" w14:textId="77777777">
      <w:pPr>
        <w:pStyle w:val="Estilo"/>
        <w:rPr>
          <w:rFonts w:ascii="Verdana" w:hAnsi="Verdana"/>
          <w:sz w:val="20"/>
          <w:szCs w:val="20"/>
        </w:rPr>
      </w:pPr>
      <w:r w:rsidRPr="00D07BF9">
        <w:rPr>
          <w:rFonts w:ascii="Verdana" w:hAnsi="Verdana"/>
          <w:sz w:val="20"/>
          <w:szCs w:val="20"/>
        </w:rPr>
        <w:t>III. Cuando el sujeto requerido cumpla con el requerimiento previo a la notificación de la multa.</w:t>
      </w:r>
    </w:p>
    <w:p w:rsidRPr="00D07BF9" w:rsidR="00D07BF9" w:rsidP="00D07BF9" w:rsidRDefault="00D07BF9" w14:paraId="50313CF5" w14:textId="77777777">
      <w:pPr>
        <w:pStyle w:val="Estilo"/>
        <w:rPr>
          <w:rFonts w:ascii="Verdana" w:hAnsi="Verdana"/>
          <w:sz w:val="20"/>
          <w:szCs w:val="20"/>
        </w:rPr>
      </w:pPr>
    </w:p>
    <w:p w:rsidRPr="007D6808" w:rsidR="00D07BF9" w:rsidP="007D6808" w:rsidRDefault="00D07BF9" w14:paraId="0BFC74C0" w14:textId="77777777">
      <w:pPr>
        <w:pStyle w:val="Estilo"/>
        <w:jc w:val="right"/>
        <w:rPr>
          <w:rFonts w:ascii="Verdana" w:hAnsi="Verdana"/>
          <w:b/>
          <w:bCs/>
          <w:sz w:val="20"/>
          <w:szCs w:val="20"/>
        </w:rPr>
      </w:pPr>
      <w:r w:rsidRPr="007D6808">
        <w:rPr>
          <w:rFonts w:ascii="Verdana" w:hAnsi="Verdana"/>
          <w:b/>
          <w:bCs/>
          <w:sz w:val="20"/>
          <w:szCs w:val="20"/>
        </w:rPr>
        <w:t>Autoridad ejecutora</w:t>
      </w:r>
    </w:p>
    <w:p w:rsidRPr="00D07BF9" w:rsidR="00D07BF9" w:rsidP="00D07BF9" w:rsidRDefault="00D07BF9" w14:paraId="6F1792E2" w14:textId="77777777">
      <w:pPr>
        <w:pStyle w:val="Estilo"/>
        <w:rPr>
          <w:rFonts w:ascii="Verdana" w:hAnsi="Verdana"/>
          <w:sz w:val="20"/>
          <w:szCs w:val="20"/>
        </w:rPr>
      </w:pPr>
      <w:r w:rsidRPr="00D07BF9">
        <w:rPr>
          <w:rFonts w:ascii="Verdana" w:hAnsi="Verdana"/>
          <w:sz w:val="20"/>
          <w:szCs w:val="20"/>
        </w:rPr>
        <w:t>Artículo 79. Las multas establecidas en esta ley deberán hacerse efectivas por conducto de la Secretaría de Finanzas, Inversión y Administración, a través del procedimiento administrativo de ejecución.</w:t>
      </w:r>
    </w:p>
    <w:p w:rsidR="00D07BF9" w:rsidP="00D07BF9" w:rsidRDefault="00D07BF9" w14:paraId="766ADD96" w14:textId="07DF4B04">
      <w:pPr>
        <w:pStyle w:val="Estilo"/>
        <w:rPr>
          <w:rFonts w:ascii="Verdana" w:hAnsi="Verdana"/>
          <w:sz w:val="20"/>
          <w:szCs w:val="20"/>
        </w:rPr>
      </w:pPr>
    </w:p>
    <w:p w:rsidRPr="00D07BF9" w:rsidR="007D6808" w:rsidP="00D07BF9" w:rsidRDefault="007D6808" w14:paraId="1C4D9B84" w14:textId="77777777">
      <w:pPr>
        <w:pStyle w:val="Estilo"/>
        <w:rPr>
          <w:rFonts w:ascii="Verdana" w:hAnsi="Verdana"/>
          <w:sz w:val="20"/>
          <w:szCs w:val="20"/>
        </w:rPr>
      </w:pPr>
    </w:p>
    <w:p w:rsidRPr="007D6808" w:rsidR="00D07BF9" w:rsidP="007D6808" w:rsidRDefault="00D07BF9" w14:paraId="7CC3BC7F" w14:textId="77777777">
      <w:pPr>
        <w:pStyle w:val="Estilo"/>
        <w:jc w:val="right"/>
        <w:rPr>
          <w:rFonts w:ascii="Verdana" w:hAnsi="Verdana"/>
          <w:b/>
          <w:bCs/>
          <w:sz w:val="20"/>
          <w:szCs w:val="20"/>
        </w:rPr>
      </w:pPr>
      <w:r w:rsidRPr="007D6808">
        <w:rPr>
          <w:rFonts w:ascii="Verdana" w:hAnsi="Verdana"/>
          <w:b/>
          <w:bCs/>
          <w:sz w:val="20"/>
          <w:szCs w:val="20"/>
        </w:rPr>
        <w:lastRenderedPageBreak/>
        <w:t>Medio de defensa</w:t>
      </w:r>
    </w:p>
    <w:p w:rsidRPr="00D07BF9" w:rsidR="00D07BF9" w:rsidP="00D07BF9" w:rsidRDefault="00D07BF9" w14:paraId="7C2361D3" w14:textId="77777777">
      <w:pPr>
        <w:pStyle w:val="Estilo"/>
        <w:rPr>
          <w:rFonts w:ascii="Verdana" w:hAnsi="Verdana"/>
          <w:sz w:val="20"/>
          <w:szCs w:val="20"/>
        </w:rPr>
      </w:pPr>
      <w:r w:rsidRPr="00D07BF9">
        <w:rPr>
          <w:rFonts w:ascii="Verdana" w:hAnsi="Verdana"/>
          <w:sz w:val="20"/>
          <w:szCs w:val="20"/>
        </w:rPr>
        <w:t>Artículo 80. En contra de la resolución por la cual se impongan las multas a que se hagan acreedores los infractores, procederá el recurso de reconsideración que establece esta ley.</w:t>
      </w:r>
    </w:p>
    <w:p w:rsidRPr="00D07BF9" w:rsidR="00D07BF9" w:rsidP="00D07BF9" w:rsidRDefault="00D07BF9" w14:paraId="746CC812" w14:textId="77777777">
      <w:pPr>
        <w:pStyle w:val="Estilo"/>
        <w:rPr>
          <w:rFonts w:ascii="Verdana" w:hAnsi="Verdana"/>
          <w:sz w:val="20"/>
          <w:szCs w:val="20"/>
        </w:rPr>
      </w:pPr>
    </w:p>
    <w:p w:rsidRPr="007D6808" w:rsidR="00D07BF9" w:rsidP="007D6808" w:rsidRDefault="00D07BF9" w14:paraId="0C445473" w14:textId="77777777">
      <w:pPr>
        <w:pStyle w:val="Estilo"/>
        <w:jc w:val="right"/>
        <w:rPr>
          <w:rFonts w:ascii="Verdana" w:hAnsi="Verdana"/>
          <w:b/>
          <w:bCs/>
          <w:sz w:val="20"/>
          <w:szCs w:val="20"/>
        </w:rPr>
      </w:pPr>
      <w:r w:rsidRPr="007D6808">
        <w:rPr>
          <w:rFonts w:ascii="Verdana" w:hAnsi="Verdana"/>
          <w:b/>
          <w:bCs/>
          <w:sz w:val="20"/>
          <w:szCs w:val="20"/>
        </w:rPr>
        <w:t>No excepción de responsabilidad</w:t>
      </w:r>
    </w:p>
    <w:p w:rsidRPr="00D07BF9" w:rsidR="00D07BF9" w:rsidP="00D07BF9" w:rsidRDefault="00D07BF9" w14:paraId="346887A2" w14:textId="77777777">
      <w:pPr>
        <w:pStyle w:val="Estilo"/>
        <w:rPr>
          <w:rFonts w:ascii="Verdana" w:hAnsi="Verdana"/>
          <w:sz w:val="20"/>
          <w:szCs w:val="20"/>
        </w:rPr>
      </w:pPr>
      <w:r w:rsidRPr="00D07BF9">
        <w:rPr>
          <w:rFonts w:ascii="Verdana" w:hAnsi="Verdana"/>
          <w:sz w:val="20"/>
          <w:szCs w:val="20"/>
        </w:rPr>
        <w:t xml:space="preserve">Artículo 81. La aplicación de las multas establecidas en la presente </w:t>
      </w:r>
      <w:proofErr w:type="gramStart"/>
      <w:r w:rsidRPr="00D07BF9">
        <w:rPr>
          <w:rFonts w:ascii="Verdana" w:hAnsi="Verdana"/>
          <w:sz w:val="20"/>
          <w:szCs w:val="20"/>
        </w:rPr>
        <w:t>ley,</w:t>
      </w:r>
      <w:proofErr w:type="gramEnd"/>
      <w:r w:rsidRPr="00D07BF9">
        <w:rPr>
          <w:rFonts w:ascii="Verdana" w:hAnsi="Verdana"/>
          <w:sz w:val="20"/>
          <w:szCs w:val="20"/>
        </w:rPr>
        <w:t xml:space="preserve"> no exceptúa a los servidores y a las personas físicas o morales, públicas o privadas, a ser sujetas al régimen de las responsabilidades previstas en los ordenamientos legales.</w:t>
      </w:r>
    </w:p>
    <w:p w:rsidRPr="00D07BF9" w:rsidR="00D07BF9" w:rsidP="00D07BF9" w:rsidRDefault="00D07BF9" w14:paraId="2928331C" w14:textId="77777777">
      <w:pPr>
        <w:pStyle w:val="Estilo"/>
        <w:rPr>
          <w:rFonts w:ascii="Verdana" w:hAnsi="Verdana"/>
          <w:sz w:val="20"/>
          <w:szCs w:val="20"/>
        </w:rPr>
      </w:pPr>
    </w:p>
    <w:p w:rsidRPr="007D6808" w:rsidR="00D07BF9" w:rsidP="007D6808" w:rsidRDefault="00D07BF9" w14:paraId="01EA7B07" w14:textId="77777777">
      <w:pPr>
        <w:pStyle w:val="Estilo"/>
        <w:jc w:val="center"/>
        <w:rPr>
          <w:rFonts w:ascii="Verdana" w:hAnsi="Verdana"/>
          <w:b/>
          <w:bCs/>
          <w:sz w:val="20"/>
          <w:szCs w:val="20"/>
        </w:rPr>
      </w:pPr>
      <w:r w:rsidRPr="007D6808">
        <w:rPr>
          <w:rFonts w:ascii="Verdana" w:hAnsi="Verdana"/>
          <w:b/>
          <w:bCs/>
          <w:sz w:val="20"/>
          <w:szCs w:val="20"/>
        </w:rPr>
        <w:t>TÍTULO TERCERO</w:t>
      </w:r>
    </w:p>
    <w:p w:rsidRPr="007D6808" w:rsidR="00D07BF9" w:rsidP="007D6808" w:rsidRDefault="00D07BF9" w14:paraId="5A877ABC" w14:textId="77777777">
      <w:pPr>
        <w:pStyle w:val="Estilo"/>
        <w:jc w:val="center"/>
        <w:rPr>
          <w:rFonts w:ascii="Verdana" w:hAnsi="Verdana"/>
          <w:b/>
          <w:bCs/>
          <w:sz w:val="20"/>
          <w:szCs w:val="20"/>
        </w:rPr>
      </w:pPr>
      <w:r w:rsidRPr="007D6808">
        <w:rPr>
          <w:rFonts w:ascii="Verdana" w:hAnsi="Verdana"/>
          <w:b/>
          <w:bCs/>
          <w:sz w:val="20"/>
          <w:szCs w:val="20"/>
        </w:rPr>
        <w:t>ATRIBUCIONES Y ORGANIZACIÓN DE LA AUDITORÍA SUPERIOR</w:t>
      </w:r>
    </w:p>
    <w:p w:rsidRPr="007D6808" w:rsidR="00D07BF9" w:rsidP="007D6808" w:rsidRDefault="00D07BF9" w14:paraId="1A7C5A9C" w14:textId="77777777">
      <w:pPr>
        <w:pStyle w:val="Estilo"/>
        <w:jc w:val="center"/>
        <w:rPr>
          <w:rFonts w:ascii="Verdana" w:hAnsi="Verdana"/>
          <w:b/>
          <w:bCs/>
          <w:sz w:val="20"/>
          <w:szCs w:val="20"/>
        </w:rPr>
      </w:pPr>
    </w:p>
    <w:p w:rsidRPr="007D6808" w:rsidR="00D07BF9" w:rsidP="007D6808" w:rsidRDefault="00D07BF9" w14:paraId="2FACE41F" w14:textId="77777777">
      <w:pPr>
        <w:pStyle w:val="Estilo"/>
        <w:jc w:val="center"/>
        <w:rPr>
          <w:rFonts w:ascii="Verdana" w:hAnsi="Verdana"/>
          <w:b/>
          <w:bCs/>
          <w:sz w:val="20"/>
          <w:szCs w:val="20"/>
        </w:rPr>
      </w:pPr>
    </w:p>
    <w:p w:rsidRPr="007D6808" w:rsidR="00D07BF9" w:rsidP="007D6808" w:rsidRDefault="00D07BF9" w14:paraId="16B83DC0" w14:textId="77777777">
      <w:pPr>
        <w:pStyle w:val="Estilo"/>
        <w:jc w:val="center"/>
        <w:rPr>
          <w:rFonts w:ascii="Verdana" w:hAnsi="Verdana"/>
          <w:b/>
          <w:bCs/>
          <w:sz w:val="20"/>
          <w:szCs w:val="20"/>
        </w:rPr>
      </w:pPr>
      <w:r w:rsidRPr="007D6808">
        <w:rPr>
          <w:rFonts w:ascii="Verdana" w:hAnsi="Verdana"/>
          <w:b/>
          <w:bCs/>
          <w:sz w:val="20"/>
          <w:szCs w:val="20"/>
        </w:rPr>
        <w:t>Capítulo I</w:t>
      </w:r>
    </w:p>
    <w:p w:rsidRPr="007D6808" w:rsidR="00D07BF9" w:rsidP="007D6808" w:rsidRDefault="00D07BF9" w14:paraId="7FEA1B72" w14:textId="77777777">
      <w:pPr>
        <w:pStyle w:val="Estilo"/>
        <w:jc w:val="center"/>
        <w:rPr>
          <w:rFonts w:ascii="Verdana" w:hAnsi="Verdana"/>
          <w:b/>
          <w:bCs/>
          <w:sz w:val="20"/>
          <w:szCs w:val="20"/>
        </w:rPr>
      </w:pPr>
      <w:r w:rsidRPr="007D6808">
        <w:rPr>
          <w:rFonts w:ascii="Verdana" w:hAnsi="Verdana"/>
          <w:b/>
          <w:bCs/>
          <w:sz w:val="20"/>
          <w:szCs w:val="20"/>
        </w:rPr>
        <w:t>De sus atribuciones de la Auditoría Superior</w:t>
      </w:r>
    </w:p>
    <w:p w:rsidRPr="00D07BF9" w:rsidR="00D07BF9" w:rsidP="00D07BF9" w:rsidRDefault="00D07BF9" w14:paraId="532BE152" w14:textId="77777777">
      <w:pPr>
        <w:pStyle w:val="Estilo"/>
        <w:rPr>
          <w:rFonts w:ascii="Verdana" w:hAnsi="Verdana"/>
          <w:sz w:val="20"/>
          <w:szCs w:val="20"/>
        </w:rPr>
      </w:pPr>
    </w:p>
    <w:p w:rsidRPr="007D6808" w:rsidR="00D07BF9" w:rsidP="007D6808" w:rsidRDefault="00D07BF9" w14:paraId="556FD8D6" w14:textId="77777777">
      <w:pPr>
        <w:pStyle w:val="Estilo"/>
        <w:jc w:val="right"/>
        <w:rPr>
          <w:rFonts w:ascii="Verdana" w:hAnsi="Verdana"/>
          <w:b/>
          <w:bCs/>
          <w:sz w:val="20"/>
          <w:szCs w:val="20"/>
        </w:rPr>
      </w:pPr>
      <w:r w:rsidRPr="007D6808">
        <w:rPr>
          <w:rFonts w:ascii="Verdana" w:hAnsi="Verdana"/>
          <w:b/>
          <w:bCs/>
          <w:sz w:val="20"/>
          <w:szCs w:val="20"/>
        </w:rPr>
        <w:t>Atribuciones</w:t>
      </w:r>
    </w:p>
    <w:p w:rsidRPr="00D07BF9" w:rsidR="00D07BF9" w:rsidP="00D07BF9" w:rsidRDefault="00D07BF9" w14:paraId="3EDE5F9C" w14:textId="77777777">
      <w:pPr>
        <w:pStyle w:val="Estilo"/>
        <w:rPr>
          <w:rFonts w:ascii="Verdana" w:hAnsi="Verdana"/>
          <w:sz w:val="20"/>
          <w:szCs w:val="20"/>
        </w:rPr>
      </w:pPr>
      <w:r w:rsidRPr="00D07BF9">
        <w:rPr>
          <w:rFonts w:ascii="Verdana" w:hAnsi="Verdana"/>
          <w:sz w:val="20"/>
          <w:szCs w:val="20"/>
        </w:rPr>
        <w:t>Artículo 82. La Auditoría Superior tendrá, además de las atribuciones conferidas expresamente en la Constitución Política para el Estado de Guanajuato, las siguientes:</w:t>
      </w:r>
    </w:p>
    <w:p w:rsidRPr="00D07BF9" w:rsidR="00D07BF9" w:rsidP="00D07BF9" w:rsidRDefault="00D07BF9" w14:paraId="7406C3A7" w14:textId="77777777">
      <w:pPr>
        <w:pStyle w:val="Estilo"/>
        <w:rPr>
          <w:rFonts w:ascii="Verdana" w:hAnsi="Verdana"/>
          <w:sz w:val="20"/>
          <w:szCs w:val="20"/>
        </w:rPr>
      </w:pPr>
    </w:p>
    <w:p w:rsidRPr="00D07BF9" w:rsidR="00D07BF9" w:rsidP="00D07BF9" w:rsidRDefault="00D07BF9" w14:paraId="428CD1A8" w14:textId="77777777">
      <w:pPr>
        <w:pStyle w:val="Estilo"/>
        <w:rPr>
          <w:rFonts w:ascii="Verdana" w:hAnsi="Verdana"/>
          <w:sz w:val="20"/>
          <w:szCs w:val="20"/>
        </w:rPr>
      </w:pPr>
      <w:r w:rsidRPr="00D07BF9">
        <w:rPr>
          <w:rFonts w:ascii="Verdana" w:hAnsi="Verdana"/>
          <w:sz w:val="20"/>
          <w:szCs w:val="20"/>
        </w:rPr>
        <w:t>I. Analizar, evaluar y comprobar las cuentas públicas, de conformidad con los programas que para el efecto se aprueben;</w:t>
      </w:r>
    </w:p>
    <w:p w:rsidRPr="00D07BF9" w:rsidR="00D07BF9" w:rsidP="00D07BF9" w:rsidRDefault="00D07BF9" w14:paraId="2F53FAC4" w14:textId="77777777">
      <w:pPr>
        <w:pStyle w:val="Estilo"/>
        <w:rPr>
          <w:rFonts w:ascii="Verdana" w:hAnsi="Verdana"/>
          <w:sz w:val="20"/>
          <w:szCs w:val="20"/>
        </w:rPr>
      </w:pPr>
    </w:p>
    <w:p w:rsidRPr="00D07BF9" w:rsidR="00D07BF9" w:rsidP="00D07BF9" w:rsidRDefault="00D07BF9" w14:paraId="43C7F7C9" w14:textId="77777777">
      <w:pPr>
        <w:pStyle w:val="Estilo"/>
        <w:rPr>
          <w:rFonts w:ascii="Verdana" w:hAnsi="Verdana"/>
          <w:sz w:val="20"/>
          <w:szCs w:val="20"/>
        </w:rPr>
      </w:pPr>
      <w:r w:rsidRPr="00D07BF9">
        <w:rPr>
          <w:rFonts w:ascii="Verdana" w:hAnsi="Verdana"/>
          <w:sz w:val="20"/>
          <w:szCs w:val="20"/>
        </w:rPr>
        <w:t>II. Verificar los resultados de la gestión financiera de los sujetos de fiscalización y comprobar si se han ajustado al presupuesto y a sus contenidos programáticos, así como a las disposiciones legales;</w:t>
      </w:r>
    </w:p>
    <w:p w:rsidRPr="00D07BF9" w:rsidR="00D07BF9" w:rsidP="00D07BF9" w:rsidRDefault="00D07BF9" w14:paraId="6979B7E7" w14:textId="77777777">
      <w:pPr>
        <w:pStyle w:val="Estilo"/>
        <w:rPr>
          <w:rFonts w:ascii="Verdana" w:hAnsi="Verdana"/>
          <w:sz w:val="20"/>
          <w:szCs w:val="20"/>
        </w:rPr>
      </w:pPr>
    </w:p>
    <w:p w:rsidRPr="00D07BF9" w:rsidR="00D07BF9" w:rsidP="00D07BF9" w:rsidRDefault="00D07BF9" w14:paraId="7D91099B" w14:textId="77777777">
      <w:pPr>
        <w:pStyle w:val="Estilo"/>
        <w:rPr>
          <w:rFonts w:ascii="Verdana" w:hAnsi="Verdana"/>
          <w:sz w:val="20"/>
          <w:szCs w:val="20"/>
        </w:rPr>
      </w:pPr>
      <w:r w:rsidRPr="00D07BF9">
        <w:rPr>
          <w:rFonts w:ascii="Verdana" w:hAnsi="Verdana"/>
          <w:sz w:val="20"/>
          <w:szCs w:val="20"/>
        </w:rPr>
        <w:t>III. Acordar y practicar auditorías conforme a su Programa General de Fiscalización, así como las que acuerde el Congreso, de conformidad con la fracción XXVIII del artículo 63 de la Constitución Política para el Estado de Guanajuato;</w:t>
      </w:r>
    </w:p>
    <w:p w:rsidRPr="00D07BF9" w:rsidR="00D07BF9" w:rsidP="00D07BF9" w:rsidRDefault="00D07BF9" w14:paraId="402A86B4" w14:textId="77777777">
      <w:pPr>
        <w:pStyle w:val="Estilo"/>
        <w:rPr>
          <w:rFonts w:ascii="Verdana" w:hAnsi="Verdana"/>
          <w:sz w:val="20"/>
          <w:szCs w:val="20"/>
        </w:rPr>
      </w:pPr>
    </w:p>
    <w:p w:rsidRPr="00D07BF9" w:rsidR="00D07BF9" w:rsidP="00D07BF9" w:rsidRDefault="00D07BF9" w14:paraId="3A7E89EC" w14:textId="77777777">
      <w:pPr>
        <w:pStyle w:val="Estilo"/>
        <w:rPr>
          <w:rFonts w:ascii="Verdana" w:hAnsi="Verdana"/>
          <w:sz w:val="20"/>
          <w:szCs w:val="20"/>
        </w:rPr>
      </w:pPr>
      <w:r w:rsidRPr="00D07BF9">
        <w:rPr>
          <w:rFonts w:ascii="Verdana" w:hAnsi="Verdana"/>
          <w:sz w:val="20"/>
          <w:szCs w:val="20"/>
        </w:rPr>
        <w:t>IV. Establecer conforme a la normativa aplicable, los criterios para la realización de las auditorías, procedimientos, métodos y sistemas para la fiscalización de las cuentas públicas, solicitando su publicación en el Periódico Oficial del Gobierno del Estado;</w:t>
      </w:r>
    </w:p>
    <w:p w:rsidRPr="00D07BF9" w:rsidR="00D07BF9" w:rsidP="00D07BF9" w:rsidRDefault="00D07BF9" w14:paraId="237DF71B" w14:textId="77777777">
      <w:pPr>
        <w:pStyle w:val="Estilo"/>
        <w:rPr>
          <w:rFonts w:ascii="Verdana" w:hAnsi="Verdana"/>
          <w:sz w:val="20"/>
          <w:szCs w:val="20"/>
        </w:rPr>
      </w:pPr>
    </w:p>
    <w:p w:rsidRPr="00D07BF9" w:rsidR="00D07BF9" w:rsidP="00D07BF9" w:rsidRDefault="00D07BF9" w14:paraId="327D8E84" w14:textId="77777777">
      <w:pPr>
        <w:pStyle w:val="Estilo"/>
        <w:rPr>
          <w:rFonts w:ascii="Verdana" w:hAnsi="Verdana"/>
          <w:sz w:val="20"/>
          <w:szCs w:val="20"/>
        </w:rPr>
      </w:pPr>
      <w:r w:rsidRPr="00D07BF9">
        <w:rPr>
          <w:rFonts w:ascii="Verdana" w:hAnsi="Verdana"/>
          <w:sz w:val="20"/>
          <w:szCs w:val="20"/>
        </w:rPr>
        <w:t>V. Interpretar, para efectos administrativos, esta ley, su Reglamento y demás disposiciones que se deriven de los mismos;</w:t>
      </w:r>
    </w:p>
    <w:p w:rsidRPr="00D07BF9" w:rsidR="00D07BF9" w:rsidP="00D07BF9" w:rsidRDefault="00D07BF9" w14:paraId="15D13147" w14:textId="77777777">
      <w:pPr>
        <w:pStyle w:val="Estilo"/>
        <w:rPr>
          <w:rFonts w:ascii="Verdana" w:hAnsi="Verdana"/>
          <w:sz w:val="20"/>
          <w:szCs w:val="20"/>
        </w:rPr>
      </w:pPr>
    </w:p>
    <w:p w:rsidRPr="00D07BF9" w:rsidR="00D07BF9" w:rsidP="00D07BF9" w:rsidRDefault="00D07BF9" w14:paraId="155C23AC" w14:textId="77777777">
      <w:pPr>
        <w:pStyle w:val="Estilo"/>
        <w:rPr>
          <w:rFonts w:ascii="Verdana" w:hAnsi="Verdana"/>
          <w:sz w:val="20"/>
          <w:szCs w:val="20"/>
        </w:rPr>
      </w:pPr>
      <w:r w:rsidRPr="00D07BF9">
        <w:rPr>
          <w:rFonts w:ascii="Verdana" w:hAnsi="Verdana"/>
          <w:sz w:val="20"/>
          <w:szCs w:val="20"/>
        </w:rPr>
        <w:t>VI. Verificar que las cuentas públicas sean presentadas conforme a lo dispuesto por esta ley;</w:t>
      </w:r>
    </w:p>
    <w:p w:rsidRPr="00D07BF9" w:rsidR="00D07BF9" w:rsidP="00D07BF9" w:rsidRDefault="00D07BF9" w14:paraId="0AD13DC7" w14:textId="77777777">
      <w:pPr>
        <w:pStyle w:val="Estilo"/>
        <w:rPr>
          <w:rFonts w:ascii="Verdana" w:hAnsi="Verdana"/>
          <w:sz w:val="20"/>
          <w:szCs w:val="20"/>
        </w:rPr>
      </w:pPr>
    </w:p>
    <w:p w:rsidRPr="00D07BF9" w:rsidR="00D07BF9" w:rsidP="00D07BF9" w:rsidRDefault="00D07BF9" w14:paraId="183BA8ED" w14:textId="77777777">
      <w:pPr>
        <w:pStyle w:val="Estilo"/>
        <w:rPr>
          <w:rFonts w:ascii="Verdana" w:hAnsi="Verdana"/>
          <w:sz w:val="20"/>
          <w:szCs w:val="20"/>
        </w:rPr>
      </w:pPr>
      <w:r w:rsidRPr="00D07BF9">
        <w:rPr>
          <w:rFonts w:ascii="Verdana" w:hAnsi="Verdana"/>
          <w:sz w:val="20"/>
          <w:szCs w:val="20"/>
        </w:rPr>
        <w:t>VII. Solicitar o requerir en su caso, a los sujetos de fiscalización, datos, documentos, antecedentes o cualquier otra información previa, durante o posterior, que sea necesaria para el ejercicio de la función de fiscalización;</w:t>
      </w:r>
    </w:p>
    <w:p w:rsidRPr="00D07BF9" w:rsidR="00D07BF9" w:rsidP="00D07BF9" w:rsidRDefault="00D07BF9" w14:paraId="43CC5753" w14:textId="77777777">
      <w:pPr>
        <w:pStyle w:val="Estilo"/>
        <w:rPr>
          <w:rFonts w:ascii="Verdana" w:hAnsi="Verdana"/>
          <w:sz w:val="20"/>
          <w:szCs w:val="20"/>
        </w:rPr>
      </w:pPr>
    </w:p>
    <w:p w:rsidRPr="00D07BF9" w:rsidR="00D07BF9" w:rsidP="00D07BF9" w:rsidRDefault="00D07BF9" w14:paraId="113EF315" w14:textId="77777777">
      <w:pPr>
        <w:pStyle w:val="Estilo"/>
        <w:rPr>
          <w:rFonts w:ascii="Verdana" w:hAnsi="Verdana"/>
          <w:sz w:val="20"/>
          <w:szCs w:val="20"/>
        </w:rPr>
      </w:pPr>
      <w:r w:rsidRPr="00D07BF9">
        <w:rPr>
          <w:rFonts w:ascii="Verdana" w:hAnsi="Verdana"/>
          <w:sz w:val="20"/>
          <w:szCs w:val="20"/>
        </w:rPr>
        <w:t>VIII. Requerir a los sujetos de fiscalización, la revisión de conceptos y rendición de informes en situaciones excepcionales, de conformidad con lo dispuesto en esta ley;</w:t>
      </w:r>
    </w:p>
    <w:p w:rsidRPr="00D07BF9" w:rsidR="00D07BF9" w:rsidP="00D07BF9" w:rsidRDefault="00D07BF9" w14:paraId="37001DA2" w14:textId="77777777">
      <w:pPr>
        <w:pStyle w:val="Estilo"/>
        <w:rPr>
          <w:rFonts w:ascii="Verdana" w:hAnsi="Verdana"/>
          <w:sz w:val="20"/>
          <w:szCs w:val="20"/>
        </w:rPr>
      </w:pPr>
    </w:p>
    <w:p w:rsidRPr="00D07BF9" w:rsidR="00D07BF9" w:rsidP="00D07BF9" w:rsidRDefault="00D07BF9" w14:paraId="1A7DA1C0" w14:textId="77777777">
      <w:pPr>
        <w:pStyle w:val="Estilo"/>
        <w:rPr>
          <w:rFonts w:ascii="Verdana" w:hAnsi="Verdana"/>
          <w:sz w:val="20"/>
          <w:szCs w:val="20"/>
        </w:rPr>
      </w:pPr>
      <w:r w:rsidRPr="00D07BF9">
        <w:rPr>
          <w:rFonts w:ascii="Verdana" w:hAnsi="Verdana"/>
          <w:sz w:val="20"/>
          <w:szCs w:val="20"/>
        </w:rPr>
        <w:t>IX. Establecer, a través de convenios de colaboración y coordinación, con los sujetos de fiscalización, las reglas técnicas, procedimientos, métodos y sistemas de contabilidad y de archivo de los libros y documentos justificativos y comprobatorios del ingreso y del gasto, que faciliten la función de fiscalización, con sujeción a la normativa aplicable;</w:t>
      </w:r>
    </w:p>
    <w:p w:rsidRPr="00D07BF9" w:rsidR="00D07BF9" w:rsidP="00D07BF9" w:rsidRDefault="00D07BF9" w14:paraId="60B30AAE" w14:textId="77777777">
      <w:pPr>
        <w:pStyle w:val="Estilo"/>
        <w:rPr>
          <w:rFonts w:ascii="Verdana" w:hAnsi="Verdana"/>
          <w:sz w:val="20"/>
          <w:szCs w:val="20"/>
        </w:rPr>
      </w:pPr>
    </w:p>
    <w:p w:rsidRPr="00D07BF9" w:rsidR="00D07BF9" w:rsidP="00D07BF9" w:rsidRDefault="00D07BF9" w14:paraId="4FAD9D70" w14:textId="77777777">
      <w:pPr>
        <w:pStyle w:val="Estilo"/>
        <w:rPr>
          <w:rFonts w:ascii="Verdana" w:hAnsi="Verdana"/>
          <w:sz w:val="20"/>
          <w:szCs w:val="20"/>
        </w:rPr>
      </w:pPr>
      <w:r w:rsidRPr="00D07BF9">
        <w:rPr>
          <w:rFonts w:ascii="Verdana" w:hAnsi="Verdana"/>
          <w:sz w:val="20"/>
          <w:szCs w:val="20"/>
        </w:rPr>
        <w:t>X. Asesorar a los sujetos de fiscalización, dando respuestas a sus consultas y proporcionándoles asistencia técnica de forma permanente, así como promover y realizar programas de capacitación e instrumentos de difusión para los mismos;</w:t>
      </w:r>
    </w:p>
    <w:p w:rsidRPr="00D07BF9" w:rsidR="00D07BF9" w:rsidP="00D07BF9" w:rsidRDefault="00D07BF9" w14:paraId="527D9E90" w14:textId="77777777">
      <w:pPr>
        <w:pStyle w:val="Estilo"/>
        <w:rPr>
          <w:rFonts w:ascii="Verdana" w:hAnsi="Verdana"/>
          <w:sz w:val="20"/>
          <w:szCs w:val="20"/>
        </w:rPr>
      </w:pPr>
    </w:p>
    <w:p w:rsidRPr="00D07BF9" w:rsidR="00D07BF9" w:rsidP="00D07BF9" w:rsidRDefault="00D07BF9" w14:paraId="3838E217" w14:textId="77777777">
      <w:pPr>
        <w:pStyle w:val="Estilo"/>
        <w:rPr>
          <w:rFonts w:ascii="Verdana" w:hAnsi="Verdana"/>
          <w:sz w:val="20"/>
          <w:szCs w:val="20"/>
        </w:rPr>
      </w:pPr>
      <w:r w:rsidRPr="00D07BF9">
        <w:rPr>
          <w:rFonts w:ascii="Verdana" w:hAnsi="Verdana"/>
          <w:sz w:val="20"/>
          <w:szCs w:val="20"/>
        </w:rPr>
        <w:t>XI. Investigar los actos u omisiones que puedan constituir daños o perjuicios a la hacienda o patrimonio públicos;</w:t>
      </w:r>
    </w:p>
    <w:p w:rsidRPr="00D07BF9" w:rsidR="00D07BF9" w:rsidP="00D07BF9" w:rsidRDefault="00D07BF9" w14:paraId="794655C8" w14:textId="77777777">
      <w:pPr>
        <w:pStyle w:val="Estilo"/>
        <w:rPr>
          <w:rFonts w:ascii="Verdana" w:hAnsi="Verdana"/>
          <w:sz w:val="20"/>
          <w:szCs w:val="20"/>
        </w:rPr>
      </w:pPr>
    </w:p>
    <w:p w:rsidRPr="00D07BF9" w:rsidR="00D07BF9" w:rsidP="00D07BF9" w:rsidRDefault="00D07BF9" w14:paraId="1A55DA29" w14:textId="77777777">
      <w:pPr>
        <w:pStyle w:val="Estilo"/>
        <w:rPr>
          <w:rFonts w:ascii="Verdana" w:hAnsi="Verdana"/>
          <w:sz w:val="20"/>
          <w:szCs w:val="20"/>
        </w:rPr>
      </w:pPr>
      <w:r w:rsidRPr="00D07BF9">
        <w:rPr>
          <w:rFonts w:ascii="Verdana" w:hAnsi="Verdana"/>
          <w:sz w:val="20"/>
          <w:szCs w:val="20"/>
        </w:rPr>
        <w:t>XII. Ordenar y efectuar visitas en los términos que establece esta ley, para la realización de las investigaciones correspondientes;</w:t>
      </w:r>
    </w:p>
    <w:p w:rsidRPr="00D07BF9" w:rsidR="00D07BF9" w:rsidP="00D07BF9" w:rsidRDefault="00D07BF9" w14:paraId="6A9F1E26" w14:textId="77777777">
      <w:pPr>
        <w:pStyle w:val="Estilo"/>
        <w:rPr>
          <w:rFonts w:ascii="Verdana" w:hAnsi="Verdana"/>
          <w:sz w:val="20"/>
          <w:szCs w:val="20"/>
        </w:rPr>
      </w:pPr>
    </w:p>
    <w:p w:rsidRPr="00D07BF9" w:rsidR="00D07BF9" w:rsidP="00D07BF9" w:rsidRDefault="00D07BF9" w14:paraId="75548E0A" w14:textId="77777777">
      <w:pPr>
        <w:pStyle w:val="Estilo"/>
        <w:rPr>
          <w:rFonts w:ascii="Verdana" w:hAnsi="Verdana"/>
          <w:sz w:val="20"/>
          <w:szCs w:val="20"/>
        </w:rPr>
      </w:pPr>
      <w:r w:rsidRPr="00D07BF9">
        <w:rPr>
          <w:rFonts w:ascii="Verdana" w:hAnsi="Verdana"/>
          <w:sz w:val="20"/>
          <w:szCs w:val="20"/>
        </w:rPr>
        <w:t>XIII. Solicitar o requerir en su caso, de terceros que hubieran contratado bienes o servicios mediante cualquier título con los sujetos de fiscalización, los documentos e información relacionada con la cuenta pública a efecto de realizar las compulsas correspondientes. En caso de no obtener respuesta, se fincarán las medidas de apremio correspondientes;</w:t>
      </w:r>
    </w:p>
    <w:p w:rsidRPr="00D07BF9" w:rsidR="00D07BF9" w:rsidP="00D07BF9" w:rsidRDefault="00D07BF9" w14:paraId="47DA0799" w14:textId="77777777">
      <w:pPr>
        <w:pStyle w:val="Estilo"/>
        <w:rPr>
          <w:rFonts w:ascii="Verdana" w:hAnsi="Verdana"/>
          <w:sz w:val="20"/>
          <w:szCs w:val="20"/>
        </w:rPr>
      </w:pPr>
    </w:p>
    <w:p w:rsidRPr="00D07BF9" w:rsidR="00D07BF9" w:rsidP="00D07BF9" w:rsidRDefault="00D07BF9" w14:paraId="12625D10" w14:textId="77777777">
      <w:pPr>
        <w:pStyle w:val="Estilo"/>
        <w:rPr>
          <w:rFonts w:ascii="Verdana" w:hAnsi="Verdana"/>
          <w:sz w:val="20"/>
          <w:szCs w:val="20"/>
        </w:rPr>
      </w:pPr>
      <w:r w:rsidRPr="00D07BF9">
        <w:rPr>
          <w:rFonts w:ascii="Verdana" w:hAnsi="Verdana"/>
          <w:sz w:val="20"/>
          <w:szCs w:val="20"/>
        </w:rPr>
        <w:t>XIV. Realizar o solicitar en su caso, los estudios de mercado, comparativas o verificaciones de precios de bienes o servicios contratados por los sujetos de fiscalización;</w:t>
      </w:r>
    </w:p>
    <w:p w:rsidRPr="00D07BF9" w:rsidR="00D07BF9" w:rsidP="00D07BF9" w:rsidRDefault="00D07BF9" w14:paraId="6298F88A" w14:textId="77777777">
      <w:pPr>
        <w:pStyle w:val="Estilo"/>
        <w:rPr>
          <w:rFonts w:ascii="Verdana" w:hAnsi="Verdana"/>
          <w:sz w:val="20"/>
          <w:szCs w:val="20"/>
        </w:rPr>
      </w:pPr>
    </w:p>
    <w:p w:rsidRPr="00D07BF9" w:rsidR="00D07BF9" w:rsidP="00D07BF9" w:rsidRDefault="00D07BF9" w14:paraId="2183BC26" w14:textId="77777777">
      <w:pPr>
        <w:pStyle w:val="Estilo"/>
        <w:rPr>
          <w:rFonts w:ascii="Verdana" w:hAnsi="Verdana"/>
          <w:sz w:val="20"/>
          <w:szCs w:val="20"/>
        </w:rPr>
      </w:pPr>
      <w:r w:rsidRPr="00D07BF9">
        <w:rPr>
          <w:rFonts w:ascii="Verdana" w:hAnsi="Verdana"/>
          <w:sz w:val="20"/>
          <w:szCs w:val="20"/>
        </w:rPr>
        <w:t>XV. Celebrar convenios de coordinación y colaboración con otras entidades u órganos de fiscalización;</w:t>
      </w:r>
    </w:p>
    <w:p w:rsidRPr="00D07BF9" w:rsidR="00D07BF9" w:rsidP="00D07BF9" w:rsidRDefault="00D07BF9" w14:paraId="55D5B480" w14:textId="77777777">
      <w:pPr>
        <w:pStyle w:val="Estilo"/>
        <w:rPr>
          <w:rFonts w:ascii="Verdana" w:hAnsi="Verdana"/>
          <w:sz w:val="20"/>
          <w:szCs w:val="20"/>
        </w:rPr>
      </w:pPr>
    </w:p>
    <w:p w:rsidRPr="00D07BF9" w:rsidR="00D07BF9" w:rsidP="00D07BF9" w:rsidRDefault="00D07BF9" w14:paraId="027A8345" w14:textId="77777777">
      <w:pPr>
        <w:pStyle w:val="Estilo"/>
        <w:rPr>
          <w:rFonts w:ascii="Verdana" w:hAnsi="Verdana"/>
          <w:sz w:val="20"/>
          <w:szCs w:val="20"/>
        </w:rPr>
      </w:pPr>
      <w:r w:rsidRPr="00D07BF9">
        <w:rPr>
          <w:rFonts w:ascii="Verdana" w:hAnsi="Verdana"/>
          <w:sz w:val="20"/>
          <w:szCs w:val="20"/>
        </w:rPr>
        <w:t>XVI. Promover y formalizar, dentro del ámbito de sus competencias, esquemas de colaboración o coordinación permanentes con los órganos de control, en los términos previstos en el Reglamento;</w:t>
      </w:r>
    </w:p>
    <w:p w:rsidRPr="00D07BF9" w:rsidR="00D07BF9" w:rsidP="00D07BF9" w:rsidRDefault="00D07BF9" w14:paraId="310AAFB4" w14:textId="77777777">
      <w:pPr>
        <w:pStyle w:val="Estilo"/>
        <w:rPr>
          <w:rFonts w:ascii="Verdana" w:hAnsi="Verdana"/>
          <w:sz w:val="20"/>
          <w:szCs w:val="20"/>
        </w:rPr>
      </w:pPr>
    </w:p>
    <w:p w:rsidRPr="00D07BF9" w:rsidR="00D07BF9" w:rsidP="00D07BF9" w:rsidRDefault="00D07BF9" w14:paraId="02036ABB" w14:textId="77777777">
      <w:pPr>
        <w:pStyle w:val="Estilo"/>
        <w:rPr>
          <w:rFonts w:ascii="Verdana" w:hAnsi="Verdana"/>
          <w:sz w:val="20"/>
          <w:szCs w:val="20"/>
        </w:rPr>
      </w:pPr>
      <w:r w:rsidRPr="00D07BF9">
        <w:rPr>
          <w:rFonts w:ascii="Verdana" w:hAnsi="Verdana"/>
          <w:sz w:val="20"/>
          <w:szCs w:val="20"/>
        </w:rPr>
        <w:t>XVII. Dictaminar en el informe de resultados los daños y perjuicios causados a la hacienda o patrimonio públicos;</w:t>
      </w:r>
    </w:p>
    <w:p w:rsidRPr="00D07BF9" w:rsidR="00D07BF9" w:rsidP="00D07BF9" w:rsidRDefault="00D07BF9" w14:paraId="58224659" w14:textId="77777777">
      <w:pPr>
        <w:pStyle w:val="Estilo"/>
        <w:rPr>
          <w:rFonts w:ascii="Verdana" w:hAnsi="Verdana"/>
          <w:sz w:val="20"/>
          <w:szCs w:val="20"/>
        </w:rPr>
      </w:pPr>
    </w:p>
    <w:p w:rsidRPr="00D07BF9" w:rsidR="00D07BF9" w:rsidP="00D07BF9" w:rsidRDefault="00D07BF9" w14:paraId="35F1A9F0" w14:textId="77777777">
      <w:pPr>
        <w:pStyle w:val="Estilo"/>
        <w:rPr>
          <w:rFonts w:ascii="Verdana" w:hAnsi="Verdana"/>
          <w:sz w:val="20"/>
          <w:szCs w:val="20"/>
        </w:rPr>
      </w:pPr>
      <w:r w:rsidRPr="00D07BF9">
        <w:rPr>
          <w:rFonts w:ascii="Verdana" w:hAnsi="Verdana"/>
          <w:sz w:val="20"/>
          <w:szCs w:val="20"/>
        </w:rPr>
        <w:t>XVIII. Dictaminar en el informe de resultados, las probables responsabilidades de los sujetos de fiscalización cuando del examen que se realice, aparezcan discrepancias entre los ingresos y los egresos, con relación a los conceptos y a las partidas respectivas, o cuando no exista exactitud o justificación en los ingresos obtenidos o en los gastos realizados;</w:t>
      </w:r>
    </w:p>
    <w:p w:rsidRPr="00D07BF9" w:rsidR="00D07BF9" w:rsidP="00D07BF9" w:rsidRDefault="00D07BF9" w14:paraId="1311325C" w14:textId="77777777">
      <w:pPr>
        <w:pStyle w:val="Estilo"/>
        <w:rPr>
          <w:rFonts w:ascii="Verdana" w:hAnsi="Verdana"/>
          <w:sz w:val="20"/>
          <w:szCs w:val="20"/>
        </w:rPr>
      </w:pPr>
    </w:p>
    <w:p w:rsidRPr="00D07BF9" w:rsidR="00D07BF9" w:rsidP="00D07BF9" w:rsidRDefault="00D07BF9" w14:paraId="15C5A28E" w14:textId="77777777">
      <w:pPr>
        <w:pStyle w:val="Estilo"/>
        <w:rPr>
          <w:rFonts w:ascii="Verdana" w:hAnsi="Verdana"/>
          <w:sz w:val="20"/>
          <w:szCs w:val="20"/>
        </w:rPr>
      </w:pPr>
      <w:r w:rsidRPr="00D07BF9">
        <w:rPr>
          <w:rFonts w:ascii="Verdana" w:hAnsi="Verdana"/>
          <w:sz w:val="20"/>
          <w:szCs w:val="20"/>
        </w:rPr>
        <w:t>XIX. Dictaminar en el informe de resultados, la probable responsabilidad y presentar denuncias o querellas ante las autoridades, en los términos de esta ley;</w:t>
      </w:r>
    </w:p>
    <w:p w:rsidRPr="00D07BF9" w:rsidR="00D07BF9" w:rsidP="00D07BF9" w:rsidRDefault="00D07BF9" w14:paraId="59F9DEBA" w14:textId="77777777">
      <w:pPr>
        <w:pStyle w:val="Estilo"/>
        <w:rPr>
          <w:rFonts w:ascii="Verdana" w:hAnsi="Verdana"/>
          <w:sz w:val="20"/>
          <w:szCs w:val="20"/>
        </w:rPr>
      </w:pPr>
    </w:p>
    <w:p w:rsidRPr="00D07BF9" w:rsidR="00D07BF9" w:rsidP="00D07BF9" w:rsidRDefault="00D07BF9" w14:paraId="61E267CD" w14:textId="77777777">
      <w:pPr>
        <w:pStyle w:val="Estilo"/>
        <w:rPr>
          <w:rFonts w:ascii="Verdana" w:hAnsi="Verdana"/>
          <w:sz w:val="20"/>
          <w:szCs w:val="20"/>
        </w:rPr>
      </w:pPr>
      <w:r w:rsidRPr="00D07BF9">
        <w:rPr>
          <w:rFonts w:ascii="Verdana" w:hAnsi="Verdana"/>
          <w:sz w:val="20"/>
          <w:szCs w:val="20"/>
        </w:rPr>
        <w:t>XX. Promover el fincamiento de las sanciones conducentes ante las autoridades, conforme a lo dispuesto por esta ley;</w:t>
      </w:r>
    </w:p>
    <w:p w:rsidRPr="00D07BF9" w:rsidR="00D07BF9" w:rsidP="00D07BF9" w:rsidRDefault="00D07BF9" w14:paraId="45B50255" w14:textId="77777777">
      <w:pPr>
        <w:pStyle w:val="Estilo"/>
        <w:rPr>
          <w:rFonts w:ascii="Verdana" w:hAnsi="Verdana"/>
          <w:sz w:val="20"/>
          <w:szCs w:val="20"/>
        </w:rPr>
      </w:pPr>
    </w:p>
    <w:p w:rsidRPr="00D07BF9" w:rsidR="00D07BF9" w:rsidP="00D07BF9" w:rsidRDefault="00D07BF9" w14:paraId="4C274F12" w14:textId="77777777">
      <w:pPr>
        <w:pStyle w:val="Estilo"/>
        <w:rPr>
          <w:rFonts w:ascii="Verdana" w:hAnsi="Verdana"/>
          <w:sz w:val="20"/>
          <w:szCs w:val="20"/>
        </w:rPr>
      </w:pPr>
      <w:r w:rsidRPr="00D07BF9">
        <w:rPr>
          <w:rFonts w:ascii="Verdana" w:hAnsi="Verdana"/>
          <w:sz w:val="20"/>
          <w:szCs w:val="20"/>
        </w:rPr>
        <w:t>XXI. Contratar, cuando así se requiera, servicios profesionales externos, como apoyo técnico en el ejercicio de la función de fiscalización;</w:t>
      </w:r>
    </w:p>
    <w:p w:rsidRPr="00D07BF9" w:rsidR="00D07BF9" w:rsidP="00D07BF9" w:rsidRDefault="00D07BF9" w14:paraId="1B11375D" w14:textId="77777777">
      <w:pPr>
        <w:pStyle w:val="Estilo"/>
        <w:rPr>
          <w:rFonts w:ascii="Verdana" w:hAnsi="Verdana"/>
          <w:sz w:val="20"/>
          <w:szCs w:val="20"/>
        </w:rPr>
      </w:pPr>
    </w:p>
    <w:p w:rsidRPr="00D07BF9" w:rsidR="00D07BF9" w:rsidP="00D07BF9" w:rsidRDefault="00D07BF9" w14:paraId="7E85ABBF" w14:textId="77777777">
      <w:pPr>
        <w:pStyle w:val="Estilo"/>
        <w:rPr>
          <w:rFonts w:ascii="Verdana" w:hAnsi="Verdana"/>
          <w:sz w:val="20"/>
          <w:szCs w:val="20"/>
        </w:rPr>
      </w:pPr>
      <w:r w:rsidRPr="00D07BF9">
        <w:rPr>
          <w:rFonts w:ascii="Verdana" w:hAnsi="Verdana"/>
          <w:sz w:val="20"/>
          <w:szCs w:val="20"/>
        </w:rPr>
        <w:t>XXII. Revisar la aplicación de los recursos públicos que se destinen y ejerzan por cualquier entidad, persona física o jurídico colectiva, pública o privada y los transferidos a fideicomisos, mandatos, fondos, comités, patronatos, consejos o cualquier otra figura jurídica;</w:t>
      </w:r>
    </w:p>
    <w:p w:rsidRPr="00D07BF9" w:rsidR="00D07BF9" w:rsidP="00D07BF9" w:rsidRDefault="00D07BF9" w14:paraId="691AAABB" w14:textId="77777777">
      <w:pPr>
        <w:pStyle w:val="Estilo"/>
        <w:rPr>
          <w:rFonts w:ascii="Verdana" w:hAnsi="Verdana"/>
          <w:sz w:val="20"/>
          <w:szCs w:val="20"/>
        </w:rPr>
      </w:pPr>
    </w:p>
    <w:p w:rsidRPr="00D07BF9" w:rsidR="00D07BF9" w:rsidP="00D07BF9" w:rsidRDefault="00D07BF9" w14:paraId="3F14BAF3" w14:textId="77777777">
      <w:pPr>
        <w:pStyle w:val="Estilo"/>
        <w:rPr>
          <w:rFonts w:ascii="Verdana" w:hAnsi="Verdana"/>
          <w:sz w:val="20"/>
          <w:szCs w:val="20"/>
        </w:rPr>
      </w:pPr>
      <w:r w:rsidRPr="00D07BF9">
        <w:rPr>
          <w:rFonts w:ascii="Verdana" w:hAnsi="Verdana"/>
          <w:sz w:val="20"/>
          <w:szCs w:val="20"/>
        </w:rPr>
        <w:lastRenderedPageBreak/>
        <w:t>XXIII. Dar seguimiento a las acciones de responsabilidad y recomendaciones que emita, para su debida implementación o cumplimiento, así como al ejercicio de las acciones civiles por parte de los sujetos de fiscalización;</w:t>
      </w:r>
    </w:p>
    <w:p w:rsidRPr="00D07BF9" w:rsidR="00D07BF9" w:rsidP="00D07BF9" w:rsidRDefault="00D07BF9" w14:paraId="1954CF27" w14:textId="77777777">
      <w:pPr>
        <w:pStyle w:val="Estilo"/>
        <w:rPr>
          <w:rFonts w:ascii="Verdana" w:hAnsi="Verdana"/>
          <w:sz w:val="20"/>
          <w:szCs w:val="20"/>
        </w:rPr>
      </w:pPr>
    </w:p>
    <w:p w:rsidRPr="00D07BF9" w:rsidR="00D07BF9" w:rsidP="00D07BF9" w:rsidRDefault="00D07BF9" w14:paraId="659BBA98" w14:textId="77777777">
      <w:pPr>
        <w:pStyle w:val="Estilo"/>
        <w:rPr>
          <w:rFonts w:ascii="Verdana" w:hAnsi="Verdana"/>
          <w:sz w:val="20"/>
          <w:szCs w:val="20"/>
        </w:rPr>
      </w:pPr>
      <w:r w:rsidRPr="00D07BF9">
        <w:rPr>
          <w:rFonts w:ascii="Verdana" w:hAnsi="Verdana"/>
          <w:sz w:val="20"/>
          <w:szCs w:val="20"/>
        </w:rPr>
        <w:t>XXIV. Rendir al Congreso, los informes derivados del ejercicio de la función de fiscalización;</w:t>
      </w:r>
    </w:p>
    <w:p w:rsidRPr="00D07BF9" w:rsidR="00D07BF9" w:rsidP="00D07BF9" w:rsidRDefault="00D07BF9" w14:paraId="22525899" w14:textId="77777777">
      <w:pPr>
        <w:pStyle w:val="Estilo"/>
        <w:rPr>
          <w:rFonts w:ascii="Verdana" w:hAnsi="Verdana"/>
          <w:sz w:val="20"/>
          <w:szCs w:val="20"/>
        </w:rPr>
      </w:pPr>
    </w:p>
    <w:p w:rsidRPr="00D07BF9" w:rsidR="00D07BF9" w:rsidP="00D07BF9" w:rsidRDefault="00D07BF9" w14:paraId="4C1DB754" w14:textId="77777777">
      <w:pPr>
        <w:pStyle w:val="Estilo"/>
        <w:rPr>
          <w:rFonts w:ascii="Verdana" w:hAnsi="Verdana"/>
          <w:sz w:val="20"/>
          <w:szCs w:val="20"/>
        </w:rPr>
      </w:pPr>
      <w:r w:rsidRPr="00D07BF9">
        <w:rPr>
          <w:rFonts w:ascii="Verdana" w:hAnsi="Verdana"/>
          <w:sz w:val="20"/>
          <w:szCs w:val="20"/>
        </w:rPr>
        <w:t>XXV. Presentar al Congreso su anteproyecto de presupuesto anual;</w:t>
      </w:r>
    </w:p>
    <w:p w:rsidRPr="00D07BF9" w:rsidR="00D07BF9" w:rsidP="00D07BF9" w:rsidRDefault="00D07BF9" w14:paraId="2B0EF1E0" w14:textId="77777777">
      <w:pPr>
        <w:pStyle w:val="Estilo"/>
        <w:rPr>
          <w:rFonts w:ascii="Verdana" w:hAnsi="Verdana"/>
          <w:sz w:val="20"/>
          <w:szCs w:val="20"/>
        </w:rPr>
      </w:pPr>
    </w:p>
    <w:p w:rsidRPr="00D07BF9" w:rsidR="00D07BF9" w:rsidP="00D07BF9" w:rsidRDefault="00D07BF9" w14:paraId="7761E87A" w14:textId="77777777">
      <w:pPr>
        <w:pStyle w:val="Estilo"/>
        <w:rPr>
          <w:rFonts w:ascii="Verdana" w:hAnsi="Verdana"/>
          <w:sz w:val="20"/>
          <w:szCs w:val="20"/>
        </w:rPr>
      </w:pPr>
      <w:r w:rsidRPr="00D07BF9">
        <w:rPr>
          <w:rFonts w:ascii="Verdana" w:hAnsi="Verdana"/>
          <w:sz w:val="20"/>
          <w:szCs w:val="20"/>
        </w:rPr>
        <w:t>XXVI. Proponer al Congreso el proyecto de Reglamento de la Ley de Fiscalización Superior del Estado de Guanajuato;</w:t>
      </w:r>
    </w:p>
    <w:p w:rsidRPr="00D07BF9" w:rsidR="00D07BF9" w:rsidP="00D07BF9" w:rsidRDefault="00D07BF9" w14:paraId="022082D1" w14:textId="77777777">
      <w:pPr>
        <w:pStyle w:val="Estilo"/>
        <w:rPr>
          <w:rFonts w:ascii="Verdana" w:hAnsi="Verdana"/>
          <w:sz w:val="20"/>
          <w:szCs w:val="20"/>
        </w:rPr>
      </w:pPr>
    </w:p>
    <w:p w:rsidRPr="00D07BF9" w:rsidR="00D07BF9" w:rsidP="00D07BF9" w:rsidRDefault="00D07BF9" w14:paraId="34472E05" w14:textId="77777777">
      <w:pPr>
        <w:pStyle w:val="Estilo"/>
        <w:rPr>
          <w:rFonts w:ascii="Verdana" w:hAnsi="Verdana"/>
          <w:sz w:val="20"/>
          <w:szCs w:val="20"/>
        </w:rPr>
      </w:pPr>
      <w:r w:rsidRPr="00D07BF9">
        <w:rPr>
          <w:rFonts w:ascii="Verdana" w:hAnsi="Verdana"/>
          <w:sz w:val="20"/>
          <w:szCs w:val="20"/>
        </w:rPr>
        <w:t>XXVII. Analizar y en su caso presentar a la Comisión, propuestas de reformas o adiciones al marco normativo estatal en materia de transparencia, fiscalización y gestión financiera;</w:t>
      </w:r>
    </w:p>
    <w:p w:rsidRPr="00D07BF9" w:rsidR="00D07BF9" w:rsidP="00D07BF9" w:rsidRDefault="00D07BF9" w14:paraId="29BD4219" w14:textId="77777777">
      <w:pPr>
        <w:pStyle w:val="Estilo"/>
        <w:rPr>
          <w:rFonts w:ascii="Verdana" w:hAnsi="Verdana"/>
          <w:sz w:val="20"/>
          <w:szCs w:val="20"/>
        </w:rPr>
      </w:pPr>
    </w:p>
    <w:p w:rsidRPr="00D07BF9" w:rsidR="00D07BF9" w:rsidP="00D07BF9" w:rsidRDefault="00D07BF9" w14:paraId="5C9D801D" w14:textId="77777777">
      <w:pPr>
        <w:pStyle w:val="Estilo"/>
        <w:rPr>
          <w:rFonts w:ascii="Verdana" w:hAnsi="Verdana"/>
          <w:sz w:val="20"/>
          <w:szCs w:val="20"/>
        </w:rPr>
      </w:pPr>
      <w:r w:rsidRPr="00D07BF9">
        <w:rPr>
          <w:rFonts w:ascii="Verdana" w:hAnsi="Verdana"/>
          <w:sz w:val="20"/>
          <w:szCs w:val="20"/>
        </w:rPr>
        <w:t>XXVIII. Expedir y aprobar su reglamento interior, así como las disposiciones administrativas para ejercicio de sus atribuciones, así como el manual de criterios, procedimientos y métodos relativos al proceso de fiscalización, mismos que deberán publicarse en el Periódico Oficial del Gobierno del Estado y en la página electrónica institucional de la Auditoría Superior;</w:t>
      </w:r>
    </w:p>
    <w:p w:rsidRPr="00D07BF9" w:rsidR="00D07BF9" w:rsidP="00D07BF9" w:rsidRDefault="00D07BF9" w14:paraId="2148B9DF" w14:textId="77777777">
      <w:pPr>
        <w:pStyle w:val="Estilo"/>
        <w:rPr>
          <w:rFonts w:ascii="Verdana" w:hAnsi="Verdana"/>
          <w:sz w:val="20"/>
          <w:szCs w:val="20"/>
        </w:rPr>
      </w:pPr>
    </w:p>
    <w:p w:rsidRPr="00D07BF9" w:rsidR="00D07BF9" w:rsidP="00D07BF9" w:rsidRDefault="00D07BF9" w14:paraId="7E0F519C" w14:textId="77777777">
      <w:pPr>
        <w:pStyle w:val="Estilo"/>
        <w:rPr>
          <w:rFonts w:ascii="Verdana" w:hAnsi="Verdana"/>
          <w:sz w:val="20"/>
          <w:szCs w:val="20"/>
        </w:rPr>
      </w:pPr>
      <w:r w:rsidRPr="00D07BF9">
        <w:rPr>
          <w:rFonts w:ascii="Verdana" w:hAnsi="Verdana"/>
          <w:sz w:val="20"/>
          <w:szCs w:val="20"/>
        </w:rPr>
        <w:t>XXIX. Evaluar el cumplimiento final de los objetivos y metas fijados en los planes y programas, conforme a los principios de eficacia, economía y eficiencia;</w:t>
      </w:r>
    </w:p>
    <w:p w:rsidRPr="00D07BF9" w:rsidR="00D07BF9" w:rsidP="00D07BF9" w:rsidRDefault="00D07BF9" w14:paraId="2CBAD751" w14:textId="77777777">
      <w:pPr>
        <w:pStyle w:val="Estilo"/>
        <w:rPr>
          <w:rFonts w:ascii="Verdana" w:hAnsi="Verdana"/>
          <w:sz w:val="20"/>
          <w:szCs w:val="20"/>
        </w:rPr>
      </w:pPr>
    </w:p>
    <w:p w:rsidRPr="00D07BF9" w:rsidR="00D07BF9" w:rsidP="00D07BF9" w:rsidRDefault="00D07BF9" w14:paraId="16E30BD4" w14:textId="77777777">
      <w:pPr>
        <w:pStyle w:val="Estilo"/>
        <w:rPr>
          <w:rFonts w:ascii="Verdana" w:hAnsi="Verdana"/>
          <w:sz w:val="20"/>
          <w:szCs w:val="20"/>
        </w:rPr>
      </w:pPr>
      <w:r w:rsidRPr="00D07BF9">
        <w:rPr>
          <w:rFonts w:ascii="Verdana" w:hAnsi="Verdana"/>
          <w:sz w:val="20"/>
          <w:szCs w:val="20"/>
        </w:rPr>
        <w:t>XXX. Obtener durante el desarrollo de los procesos de fiscalización, copia de los documentos originales que se tengan a la vista y certificarlas mediante cotejo con sus originales;</w:t>
      </w:r>
    </w:p>
    <w:p w:rsidRPr="00D07BF9" w:rsidR="00D07BF9" w:rsidP="00D07BF9" w:rsidRDefault="00D07BF9" w14:paraId="1F498FD8" w14:textId="77777777">
      <w:pPr>
        <w:pStyle w:val="Estilo"/>
        <w:rPr>
          <w:rFonts w:ascii="Verdana" w:hAnsi="Verdana"/>
          <w:sz w:val="20"/>
          <w:szCs w:val="20"/>
        </w:rPr>
      </w:pPr>
    </w:p>
    <w:p w:rsidRPr="00D07BF9" w:rsidR="00D07BF9" w:rsidP="00D07BF9" w:rsidRDefault="00D07BF9" w14:paraId="6420246A" w14:textId="77777777">
      <w:pPr>
        <w:pStyle w:val="Estilo"/>
        <w:rPr>
          <w:rFonts w:ascii="Verdana" w:hAnsi="Verdana"/>
          <w:sz w:val="20"/>
          <w:szCs w:val="20"/>
        </w:rPr>
      </w:pPr>
      <w:r w:rsidRPr="00D07BF9">
        <w:rPr>
          <w:rFonts w:ascii="Verdana" w:hAnsi="Verdana"/>
          <w:sz w:val="20"/>
          <w:szCs w:val="20"/>
        </w:rPr>
        <w:t>XXXI. Imponer medidas de apremio a los sujetos de fiscalización o a terceros en términos de lo dispuesto en la ley;</w:t>
      </w:r>
    </w:p>
    <w:p w:rsidRPr="00D07BF9" w:rsidR="00D07BF9" w:rsidP="00D07BF9" w:rsidRDefault="00D07BF9" w14:paraId="4021D345" w14:textId="77777777">
      <w:pPr>
        <w:pStyle w:val="Estilo"/>
        <w:rPr>
          <w:rFonts w:ascii="Verdana" w:hAnsi="Verdana"/>
          <w:sz w:val="20"/>
          <w:szCs w:val="20"/>
        </w:rPr>
      </w:pPr>
    </w:p>
    <w:p w:rsidRPr="00D07BF9" w:rsidR="00D07BF9" w:rsidP="00D07BF9" w:rsidRDefault="00D07BF9" w14:paraId="6CB2D2F5" w14:textId="77777777">
      <w:pPr>
        <w:pStyle w:val="Estilo"/>
        <w:rPr>
          <w:rFonts w:ascii="Verdana" w:hAnsi="Verdana"/>
          <w:sz w:val="20"/>
          <w:szCs w:val="20"/>
        </w:rPr>
      </w:pPr>
      <w:r w:rsidRPr="00D07BF9">
        <w:rPr>
          <w:rFonts w:ascii="Verdana" w:hAnsi="Verdana"/>
          <w:sz w:val="20"/>
          <w:szCs w:val="20"/>
        </w:rPr>
        <w:t>XXXII. Formular recomendaciones al desempeño para mejorar los resultados, la eficacia, eficiencia y economía de los planes y programas, a fin de elevar la calidad del desempeño gubernamental;</w:t>
      </w:r>
    </w:p>
    <w:p w:rsidRPr="00D07BF9" w:rsidR="00D07BF9" w:rsidP="00D07BF9" w:rsidRDefault="00D07BF9" w14:paraId="2353F97E" w14:textId="77777777">
      <w:pPr>
        <w:pStyle w:val="Estilo"/>
        <w:rPr>
          <w:rFonts w:ascii="Verdana" w:hAnsi="Verdana"/>
          <w:sz w:val="20"/>
          <w:szCs w:val="20"/>
        </w:rPr>
      </w:pPr>
    </w:p>
    <w:p w:rsidRPr="00D07BF9" w:rsidR="00D07BF9" w:rsidP="00D07BF9" w:rsidRDefault="00D07BF9" w14:paraId="67970D3F" w14:textId="77777777">
      <w:pPr>
        <w:pStyle w:val="Estilo"/>
        <w:rPr>
          <w:rFonts w:ascii="Verdana" w:hAnsi="Verdana"/>
          <w:sz w:val="20"/>
          <w:szCs w:val="20"/>
        </w:rPr>
      </w:pPr>
      <w:r w:rsidRPr="00D07BF9">
        <w:rPr>
          <w:rFonts w:ascii="Verdana" w:hAnsi="Verdana"/>
          <w:sz w:val="20"/>
          <w:szCs w:val="20"/>
        </w:rPr>
        <w:t>XXXIII. Efectuar promociones de responsabilidad administrativa sancionatoria o denuncias de hechos;</w:t>
      </w:r>
    </w:p>
    <w:p w:rsidRPr="00D07BF9" w:rsidR="00D07BF9" w:rsidP="00D07BF9" w:rsidRDefault="00D07BF9" w14:paraId="28E405C0" w14:textId="77777777">
      <w:pPr>
        <w:pStyle w:val="Estilo"/>
        <w:rPr>
          <w:rFonts w:ascii="Verdana" w:hAnsi="Verdana"/>
          <w:sz w:val="20"/>
          <w:szCs w:val="20"/>
        </w:rPr>
      </w:pPr>
    </w:p>
    <w:p w:rsidRPr="00D07BF9" w:rsidR="00D07BF9" w:rsidP="00D07BF9" w:rsidRDefault="00D07BF9" w14:paraId="4EBD64C0" w14:textId="77777777">
      <w:pPr>
        <w:pStyle w:val="Estilo"/>
        <w:rPr>
          <w:rFonts w:ascii="Verdana" w:hAnsi="Verdana"/>
          <w:sz w:val="20"/>
          <w:szCs w:val="20"/>
        </w:rPr>
      </w:pPr>
      <w:r w:rsidRPr="00D07BF9">
        <w:rPr>
          <w:rFonts w:ascii="Verdana" w:hAnsi="Verdana"/>
          <w:sz w:val="20"/>
          <w:szCs w:val="20"/>
        </w:rPr>
        <w:t>XXXIV. Promover ante las autoridades el ejercicio de las facultades de comprobación fiscal y, en su caso, proporcionar información a las mismas sobre ingresos, adquisiciones o facturaciones, en los términos previstos en el Reglamento; y</w:t>
      </w:r>
    </w:p>
    <w:p w:rsidRPr="00D07BF9" w:rsidR="00D07BF9" w:rsidP="00D07BF9" w:rsidRDefault="00D07BF9" w14:paraId="52CEF6F6" w14:textId="77777777">
      <w:pPr>
        <w:pStyle w:val="Estilo"/>
        <w:rPr>
          <w:rFonts w:ascii="Verdana" w:hAnsi="Verdana"/>
          <w:sz w:val="20"/>
          <w:szCs w:val="20"/>
        </w:rPr>
      </w:pPr>
    </w:p>
    <w:p w:rsidRPr="00D07BF9" w:rsidR="00D07BF9" w:rsidP="00D07BF9" w:rsidRDefault="00D07BF9" w14:paraId="68E513B5" w14:textId="77777777">
      <w:pPr>
        <w:pStyle w:val="Estilo"/>
        <w:rPr>
          <w:rFonts w:ascii="Verdana" w:hAnsi="Verdana"/>
          <w:sz w:val="20"/>
          <w:szCs w:val="20"/>
        </w:rPr>
      </w:pPr>
      <w:r w:rsidRPr="00D07BF9">
        <w:rPr>
          <w:rFonts w:ascii="Verdana" w:hAnsi="Verdana"/>
          <w:sz w:val="20"/>
          <w:szCs w:val="20"/>
        </w:rPr>
        <w:t>XXXV. Las demás conferidas en esta ley y en otros ordenamientos.</w:t>
      </w:r>
    </w:p>
    <w:p w:rsidRPr="00D07BF9" w:rsidR="00D07BF9" w:rsidP="00D07BF9" w:rsidRDefault="00D07BF9" w14:paraId="3731E683" w14:textId="77777777">
      <w:pPr>
        <w:pStyle w:val="Estilo"/>
        <w:rPr>
          <w:rFonts w:ascii="Verdana" w:hAnsi="Verdana"/>
          <w:sz w:val="20"/>
          <w:szCs w:val="20"/>
        </w:rPr>
      </w:pPr>
    </w:p>
    <w:p w:rsidRPr="007D6808" w:rsidR="00D07BF9" w:rsidP="007D6808" w:rsidRDefault="00D07BF9" w14:paraId="10650EAD" w14:textId="77777777">
      <w:pPr>
        <w:pStyle w:val="Estilo"/>
        <w:jc w:val="right"/>
        <w:rPr>
          <w:rFonts w:ascii="Verdana" w:hAnsi="Verdana"/>
          <w:b/>
          <w:bCs/>
          <w:sz w:val="20"/>
          <w:szCs w:val="20"/>
        </w:rPr>
      </w:pPr>
      <w:r w:rsidRPr="007D6808">
        <w:rPr>
          <w:rFonts w:ascii="Verdana" w:hAnsi="Verdana"/>
          <w:b/>
          <w:bCs/>
          <w:sz w:val="20"/>
          <w:szCs w:val="20"/>
        </w:rPr>
        <w:t>Publicación del reglamento interior</w:t>
      </w:r>
    </w:p>
    <w:p w:rsidRPr="00D07BF9" w:rsidR="00D07BF9" w:rsidP="00D07BF9" w:rsidRDefault="00D07BF9" w14:paraId="0FF0C995" w14:textId="77777777">
      <w:pPr>
        <w:pStyle w:val="Estilo"/>
        <w:rPr>
          <w:rFonts w:ascii="Verdana" w:hAnsi="Verdana"/>
          <w:sz w:val="20"/>
          <w:szCs w:val="20"/>
        </w:rPr>
      </w:pPr>
      <w:r w:rsidRPr="00D07BF9">
        <w:rPr>
          <w:rFonts w:ascii="Verdana" w:hAnsi="Verdana"/>
          <w:sz w:val="20"/>
          <w:szCs w:val="20"/>
        </w:rPr>
        <w:t>Artículo 83. El reglamento interior y demás normatividad interna de la Auditoría Superior deberán publicarse en el Periódico Oficial del Gobierno del Estado, así como en su página electrónica institucional.</w:t>
      </w:r>
    </w:p>
    <w:p w:rsidR="00D07BF9" w:rsidP="00D07BF9" w:rsidRDefault="00D07BF9" w14:paraId="23721E97" w14:textId="6853E03B">
      <w:pPr>
        <w:pStyle w:val="Estilo"/>
        <w:rPr>
          <w:rFonts w:ascii="Verdana" w:hAnsi="Verdana"/>
          <w:sz w:val="20"/>
          <w:szCs w:val="20"/>
        </w:rPr>
      </w:pPr>
    </w:p>
    <w:p w:rsidR="007D6808" w:rsidP="00D07BF9" w:rsidRDefault="007D6808" w14:paraId="74CE29FF" w14:textId="242E116D">
      <w:pPr>
        <w:pStyle w:val="Estilo"/>
        <w:rPr>
          <w:rFonts w:ascii="Verdana" w:hAnsi="Verdana"/>
          <w:sz w:val="20"/>
          <w:szCs w:val="20"/>
        </w:rPr>
      </w:pPr>
    </w:p>
    <w:p w:rsidR="007D6808" w:rsidP="00D07BF9" w:rsidRDefault="007D6808" w14:paraId="165F4AC2" w14:textId="60C3A4E1">
      <w:pPr>
        <w:pStyle w:val="Estilo"/>
        <w:rPr>
          <w:rFonts w:ascii="Verdana" w:hAnsi="Verdana"/>
          <w:sz w:val="20"/>
          <w:szCs w:val="20"/>
        </w:rPr>
      </w:pPr>
    </w:p>
    <w:p w:rsidRPr="00D07BF9" w:rsidR="007D6808" w:rsidP="00D07BF9" w:rsidRDefault="007D6808" w14:paraId="4C99329D" w14:textId="77777777">
      <w:pPr>
        <w:pStyle w:val="Estilo"/>
        <w:rPr>
          <w:rFonts w:ascii="Verdana" w:hAnsi="Verdana"/>
          <w:sz w:val="20"/>
          <w:szCs w:val="20"/>
        </w:rPr>
      </w:pPr>
    </w:p>
    <w:p w:rsidRPr="007D6808" w:rsidR="00D07BF9" w:rsidP="007D6808" w:rsidRDefault="00D07BF9" w14:paraId="6C0C48F1" w14:textId="77777777">
      <w:pPr>
        <w:pStyle w:val="Estilo"/>
        <w:jc w:val="right"/>
        <w:rPr>
          <w:rFonts w:ascii="Verdana" w:hAnsi="Verdana"/>
          <w:b/>
          <w:bCs/>
          <w:sz w:val="20"/>
          <w:szCs w:val="20"/>
        </w:rPr>
      </w:pPr>
      <w:r w:rsidRPr="007D6808">
        <w:rPr>
          <w:rFonts w:ascii="Verdana" w:hAnsi="Verdana"/>
          <w:b/>
          <w:bCs/>
          <w:sz w:val="20"/>
          <w:szCs w:val="20"/>
        </w:rPr>
        <w:lastRenderedPageBreak/>
        <w:t>Anteproyecto de presupuesto</w:t>
      </w:r>
    </w:p>
    <w:p w:rsidRPr="00D07BF9" w:rsidR="00D07BF9" w:rsidP="00D07BF9" w:rsidRDefault="00D07BF9" w14:paraId="2E572755" w14:textId="77777777">
      <w:pPr>
        <w:pStyle w:val="Estilo"/>
        <w:rPr>
          <w:rFonts w:ascii="Verdana" w:hAnsi="Verdana"/>
          <w:sz w:val="20"/>
          <w:szCs w:val="20"/>
        </w:rPr>
      </w:pPr>
      <w:r w:rsidRPr="00D07BF9">
        <w:rPr>
          <w:rFonts w:ascii="Verdana" w:hAnsi="Verdana"/>
          <w:sz w:val="20"/>
          <w:szCs w:val="20"/>
        </w:rPr>
        <w:t>Artículo 84. La Auditoría Superior elaborará su anteproyecto de presupuesto, el cual tendrá carácter público y contendrá, de conformidad con las previsiones de gasto, los recursos necesarios para cumplir a cabalidad con su función, objetivos y metas a cumplir.</w:t>
      </w:r>
    </w:p>
    <w:p w:rsidRPr="00D07BF9" w:rsidR="00D07BF9" w:rsidP="00D07BF9" w:rsidRDefault="00D07BF9" w14:paraId="608CC35D" w14:textId="77777777">
      <w:pPr>
        <w:pStyle w:val="Estilo"/>
        <w:rPr>
          <w:rFonts w:ascii="Verdana" w:hAnsi="Verdana"/>
          <w:sz w:val="20"/>
          <w:szCs w:val="20"/>
        </w:rPr>
      </w:pPr>
    </w:p>
    <w:p w:rsidRPr="007D6808" w:rsidR="00D07BF9" w:rsidP="007D6808" w:rsidRDefault="00D07BF9" w14:paraId="132FBEAC" w14:textId="77777777">
      <w:pPr>
        <w:pStyle w:val="Estilo"/>
        <w:jc w:val="right"/>
        <w:rPr>
          <w:rFonts w:ascii="Verdana" w:hAnsi="Verdana"/>
          <w:b/>
          <w:bCs/>
          <w:sz w:val="20"/>
          <w:szCs w:val="20"/>
        </w:rPr>
      </w:pPr>
      <w:r w:rsidRPr="007D6808">
        <w:rPr>
          <w:rFonts w:ascii="Verdana" w:hAnsi="Verdana"/>
          <w:b/>
          <w:bCs/>
          <w:sz w:val="20"/>
          <w:szCs w:val="20"/>
        </w:rPr>
        <w:t>Ejercicio y administración del presupuesto</w:t>
      </w:r>
    </w:p>
    <w:p w:rsidRPr="00D07BF9" w:rsidR="00D07BF9" w:rsidP="00D07BF9" w:rsidRDefault="00D07BF9" w14:paraId="29B297F0" w14:textId="77777777">
      <w:pPr>
        <w:pStyle w:val="Estilo"/>
        <w:rPr>
          <w:rFonts w:ascii="Verdana" w:hAnsi="Verdana"/>
          <w:sz w:val="20"/>
          <w:szCs w:val="20"/>
        </w:rPr>
      </w:pPr>
      <w:r w:rsidRPr="00D07BF9">
        <w:rPr>
          <w:rFonts w:ascii="Verdana" w:hAnsi="Verdana"/>
          <w:sz w:val="20"/>
          <w:szCs w:val="20"/>
        </w:rPr>
        <w:t>Artículo 85. La Auditoría Superior ejercerá autónomamente su presupuesto aprobado, de conformidad con las disposiciones legales y administrará sus recursos de forma que se garantice que todas sus direcciones y áreas cuenten con los elementos necesarios para el adecuado cumplimiento de sus funciones.</w:t>
      </w:r>
    </w:p>
    <w:p w:rsidRPr="00D07BF9" w:rsidR="00D07BF9" w:rsidP="00D07BF9" w:rsidRDefault="00D07BF9" w14:paraId="437BA8A8" w14:textId="77777777">
      <w:pPr>
        <w:pStyle w:val="Estilo"/>
        <w:rPr>
          <w:rFonts w:ascii="Verdana" w:hAnsi="Verdana"/>
          <w:sz w:val="20"/>
          <w:szCs w:val="20"/>
        </w:rPr>
      </w:pPr>
    </w:p>
    <w:p w:rsidRPr="007D6808" w:rsidR="00D07BF9" w:rsidP="007D6808" w:rsidRDefault="00D07BF9" w14:paraId="7A020008" w14:textId="77777777">
      <w:pPr>
        <w:pStyle w:val="Estilo"/>
        <w:jc w:val="right"/>
        <w:rPr>
          <w:rFonts w:ascii="Verdana" w:hAnsi="Verdana"/>
          <w:b/>
          <w:bCs/>
          <w:sz w:val="20"/>
          <w:szCs w:val="20"/>
        </w:rPr>
      </w:pPr>
      <w:r w:rsidRPr="007D6808">
        <w:rPr>
          <w:rFonts w:ascii="Verdana" w:hAnsi="Verdana"/>
          <w:b/>
          <w:bCs/>
          <w:sz w:val="20"/>
          <w:szCs w:val="20"/>
        </w:rPr>
        <w:t>Informe anual de labores</w:t>
      </w:r>
    </w:p>
    <w:p w:rsidRPr="00D07BF9" w:rsidR="00D07BF9" w:rsidP="00D07BF9" w:rsidRDefault="00D07BF9" w14:paraId="39C82C4A" w14:textId="77777777">
      <w:pPr>
        <w:pStyle w:val="Estilo"/>
        <w:rPr>
          <w:rFonts w:ascii="Verdana" w:hAnsi="Verdana"/>
          <w:sz w:val="20"/>
          <w:szCs w:val="20"/>
        </w:rPr>
      </w:pPr>
      <w:r w:rsidRPr="00D07BF9">
        <w:rPr>
          <w:rFonts w:ascii="Verdana" w:hAnsi="Verdana"/>
          <w:sz w:val="20"/>
          <w:szCs w:val="20"/>
        </w:rPr>
        <w:t>Artículo 86. La Auditoría Superior rendirá al Órgano de Gobierno en el primer bimestre del año, un informe anual sobre todas sus labores y actividades institucionales efectuadas durante el año inmediato anterior.</w:t>
      </w:r>
    </w:p>
    <w:p w:rsidRPr="00D07BF9" w:rsidR="00D07BF9" w:rsidP="00D07BF9" w:rsidRDefault="00D07BF9" w14:paraId="4F57F69D" w14:textId="77777777">
      <w:pPr>
        <w:pStyle w:val="Estilo"/>
        <w:rPr>
          <w:rFonts w:ascii="Verdana" w:hAnsi="Verdana"/>
          <w:sz w:val="20"/>
          <w:szCs w:val="20"/>
        </w:rPr>
      </w:pPr>
    </w:p>
    <w:p w:rsidRPr="00D07BF9" w:rsidR="00D07BF9" w:rsidP="00D07BF9" w:rsidRDefault="00D07BF9" w14:paraId="7C9CB5CE" w14:textId="77777777">
      <w:pPr>
        <w:pStyle w:val="Estilo"/>
        <w:rPr>
          <w:rFonts w:ascii="Verdana" w:hAnsi="Verdana"/>
          <w:sz w:val="20"/>
          <w:szCs w:val="20"/>
        </w:rPr>
      </w:pPr>
    </w:p>
    <w:p w:rsidRPr="007D6808" w:rsidR="00D07BF9" w:rsidP="007D6808" w:rsidRDefault="00D07BF9" w14:paraId="22F798B3" w14:textId="77777777">
      <w:pPr>
        <w:pStyle w:val="Estilo"/>
        <w:jc w:val="center"/>
        <w:rPr>
          <w:rFonts w:ascii="Verdana" w:hAnsi="Verdana"/>
          <w:b/>
          <w:bCs/>
          <w:sz w:val="20"/>
          <w:szCs w:val="20"/>
        </w:rPr>
      </w:pPr>
      <w:r w:rsidRPr="007D6808">
        <w:rPr>
          <w:rFonts w:ascii="Verdana" w:hAnsi="Verdana"/>
          <w:b/>
          <w:bCs/>
          <w:sz w:val="20"/>
          <w:szCs w:val="20"/>
        </w:rPr>
        <w:t>Capítulo II</w:t>
      </w:r>
    </w:p>
    <w:p w:rsidRPr="007D6808" w:rsidR="00D07BF9" w:rsidP="007D6808" w:rsidRDefault="00D07BF9" w14:paraId="7DECED4F" w14:textId="77777777">
      <w:pPr>
        <w:pStyle w:val="Estilo"/>
        <w:jc w:val="center"/>
        <w:rPr>
          <w:rFonts w:ascii="Verdana" w:hAnsi="Verdana"/>
          <w:b/>
          <w:bCs/>
          <w:sz w:val="20"/>
          <w:szCs w:val="20"/>
        </w:rPr>
      </w:pPr>
      <w:r w:rsidRPr="007D6808">
        <w:rPr>
          <w:rFonts w:ascii="Verdana" w:hAnsi="Verdana"/>
          <w:b/>
          <w:bCs/>
          <w:sz w:val="20"/>
          <w:szCs w:val="20"/>
        </w:rPr>
        <w:t>Auditor Superior</w:t>
      </w:r>
    </w:p>
    <w:p w:rsidRPr="00D07BF9" w:rsidR="00D07BF9" w:rsidP="00D07BF9" w:rsidRDefault="00D07BF9" w14:paraId="0558E1D2" w14:textId="77777777">
      <w:pPr>
        <w:pStyle w:val="Estilo"/>
        <w:rPr>
          <w:rFonts w:ascii="Verdana" w:hAnsi="Verdana"/>
          <w:sz w:val="20"/>
          <w:szCs w:val="20"/>
        </w:rPr>
      </w:pPr>
    </w:p>
    <w:p w:rsidRPr="007D6808" w:rsidR="00D07BF9" w:rsidP="007D6808" w:rsidRDefault="00D07BF9" w14:paraId="3DDBDAFA" w14:textId="77777777">
      <w:pPr>
        <w:pStyle w:val="Estilo"/>
        <w:jc w:val="right"/>
        <w:rPr>
          <w:rFonts w:ascii="Verdana" w:hAnsi="Verdana"/>
          <w:b/>
          <w:bCs/>
          <w:sz w:val="20"/>
          <w:szCs w:val="20"/>
        </w:rPr>
      </w:pPr>
      <w:r w:rsidRPr="007D6808">
        <w:rPr>
          <w:rFonts w:ascii="Verdana" w:hAnsi="Verdana"/>
          <w:b/>
          <w:bCs/>
          <w:sz w:val="20"/>
          <w:szCs w:val="20"/>
        </w:rPr>
        <w:t>Atribuciones</w:t>
      </w:r>
    </w:p>
    <w:p w:rsidRPr="00D07BF9" w:rsidR="00D07BF9" w:rsidP="00D07BF9" w:rsidRDefault="00D07BF9" w14:paraId="366C90AC" w14:textId="77777777">
      <w:pPr>
        <w:pStyle w:val="Estilo"/>
        <w:rPr>
          <w:rFonts w:ascii="Verdana" w:hAnsi="Verdana"/>
          <w:sz w:val="20"/>
          <w:szCs w:val="20"/>
        </w:rPr>
      </w:pPr>
      <w:r w:rsidRPr="00D07BF9">
        <w:rPr>
          <w:rFonts w:ascii="Verdana" w:hAnsi="Verdana"/>
          <w:sz w:val="20"/>
          <w:szCs w:val="20"/>
        </w:rPr>
        <w:t>Artículo 87. Son atribuciones del Auditor Superior las siguientes:</w:t>
      </w:r>
    </w:p>
    <w:p w:rsidRPr="00D07BF9" w:rsidR="00D07BF9" w:rsidP="00D07BF9" w:rsidRDefault="00D07BF9" w14:paraId="7DF6E6E1" w14:textId="77777777">
      <w:pPr>
        <w:pStyle w:val="Estilo"/>
        <w:rPr>
          <w:rFonts w:ascii="Verdana" w:hAnsi="Verdana"/>
          <w:sz w:val="20"/>
          <w:szCs w:val="20"/>
        </w:rPr>
      </w:pPr>
    </w:p>
    <w:p w:rsidRPr="00D07BF9" w:rsidR="00D07BF9" w:rsidP="00D07BF9" w:rsidRDefault="00D07BF9" w14:paraId="04044220" w14:textId="77777777">
      <w:pPr>
        <w:pStyle w:val="Estilo"/>
        <w:rPr>
          <w:rFonts w:ascii="Verdana" w:hAnsi="Verdana"/>
          <w:sz w:val="20"/>
          <w:szCs w:val="20"/>
        </w:rPr>
      </w:pPr>
      <w:r w:rsidRPr="00D07BF9">
        <w:rPr>
          <w:rFonts w:ascii="Verdana" w:hAnsi="Verdana"/>
          <w:sz w:val="20"/>
          <w:szCs w:val="20"/>
        </w:rPr>
        <w:t>I. Representar legalmente a la Auditoría Superior e intervenir en toda clase de juicios en que ésta sea parte;</w:t>
      </w:r>
    </w:p>
    <w:p w:rsidRPr="00D07BF9" w:rsidR="00D07BF9" w:rsidP="00D07BF9" w:rsidRDefault="00D07BF9" w14:paraId="326966D2" w14:textId="77777777">
      <w:pPr>
        <w:pStyle w:val="Estilo"/>
        <w:rPr>
          <w:rFonts w:ascii="Verdana" w:hAnsi="Verdana"/>
          <w:sz w:val="20"/>
          <w:szCs w:val="20"/>
        </w:rPr>
      </w:pPr>
    </w:p>
    <w:p w:rsidRPr="00D07BF9" w:rsidR="00D07BF9" w:rsidP="00D07BF9" w:rsidRDefault="00D07BF9" w14:paraId="109A4BAD" w14:textId="77777777">
      <w:pPr>
        <w:pStyle w:val="Estilo"/>
        <w:rPr>
          <w:rFonts w:ascii="Verdana" w:hAnsi="Verdana"/>
          <w:sz w:val="20"/>
          <w:szCs w:val="20"/>
        </w:rPr>
      </w:pPr>
      <w:r w:rsidRPr="00D07BF9">
        <w:rPr>
          <w:rFonts w:ascii="Verdana" w:hAnsi="Verdana"/>
          <w:sz w:val="20"/>
          <w:szCs w:val="20"/>
        </w:rPr>
        <w:t>II. Absolver posiciones, siempre y cuando éstas se formulen por medio de oficio expedido por autoridad competente, quien contestará por la misma vía dentro del término que señale la ley;</w:t>
      </w:r>
    </w:p>
    <w:p w:rsidRPr="00D07BF9" w:rsidR="00D07BF9" w:rsidP="00D07BF9" w:rsidRDefault="00D07BF9" w14:paraId="0A55E6F8" w14:textId="77777777">
      <w:pPr>
        <w:pStyle w:val="Estilo"/>
        <w:rPr>
          <w:rFonts w:ascii="Verdana" w:hAnsi="Verdana"/>
          <w:sz w:val="20"/>
          <w:szCs w:val="20"/>
        </w:rPr>
      </w:pPr>
    </w:p>
    <w:p w:rsidRPr="00D07BF9" w:rsidR="00D07BF9" w:rsidP="00D07BF9" w:rsidRDefault="00D07BF9" w14:paraId="1C8A77A3" w14:textId="77777777">
      <w:pPr>
        <w:pStyle w:val="Estilo"/>
        <w:rPr>
          <w:rFonts w:ascii="Verdana" w:hAnsi="Verdana"/>
          <w:sz w:val="20"/>
          <w:szCs w:val="20"/>
        </w:rPr>
      </w:pPr>
      <w:r w:rsidRPr="00D07BF9">
        <w:rPr>
          <w:rFonts w:ascii="Verdana" w:hAnsi="Verdana"/>
          <w:sz w:val="20"/>
          <w:szCs w:val="20"/>
        </w:rPr>
        <w:t>III. Elaborar con apoyo de sus áreas, el anteproyecto de presupuesto anual de la Auditoría Superior y remitirlo al Congreso para su inclusión en el proyecto de presupuesto de egresos del Poder Legislativo del Estado;</w:t>
      </w:r>
    </w:p>
    <w:p w:rsidRPr="00D07BF9" w:rsidR="00D07BF9" w:rsidP="00D07BF9" w:rsidRDefault="00D07BF9" w14:paraId="071C5CE5" w14:textId="77777777">
      <w:pPr>
        <w:pStyle w:val="Estilo"/>
        <w:rPr>
          <w:rFonts w:ascii="Verdana" w:hAnsi="Verdana"/>
          <w:sz w:val="20"/>
          <w:szCs w:val="20"/>
        </w:rPr>
      </w:pPr>
    </w:p>
    <w:p w:rsidRPr="00D07BF9" w:rsidR="00D07BF9" w:rsidP="00D07BF9" w:rsidRDefault="00D07BF9" w14:paraId="662464E7" w14:textId="77777777">
      <w:pPr>
        <w:pStyle w:val="Estilo"/>
        <w:rPr>
          <w:rFonts w:ascii="Verdana" w:hAnsi="Verdana"/>
          <w:sz w:val="20"/>
          <w:szCs w:val="20"/>
        </w:rPr>
      </w:pPr>
      <w:r w:rsidRPr="00D07BF9">
        <w:rPr>
          <w:rFonts w:ascii="Verdana" w:hAnsi="Verdana"/>
          <w:sz w:val="20"/>
          <w:szCs w:val="20"/>
        </w:rPr>
        <w:t>IV. Administrar los bienes y recursos a cargo de la Auditoría Superior, resolver sobre la adquisición y enajenación de bienes muebles y la prestación de servicios, sujetándose a lo dispuesto en las leyes de la materia;</w:t>
      </w:r>
    </w:p>
    <w:p w:rsidRPr="00D07BF9" w:rsidR="00D07BF9" w:rsidP="00D07BF9" w:rsidRDefault="00D07BF9" w14:paraId="1D3FD619" w14:textId="77777777">
      <w:pPr>
        <w:pStyle w:val="Estilo"/>
        <w:rPr>
          <w:rFonts w:ascii="Verdana" w:hAnsi="Verdana"/>
          <w:sz w:val="20"/>
          <w:szCs w:val="20"/>
        </w:rPr>
      </w:pPr>
    </w:p>
    <w:p w:rsidRPr="00D07BF9" w:rsidR="00D07BF9" w:rsidP="00D07BF9" w:rsidRDefault="00D07BF9" w14:paraId="3505514D" w14:textId="77777777">
      <w:pPr>
        <w:pStyle w:val="Estilo"/>
        <w:rPr>
          <w:rFonts w:ascii="Verdana" w:hAnsi="Verdana"/>
          <w:sz w:val="20"/>
          <w:szCs w:val="20"/>
        </w:rPr>
      </w:pPr>
      <w:r w:rsidRPr="00D07BF9">
        <w:rPr>
          <w:rFonts w:ascii="Verdana" w:hAnsi="Verdana"/>
          <w:sz w:val="20"/>
          <w:szCs w:val="20"/>
        </w:rPr>
        <w:t>V. Aprobar el Programa General de Fiscalización, el cual será elaborado con el apoyo de los auditores especiales y directores generales;</w:t>
      </w:r>
    </w:p>
    <w:p w:rsidRPr="00D07BF9" w:rsidR="00D07BF9" w:rsidP="00D07BF9" w:rsidRDefault="00D07BF9" w14:paraId="280CD71C" w14:textId="77777777">
      <w:pPr>
        <w:pStyle w:val="Estilo"/>
        <w:rPr>
          <w:rFonts w:ascii="Verdana" w:hAnsi="Verdana"/>
          <w:sz w:val="20"/>
          <w:szCs w:val="20"/>
        </w:rPr>
      </w:pPr>
    </w:p>
    <w:p w:rsidRPr="00D07BF9" w:rsidR="00D07BF9" w:rsidP="00D07BF9" w:rsidRDefault="00D07BF9" w14:paraId="0FA50260" w14:textId="77777777">
      <w:pPr>
        <w:pStyle w:val="Estilo"/>
        <w:rPr>
          <w:rFonts w:ascii="Verdana" w:hAnsi="Verdana"/>
          <w:sz w:val="20"/>
          <w:szCs w:val="20"/>
        </w:rPr>
      </w:pPr>
      <w:r w:rsidRPr="00D07BF9">
        <w:rPr>
          <w:rFonts w:ascii="Verdana" w:hAnsi="Verdana"/>
          <w:sz w:val="20"/>
          <w:szCs w:val="20"/>
        </w:rPr>
        <w:t xml:space="preserve">VI. Expedir el reglamento interior de la Auditoría Superior, en el que se distribuirán las funciones que conforme a esta ley se otorgan a los titulares de las diversas áreas administrativas </w:t>
      </w:r>
      <w:proofErr w:type="gramStart"/>
      <w:r w:rsidRPr="00D07BF9">
        <w:rPr>
          <w:rFonts w:ascii="Verdana" w:hAnsi="Verdana"/>
          <w:sz w:val="20"/>
          <w:szCs w:val="20"/>
        </w:rPr>
        <w:t>y</w:t>
      </w:r>
      <w:proofErr w:type="gramEnd"/>
      <w:r w:rsidRPr="00D07BF9">
        <w:rPr>
          <w:rFonts w:ascii="Verdana" w:hAnsi="Verdana"/>
          <w:sz w:val="20"/>
          <w:szCs w:val="20"/>
        </w:rPr>
        <w:t xml:space="preserve"> además, establecerá la forma en que dichos titulares podrán ser suplidos en sus ausencias. El reglamento interior deberá publicarse en el Periódico Oficial del Gobierno del Estado;</w:t>
      </w:r>
    </w:p>
    <w:p w:rsidRPr="00D07BF9" w:rsidR="00D07BF9" w:rsidP="00D07BF9" w:rsidRDefault="00D07BF9" w14:paraId="4858CF00" w14:textId="77777777">
      <w:pPr>
        <w:pStyle w:val="Estilo"/>
        <w:rPr>
          <w:rFonts w:ascii="Verdana" w:hAnsi="Verdana"/>
          <w:sz w:val="20"/>
          <w:szCs w:val="20"/>
        </w:rPr>
      </w:pPr>
    </w:p>
    <w:p w:rsidRPr="00D07BF9" w:rsidR="00D07BF9" w:rsidP="00D07BF9" w:rsidRDefault="00D07BF9" w14:paraId="120A20B3" w14:textId="77777777">
      <w:pPr>
        <w:pStyle w:val="Estilo"/>
        <w:rPr>
          <w:rFonts w:ascii="Verdana" w:hAnsi="Verdana"/>
          <w:sz w:val="20"/>
          <w:szCs w:val="20"/>
        </w:rPr>
      </w:pPr>
      <w:r w:rsidRPr="00D07BF9">
        <w:rPr>
          <w:rFonts w:ascii="Verdana" w:hAnsi="Verdana"/>
          <w:sz w:val="20"/>
          <w:szCs w:val="20"/>
        </w:rPr>
        <w:t>VII. Elaborar, con el apoyo de los auditores especiales y directores generales, y expedir, los manuales de organización, criterios, procedimientos, métodos y servicios para el desempeño de la función de fiscalización de la Auditoría Superior, los que deberán publicarse en el Periódico Oficial del Gobierno del Estado;</w:t>
      </w:r>
    </w:p>
    <w:p w:rsidRPr="00D07BF9" w:rsidR="00D07BF9" w:rsidP="00D07BF9" w:rsidRDefault="00D07BF9" w14:paraId="29952382" w14:textId="77777777">
      <w:pPr>
        <w:pStyle w:val="Estilo"/>
        <w:rPr>
          <w:rFonts w:ascii="Verdana" w:hAnsi="Verdana"/>
          <w:sz w:val="20"/>
          <w:szCs w:val="20"/>
        </w:rPr>
      </w:pPr>
    </w:p>
    <w:p w:rsidRPr="00D07BF9" w:rsidR="00D07BF9" w:rsidP="00D07BF9" w:rsidRDefault="00D07BF9" w14:paraId="597FF9B5" w14:textId="77777777">
      <w:pPr>
        <w:pStyle w:val="Estilo"/>
        <w:rPr>
          <w:rFonts w:ascii="Verdana" w:hAnsi="Verdana"/>
          <w:sz w:val="20"/>
          <w:szCs w:val="20"/>
        </w:rPr>
      </w:pPr>
      <w:r w:rsidRPr="00D07BF9">
        <w:rPr>
          <w:rFonts w:ascii="Verdana" w:hAnsi="Verdana"/>
          <w:sz w:val="20"/>
          <w:szCs w:val="20"/>
        </w:rPr>
        <w:lastRenderedPageBreak/>
        <w:t>VIII. Nombrar a los auditores especiales y a los directores generales jurídico y administrativo de la Auditoría Superior. Dichos nombramientos requerirán la ratificación del Congreso del Estado. Asimismo, nombrará al demás personal de las unidades administrativas, direcciones y áreas, así como definir su estructura orgánica y proponer al Congreso las reformas a la ley y su Reglamento;</w:t>
      </w:r>
    </w:p>
    <w:p w:rsidRPr="00D07BF9" w:rsidR="00D07BF9" w:rsidP="00D07BF9" w:rsidRDefault="00D07BF9" w14:paraId="1D9B7989" w14:textId="77777777">
      <w:pPr>
        <w:pStyle w:val="Estilo"/>
        <w:rPr>
          <w:rFonts w:ascii="Verdana" w:hAnsi="Verdana"/>
          <w:sz w:val="20"/>
          <w:szCs w:val="20"/>
        </w:rPr>
      </w:pPr>
    </w:p>
    <w:p w:rsidRPr="00D07BF9" w:rsidR="00D07BF9" w:rsidP="00D07BF9" w:rsidRDefault="00D07BF9" w14:paraId="70923C02" w14:textId="77777777">
      <w:pPr>
        <w:pStyle w:val="Estilo"/>
        <w:rPr>
          <w:rFonts w:ascii="Verdana" w:hAnsi="Verdana"/>
          <w:sz w:val="20"/>
          <w:szCs w:val="20"/>
        </w:rPr>
      </w:pPr>
      <w:r w:rsidRPr="00D07BF9">
        <w:rPr>
          <w:rFonts w:ascii="Verdana" w:hAnsi="Verdana"/>
          <w:sz w:val="20"/>
          <w:szCs w:val="20"/>
        </w:rPr>
        <w:t>IX. Presentar al Pleno del Congreso para su aprobación, las propuestas de remoción de los auditores especiales y de los directores generales de la Auditoría Superior, en los términos de esta ley y demás disposiciones;</w:t>
      </w:r>
    </w:p>
    <w:p w:rsidRPr="00D07BF9" w:rsidR="00D07BF9" w:rsidP="00D07BF9" w:rsidRDefault="00D07BF9" w14:paraId="3514FE41" w14:textId="77777777">
      <w:pPr>
        <w:pStyle w:val="Estilo"/>
        <w:rPr>
          <w:rFonts w:ascii="Verdana" w:hAnsi="Verdana"/>
          <w:sz w:val="20"/>
          <w:szCs w:val="20"/>
        </w:rPr>
      </w:pPr>
    </w:p>
    <w:p w:rsidRPr="00D07BF9" w:rsidR="00D07BF9" w:rsidP="00D07BF9" w:rsidRDefault="00D07BF9" w14:paraId="016AE240" w14:textId="77777777">
      <w:pPr>
        <w:pStyle w:val="Estilo"/>
        <w:rPr>
          <w:rFonts w:ascii="Verdana" w:hAnsi="Verdana"/>
          <w:sz w:val="20"/>
          <w:szCs w:val="20"/>
        </w:rPr>
      </w:pPr>
      <w:r w:rsidRPr="00D07BF9">
        <w:rPr>
          <w:rFonts w:ascii="Verdana" w:hAnsi="Verdana"/>
          <w:sz w:val="20"/>
          <w:szCs w:val="20"/>
        </w:rPr>
        <w:t>X. Resolver el recurso de reconsideración que prevé esta ley;</w:t>
      </w:r>
    </w:p>
    <w:p w:rsidRPr="00D07BF9" w:rsidR="00D07BF9" w:rsidP="00D07BF9" w:rsidRDefault="00D07BF9" w14:paraId="7C767488" w14:textId="77777777">
      <w:pPr>
        <w:pStyle w:val="Estilo"/>
        <w:rPr>
          <w:rFonts w:ascii="Verdana" w:hAnsi="Verdana"/>
          <w:sz w:val="20"/>
          <w:szCs w:val="20"/>
        </w:rPr>
      </w:pPr>
    </w:p>
    <w:p w:rsidRPr="00D07BF9" w:rsidR="00D07BF9" w:rsidP="00D07BF9" w:rsidRDefault="00D07BF9" w14:paraId="676189F4" w14:textId="77777777">
      <w:pPr>
        <w:pStyle w:val="Estilo"/>
        <w:rPr>
          <w:rFonts w:ascii="Verdana" w:hAnsi="Verdana"/>
          <w:sz w:val="20"/>
          <w:szCs w:val="20"/>
        </w:rPr>
      </w:pPr>
      <w:r w:rsidRPr="00D07BF9">
        <w:rPr>
          <w:rFonts w:ascii="Verdana" w:hAnsi="Verdana"/>
          <w:sz w:val="20"/>
          <w:szCs w:val="20"/>
        </w:rPr>
        <w:t>XI. Solicitar a los sujetos de fiscalización la información y el auxilio que se requiera para el ejercicio de la función de fiscalización;</w:t>
      </w:r>
    </w:p>
    <w:p w:rsidRPr="00D07BF9" w:rsidR="00D07BF9" w:rsidP="00D07BF9" w:rsidRDefault="00D07BF9" w14:paraId="23F64775" w14:textId="77777777">
      <w:pPr>
        <w:pStyle w:val="Estilo"/>
        <w:rPr>
          <w:rFonts w:ascii="Verdana" w:hAnsi="Verdana"/>
          <w:sz w:val="20"/>
          <w:szCs w:val="20"/>
        </w:rPr>
      </w:pPr>
    </w:p>
    <w:p w:rsidRPr="00D07BF9" w:rsidR="00D07BF9" w:rsidP="00D07BF9" w:rsidRDefault="00D07BF9" w14:paraId="3A2029F9" w14:textId="77777777">
      <w:pPr>
        <w:pStyle w:val="Estilo"/>
        <w:rPr>
          <w:rFonts w:ascii="Verdana" w:hAnsi="Verdana"/>
          <w:sz w:val="20"/>
          <w:szCs w:val="20"/>
        </w:rPr>
      </w:pPr>
      <w:r w:rsidRPr="00D07BF9">
        <w:rPr>
          <w:rFonts w:ascii="Verdana" w:hAnsi="Verdana"/>
          <w:sz w:val="20"/>
          <w:szCs w:val="20"/>
        </w:rPr>
        <w:t>XII. Formular y entregar al Congreso, el informe de resultados y demás informes que le sean solicitados;</w:t>
      </w:r>
    </w:p>
    <w:p w:rsidRPr="00D07BF9" w:rsidR="00D07BF9" w:rsidP="00D07BF9" w:rsidRDefault="00D07BF9" w14:paraId="7EF70075" w14:textId="77777777">
      <w:pPr>
        <w:pStyle w:val="Estilo"/>
        <w:rPr>
          <w:rFonts w:ascii="Verdana" w:hAnsi="Verdana"/>
          <w:sz w:val="20"/>
          <w:szCs w:val="20"/>
        </w:rPr>
      </w:pPr>
    </w:p>
    <w:p w:rsidRPr="00D07BF9" w:rsidR="00D07BF9" w:rsidP="00D07BF9" w:rsidRDefault="00D07BF9" w14:paraId="64D981E3" w14:textId="77777777">
      <w:pPr>
        <w:pStyle w:val="Estilo"/>
        <w:rPr>
          <w:rFonts w:ascii="Verdana" w:hAnsi="Verdana"/>
          <w:sz w:val="20"/>
          <w:szCs w:val="20"/>
        </w:rPr>
      </w:pPr>
      <w:r w:rsidRPr="00D07BF9">
        <w:rPr>
          <w:rFonts w:ascii="Verdana" w:hAnsi="Verdana"/>
          <w:sz w:val="20"/>
          <w:szCs w:val="20"/>
        </w:rPr>
        <w:t>XIII. Entregar al Congreso, en lapsos no mayores de tres meses, la comprobación del presupuesto ejercido por la Auditoría Superior, a efecto de que sea integrada a la cuenta pública del Poder Legislativo;</w:t>
      </w:r>
    </w:p>
    <w:p w:rsidRPr="00D07BF9" w:rsidR="00D07BF9" w:rsidP="00D07BF9" w:rsidRDefault="00D07BF9" w14:paraId="0758C533" w14:textId="77777777">
      <w:pPr>
        <w:pStyle w:val="Estilo"/>
        <w:rPr>
          <w:rFonts w:ascii="Verdana" w:hAnsi="Verdana"/>
          <w:sz w:val="20"/>
          <w:szCs w:val="20"/>
        </w:rPr>
      </w:pPr>
    </w:p>
    <w:p w:rsidRPr="00D07BF9" w:rsidR="00D07BF9" w:rsidP="00D07BF9" w:rsidRDefault="00D07BF9" w14:paraId="7391DFEF" w14:textId="77777777">
      <w:pPr>
        <w:pStyle w:val="Estilo"/>
        <w:rPr>
          <w:rFonts w:ascii="Verdana" w:hAnsi="Verdana"/>
          <w:sz w:val="20"/>
          <w:szCs w:val="20"/>
        </w:rPr>
      </w:pPr>
      <w:r w:rsidRPr="00D07BF9">
        <w:rPr>
          <w:rFonts w:ascii="Verdana" w:hAnsi="Verdana"/>
          <w:sz w:val="20"/>
          <w:szCs w:val="20"/>
        </w:rPr>
        <w:t>XIV. Ordenar, en su caso, la práctica de visitas, auditorías e inspecciones necesarias en el ejercicio de la función de fiscalización, en los términos de esta ley;</w:t>
      </w:r>
    </w:p>
    <w:p w:rsidRPr="00D07BF9" w:rsidR="00D07BF9" w:rsidP="00D07BF9" w:rsidRDefault="00D07BF9" w14:paraId="3E48CCAF" w14:textId="77777777">
      <w:pPr>
        <w:pStyle w:val="Estilo"/>
        <w:rPr>
          <w:rFonts w:ascii="Verdana" w:hAnsi="Verdana"/>
          <w:sz w:val="20"/>
          <w:szCs w:val="20"/>
        </w:rPr>
      </w:pPr>
    </w:p>
    <w:p w:rsidRPr="00D07BF9" w:rsidR="00D07BF9" w:rsidP="00D07BF9" w:rsidRDefault="00D07BF9" w14:paraId="09E12EF8" w14:textId="77777777">
      <w:pPr>
        <w:pStyle w:val="Estilo"/>
        <w:rPr>
          <w:rFonts w:ascii="Verdana" w:hAnsi="Verdana"/>
          <w:sz w:val="20"/>
          <w:szCs w:val="20"/>
        </w:rPr>
      </w:pPr>
      <w:r w:rsidRPr="00D07BF9">
        <w:rPr>
          <w:rFonts w:ascii="Verdana" w:hAnsi="Verdana"/>
          <w:sz w:val="20"/>
          <w:szCs w:val="20"/>
        </w:rPr>
        <w:t>XV. Formular pliegos de observaciones y de recomendaciones, así como determinar, en su caso, los daños y perjuicios que afecten a las haciendas públicas estatal y municipales, al patrimonio de las entidades de la administración pública estatal y municipal y al de los organismos autónomos;</w:t>
      </w:r>
    </w:p>
    <w:p w:rsidRPr="00D07BF9" w:rsidR="00D07BF9" w:rsidP="00D07BF9" w:rsidRDefault="00D07BF9" w14:paraId="1ED387F5" w14:textId="77777777">
      <w:pPr>
        <w:pStyle w:val="Estilo"/>
        <w:rPr>
          <w:rFonts w:ascii="Verdana" w:hAnsi="Verdana"/>
          <w:sz w:val="20"/>
          <w:szCs w:val="20"/>
        </w:rPr>
      </w:pPr>
    </w:p>
    <w:p w:rsidRPr="00D07BF9" w:rsidR="00D07BF9" w:rsidP="00D07BF9" w:rsidRDefault="00D07BF9" w14:paraId="34138DC2" w14:textId="77777777">
      <w:pPr>
        <w:pStyle w:val="Estilo"/>
        <w:rPr>
          <w:rFonts w:ascii="Verdana" w:hAnsi="Verdana"/>
          <w:sz w:val="20"/>
          <w:szCs w:val="20"/>
        </w:rPr>
      </w:pPr>
      <w:r w:rsidRPr="00D07BF9">
        <w:rPr>
          <w:rFonts w:ascii="Verdana" w:hAnsi="Verdana"/>
          <w:sz w:val="20"/>
          <w:szCs w:val="20"/>
        </w:rPr>
        <w:t>XVI. Autorizar en su caso, las prórrogas de los plazos establecidos dentro de los procesos de fiscalización;</w:t>
      </w:r>
    </w:p>
    <w:p w:rsidRPr="00D07BF9" w:rsidR="00D07BF9" w:rsidP="00D07BF9" w:rsidRDefault="00D07BF9" w14:paraId="6D321774" w14:textId="77777777">
      <w:pPr>
        <w:pStyle w:val="Estilo"/>
        <w:rPr>
          <w:rFonts w:ascii="Verdana" w:hAnsi="Verdana"/>
          <w:sz w:val="20"/>
          <w:szCs w:val="20"/>
        </w:rPr>
      </w:pPr>
    </w:p>
    <w:p w:rsidRPr="00D07BF9" w:rsidR="00D07BF9" w:rsidP="00D07BF9" w:rsidRDefault="00D07BF9" w14:paraId="35BA9E06" w14:textId="77777777">
      <w:pPr>
        <w:pStyle w:val="Estilo"/>
        <w:rPr>
          <w:rFonts w:ascii="Verdana" w:hAnsi="Verdana"/>
          <w:sz w:val="20"/>
          <w:szCs w:val="20"/>
        </w:rPr>
      </w:pPr>
      <w:r w:rsidRPr="00D07BF9">
        <w:rPr>
          <w:rFonts w:ascii="Verdana" w:hAnsi="Verdana"/>
          <w:sz w:val="20"/>
          <w:szCs w:val="20"/>
        </w:rPr>
        <w:t>XVII. Fincar a los servidores públicos de la Auditoría Superior las responsabilidades que deriven de la inobservancia en la aplicación de esta ley y su Reglamento;</w:t>
      </w:r>
    </w:p>
    <w:p w:rsidRPr="00D07BF9" w:rsidR="00D07BF9" w:rsidP="00D07BF9" w:rsidRDefault="00D07BF9" w14:paraId="534D20C6" w14:textId="77777777">
      <w:pPr>
        <w:pStyle w:val="Estilo"/>
        <w:rPr>
          <w:rFonts w:ascii="Verdana" w:hAnsi="Verdana"/>
          <w:sz w:val="20"/>
          <w:szCs w:val="20"/>
        </w:rPr>
      </w:pPr>
    </w:p>
    <w:p w:rsidRPr="00D07BF9" w:rsidR="00D07BF9" w:rsidP="00D07BF9" w:rsidRDefault="00D07BF9" w14:paraId="50EF288A" w14:textId="77777777">
      <w:pPr>
        <w:pStyle w:val="Estilo"/>
        <w:rPr>
          <w:rFonts w:ascii="Verdana" w:hAnsi="Verdana"/>
          <w:sz w:val="20"/>
          <w:szCs w:val="20"/>
        </w:rPr>
      </w:pPr>
      <w:r w:rsidRPr="00D07BF9">
        <w:rPr>
          <w:rFonts w:ascii="Verdana" w:hAnsi="Verdana"/>
          <w:sz w:val="20"/>
          <w:szCs w:val="20"/>
        </w:rPr>
        <w:t>XVIII. Ejercer las acciones civiles en contra de los probables responsables en los casos a que se refiere el artículo 69 de esta ley; y consultar los expedientes de los juicios civiles que con motivo del cumplimiento de esta ley sean substanciados por los sujetos de fiscalización, con el objeto de verificar su avance y resultados; en su caso, transigir con los probables responsables del resarcimiento de daños y perjuicios;</w:t>
      </w:r>
    </w:p>
    <w:p w:rsidRPr="00D07BF9" w:rsidR="00D07BF9" w:rsidP="00D07BF9" w:rsidRDefault="00D07BF9" w14:paraId="01F32375" w14:textId="77777777">
      <w:pPr>
        <w:pStyle w:val="Estilo"/>
        <w:rPr>
          <w:rFonts w:ascii="Verdana" w:hAnsi="Verdana"/>
          <w:sz w:val="20"/>
          <w:szCs w:val="20"/>
        </w:rPr>
      </w:pPr>
    </w:p>
    <w:p w:rsidRPr="00D07BF9" w:rsidR="00D07BF9" w:rsidP="00D07BF9" w:rsidRDefault="00D07BF9" w14:paraId="67A3F381" w14:textId="77777777">
      <w:pPr>
        <w:pStyle w:val="Estilo"/>
        <w:rPr>
          <w:rFonts w:ascii="Verdana" w:hAnsi="Verdana"/>
          <w:sz w:val="20"/>
          <w:szCs w:val="20"/>
        </w:rPr>
      </w:pPr>
      <w:r w:rsidRPr="00D07BF9">
        <w:rPr>
          <w:rFonts w:ascii="Verdana" w:hAnsi="Verdana"/>
          <w:sz w:val="20"/>
          <w:szCs w:val="20"/>
        </w:rPr>
        <w:t>XIX. Recomendar a los sujetos de fiscalización la instauración de los procedimientos disciplinarios que correspondan ante las autoridades;</w:t>
      </w:r>
    </w:p>
    <w:p w:rsidRPr="00D07BF9" w:rsidR="00D07BF9" w:rsidP="00D07BF9" w:rsidRDefault="00D07BF9" w14:paraId="17C177F5" w14:textId="77777777">
      <w:pPr>
        <w:pStyle w:val="Estilo"/>
        <w:rPr>
          <w:rFonts w:ascii="Verdana" w:hAnsi="Verdana"/>
          <w:sz w:val="20"/>
          <w:szCs w:val="20"/>
        </w:rPr>
      </w:pPr>
    </w:p>
    <w:p w:rsidRPr="00D07BF9" w:rsidR="00D07BF9" w:rsidP="00D07BF9" w:rsidRDefault="00D07BF9" w14:paraId="74239F2F" w14:textId="77777777">
      <w:pPr>
        <w:pStyle w:val="Estilo"/>
        <w:rPr>
          <w:rFonts w:ascii="Verdana" w:hAnsi="Verdana"/>
          <w:sz w:val="20"/>
          <w:szCs w:val="20"/>
        </w:rPr>
      </w:pPr>
      <w:r w:rsidRPr="00D07BF9">
        <w:rPr>
          <w:rFonts w:ascii="Verdana" w:hAnsi="Verdana"/>
          <w:sz w:val="20"/>
          <w:szCs w:val="20"/>
        </w:rPr>
        <w:t>XX. Presentar, en su caso, denuncias o querellas penales y coadyuvar con el Ministerio Público en los procedimientos penales y denuncias que tengan relación con los procesos de fiscalización;</w:t>
      </w:r>
    </w:p>
    <w:p w:rsidRPr="00D07BF9" w:rsidR="00D07BF9" w:rsidP="00D07BF9" w:rsidRDefault="00D07BF9" w14:paraId="159EBC39" w14:textId="77777777">
      <w:pPr>
        <w:pStyle w:val="Estilo"/>
        <w:rPr>
          <w:rFonts w:ascii="Verdana" w:hAnsi="Verdana"/>
          <w:sz w:val="20"/>
          <w:szCs w:val="20"/>
        </w:rPr>
      </w:pPr>
    </w:p>
    <w:p w:rsidRPr="00D07BF9" w:rsidR="00D07BF9" w:rsidP="00D07BF9" w:rsidRDefault="00D07BF9" w14:paraId="05A78AC9" w14:textId="77777777">
      <w:pPr>
        <w:pStyle w:val="Estilo"/>
        <w:rPr>
          <w:rFonts w:ascii="Verdana" w:hAnsi="Verdana"/>
          <w:sz w:val="20"/>
          <w:szCs w:val="20"/>
        </w:rPr>
      </w:pPr>
      <w:r w:rsidRPr="00D07BF9">
        <w:rPr>
          <w:rFonts w:ascii="Verdana" w:hAnsi="Verdana"/>
          <w:sz w:val="20"/>
          <w:szCs w:val="20"/>
        </w:rPr>
        <w:t>XXI. Promover ante las autoridades el ejercicio de las facultades de comprobación fiscal;</w:t>
      </w:r>
    </w:p>
    <w:p w:rsidRPr="00D07BF9" w:rsidR="00D07BF9" w:rsidP="00D07BF9" w:rsidRDefault="00D07BF9" w14:paraId="0783FDB7" w14:textId="77777777">
      <w:pPr>
        <w:pStyle w:val="Estilo"/>
        <w:rPr>
          <w:rFonts w:ascii="Verdana" w:hAnsi="Verdana"/>
          <w:sz w:val="20"/>
          <w:szCs w:val="20"/>
        </w:rPr>
      </w:pPr>
    </w:p>
    <w:p w:rsidRPr="00D07BF9" w:rsidR="00D07BF9" w:rsidP="00D07BF9" w:rsidRDefault="00D07BF9" w14:paraId="6DA90DE6" w14:textId="77777777">
      <w:pPr>
        <w:pStyle w:val="Estilo"/>
        <w:rPr>
          <w:rFonts w:ascii="Verdana" w:hAnsi="Verdana"/>
          <w:sz w:val="20"/>
          <w:szCs w:val="20"/>
        </w:rPr>
      </w:pPr>
      <w:r w:rsidRPr="00D07BF9">
        <w:rPr>
          <w:rFonts w:ascii="Verdana" w:hAnsi="Verdana"/>
          <w:sz w:val="20"/>
          <w:szCs w:val="20"/>
        </w:rPr>
        <w:t>XXII. Contratar la prestación de servicios profesionales externos, en los términos de esta ley;</w:t>
      </w:r>
    </w:p>
    <w:p w:rsidRPr="00D07BF9" w:rsidR="00D07BF9" w:rsidP="00D07BF9" w:rsidRDefault="00D07BF9" w14:paraId="09872825" w14:textId="77777777">
      <w:pPr>
        <w:pStyle w:val="Estilo"/>
        <w:rPr>
          <w:rFonts w:ascii="Verdana" w:hAnsi="Verdana"/>
          <w:sz w:val="20"/>
          <w:szCs w:val="20"/>
        </w:rPr>
      </w:pPr>
    </w:p>
    <w:p w:rsidRPr="00D07BF9" w:rsidR="00D07BF9" w:rsidP="00D07BF9" w:rsidRDefault="00D07BF9" w14:paraId="211BC306" w14:textId="77777777">
      <w:pPr>
        <w:pStyle w:val="Estilo"/>
        <w:rPr>
          <w:rFonts w:ascii="Verdana" w:hAnsi="Verdana"/>
          <w:sz w:val="20"/>
          <w:szCs w:val="20"/>
        </w:rPr>
      </w:pPr>
      <w:r w:rsidRPr="00D07BF9">
        <w:rPr>
          <w:rFonts w:ascii="Verdana" w:hAnsi="Verdana"/>
          <w:sz w:val="20"/>
          <w:szCs w:val="20"/>
        </w:rPr>
        <w:t>XXIII. Certificar todo tipo de documentos que obren en los archivos de la Auditoría Superior;</w:t>
      </w:r>
    </w:p>
    <w:p w:rsidRPr="00D07BF9" w:rsidR="00D07BF9" w:rsidP="00D07BF9" w:rsidRDefault="00D07BF9" w14:paraId="41157DC5" w14:textId="77777777">
      <w:pPr>
        <w:pStyle w:val="Estilo"/>
        <w:rPr>
          <w:rFonts w:ascii="Verdana" w:hAnsi="Verdana"/>
          <w:sz w:val="20"/>
          <w:szCs w:val="20"/>
        </w:rPr>
      </w:pPr>
    </w:p>
    <w:p w:rsidRPr="00D07BF9" w:rsidR="00D07BF9" w:rsidP="00D07BF9" w:rsidRDefault="00D07BF9" w14:paraId="7086B812" w14:textId="77777777">
      <w:pPr>
        <w:pStyle w:val="Estilo"/>
        <w:rPr>
          <w:rFonts w:ascii="Verdana" w:hAnsi="Verdana"/>
          <w:sz w:val="20"/>
          <w:szCs w:val="20"/>
        </w:rPr>
      </w:pPr>
      <w:r w:rsidRPr="00D07BF9">
        <w:rPr>
          <w:rFonts w:ascii="Verdana" w:hAnsi="Verdana"/>
          <w:sz w:val="20"/>
          <w:szCs w:val="20"/>
        </w:rPr>
        <w:t>XXIV. Imponer y determinar medidas de apremio, de conformidad con lo dispuesto en la ley;</w:t>
      </w:r>
    </w:p>
    <w:p w:rsidRPr="00D07BF9" w:rsidR="00D07BF9" w:rsidP="00D07BF9" w:rsidRDefault="00D07BF9" w14:paraId="7B506BA5" w14:textId="77777777">
      <w:pPr>
        <w:pStyle w:val="Estilo"/>
        <w:rPr>
          <w:rFonts w:ascii="Verdana" w:hAnsi="Verdana"/>
          <w:sz w:val="20"/>
          <w:szCs w:val="20"/>
        </w:rPr>
      </w:pPr>
    </w:p>
    <w:p w:rsidRPr="00D07BF9" w:rsidR="00D07BF9" w:rsidP="00D07BF9" w:rsidRDefault="00D07BF9" w14:paraId="573E825D" w14:textId="77777777">
      <w:pPr>
        <w:pStyle w:val="Estilo"/>
        <w:rPr>
          <w:rFonts w:ascii="Verdana" w:hAnsi="Verdana"/>
          <w:sz w:val="20"/>
          <w:szCs w:val="20"/>
        </w:rPr>
      </w:pPr>
      <w:r w:rsidRPr="00D07BF9">
        <w:rPr>
          <w:rFonts w:ascii="Verdana" w:hAnsi="Verdana"/>
          <w:sz w:val="20"/>
          <w:szCs w:val="20"/>
        </w:rPr>
        <w:t>XXV. Solicitar a los órganos de control información sobre los procedimientos de responsabilidad administrativa respectivos;</w:t>
      </w:r>
    </w:p>
    <w:p w:rsidRPr="00D07BF9" w:rsidR="00D07BF9" w:rsidP="00D07BF9" w:rsidRDefault="00D07BF9" w14:paraId="141C1982" w14:textId="77777777">
      <w:pPr>
        <w:pStyle w:val="Estilo"/>
        <w:rPr>
          <w:rFonts w:ascii="Verdana" w:hAnsi="Verdana"/>
          <w:sz w:val="20"/>
          <w:szCs w:val="20"/>
        </w:rPr>
      </w:pPr>
    </w:p>
    <w:p w:rsidRPr="00D07BF9" w:rsidR="00D07BF9" w:rsidP="00D07BF9" w:rsidRDefault="00D07BF9" w14:paraId="150B3D09" w14:textId="77777777">
      <w:pPr>
        <w:pStyle w:val="Estilo"/>
        <w:rPr>
          <w:rFonts w:ascii="Verdana" w:hAnsi="Verdana"/>
          <w:sz w:val="20"/>
          <w:szCs w:val="20"/>
        </w:rPr>
      </w:pPr>
      <w:r w:rsidRPr="00D07BF9">
        <w:rPr>
          <w:rFonts w:ascii="Verdana" w:hAnsi="Verdana"/>
          <w:sz w:val="20"/>
          <w:szCs w:val="20"/>
        </w:rPr>
        <w:t>XXVI. Formular recomendaciones al desempeño para mejorar los resultados, la eficacia, eficiencia y economía de las acciones de gobierno, a fin de elevar la calidad del desempeño gubernamental;</w:t>
      </w:r>
    </w:p>
    <w:p w:rsidRPr="00D07BF9" w:rsidR="00D07BF9" w:rsidP="00D07BF9" w:rsidRDefault="00D07BF9" w14:paraId="6B314D92" w14:textId="77777777">
      <w:pPr>
        <w:pStyle w:val="Estilo"/>
        <w:rPr>
          <w:rFonts w:ascii="Verdana" w:hAnsi="Verdana"/>
          <w:sz w:val="20"/>
          <w:szCs w:val="20"/>
        </w:rPr>
      </w:pPr>
    </w:p>
    <w:p w:rsidRPr="00D07BF9" w:rsidR="00D07BF9" w:rsidP="00D07BF9" w:rsidRDefault="00D07BF9" w14:paraId="5D79C8EE" w14:textId="77777777">
      <w:pPr>
        <w:pStyle w:val="Estilo"/>
        <w:rPr>
          <w:rFonts w:ascii="Verdana" w:hAnsi="Verdana"/>
          <w:sz w:val="20"/>
          <w:szCs w:val="20"/>
        </w:rPr>
      </w:pPr>
      <w:r w:rsidRPr="00D07BF9">
        <w:rPr>
          <w:rFonts w:ascii="Verdana" w:hAnsi="Verdana"/>
          <w:sz w:val="20"/>
          <w:szCs w:val="20"/>
        </w:rPr>
        <w:t>XXVII. Rendir ante el Congreso informes semestrales de su gestión, con independencia de que pueda ser citado extraordinariamente por éste, cuando así se requiera, para dar cuenta del ejercicio de sus funciones;</w:t>
      </w:r>
    </w:p>
    <w:p w:rsidRPr="00D07BF9" w:rsidR="00D07BF9" w:rsidP="00D07BF9" w:rsidRDefault="00D07BF9" w14:paraId="241E4C12" w14:textId="77777777">
      <w:pPr>
        <w:pStyle w:val="Estilo"/>
        <w:rPr>
          <w:rFonts w:ascii="Verdana" w:hAnsi="Verdana"/>
          <w:sz w:val="20"/>
          <w:szCs w:val="20"/>
        </w:rPr>
      </w:pPr>
    </w:p>
    <w:p w:rsidRPr="00D07BF9" w:rsidR="00D07BF9" w:rsidP="00D07BF9" w:rsidRDefault="00D07BF9" w14:paraId="395920D0" w14:textId="77777777">
      <w:pPr>
        <w:pStyle w:val="Estilo"/>
        <w:rPr>
          <w:rFonts w:ascii="Verdana" w:hAnsi="Verdana"/>
          <w:sz w:val="20"/>
          <w:szCs w:val="20"/>
        </w:rPr>
      </w:pPr>
      <w:r w:rsidRPr="00D07BF9">
        <w:rPr>
          <w:rFonts w:ascii="Verdana" w:hAnsi="Verdana"/>
          <w:sz w:val="20"/>
          <w:szCs w:val="20"/>
        </w:rPr>
        <w:t>XXVIII. Suscribir todo tipo de convenios y contratos necesarios para el ejercicio de la función de la fiscalización, inclusive de coordinación o colaboración; y</w:t>
      </w:r>
    </w:p>
    <w:p w:rsidRPr="00D07BF9" w:rsidR="00D07BF9" w:rsidP="00D07BF9" w:rsidRDefault="00D07BF9" w14:paraId="2B4C8FF9" w14:textId="77777777">
      <w:pPr>
        <w:pStyle w:val="Estilo"/>
        <w:rPr>
          <w:rFonts w:ascii="Verdana" w:hAnsi="Verdana"/>
          <w:sz w:val="20"/>
          <w:szCs w:val="20"/>
        </w:rPr>
      </w:pPr>
    </w:p>
    <w:p w:rsidRPr="00D07BF9" w:rsidR="00D07BF9" w:rsidP="00D07BF9" w:rsidRDefault="00D07BF9" w14:paraId="333C1714" w14:textId="77777777">
      <w:pPr>
        <w:pStyle w:val="Estilo"/>
        <w:rPr>
          <w:rFonts w:ascii="Verdana" w:hAnsi="Verdana"/>
          <w:sz w:val="20"/>
          <w:szCs w:val="20"/>
        </w:rPr>
      </w:pPr>
      <w:r w:rsidRPr="00D07BF9">
        <w:rPr>
          <w:rFonts w:ascii="Verdana" w:hAnsi="Verdana"/>
          <w:sz w:val="20"/>
          <w:szCs w:val="20"/>
        </w:rPr>
        <w:t>XXIX. Las demás que señale esta ley y el reglamento interior.</w:t>
      </w:r>
    </w:p>
    <w:p w:rsidRPr="00D07BF9" w:rsidR="00D07BF9" w:rsidP="00D07BF9" w:rsidRDefault="00D07BF9" w14:paraId="234E2904" w14:textId="77777777">
      <w:pPr>
        <w:pStyle w:val="Estilo"/>
        <w:rPr>
          <w:rFonts w:ascii="Verdana" w:hAnsi="Verdana"/>
          <w:sz w:val="20"/>
          <w:szCs w:val="20"/>
        </w:rPr>
      </w:pPr>
    </w:p>
    <w:p w:rsidRPr="007D6808" w:rsidR="00D07BF9" w:rsidP="007D6808" w:rsidRDefault="00D07BF9" w14:paraId="088854A0" w14:textId="77777777">
      <w:pPr>
        <w:pStyle w:val="Estilo"/>
        <w:jc w:val="right"/>
        <w:rPr>
          <w:rFonts w:ascii="Verdana" w:hAnsi="Verdana"/>
          <w:b/>
          <w:bCs/>
          <w:sz w:val="20"/>
          <w:szCs w:val="20"/>
        </w:rPr>
      </w:pPr>
      <w:r w:rsidRPr="007D6808">
        <w:rPr>
          <w:rFonts w:ascii="Verdana" w:hAnsi="Verdana"/>
          <w:b/>
          <w:bCs/>
          <w:sz w:val="20"/>
          <w:szCs w:val="20"/>
        </w:rPr>
        <w:t>Atribuciones delegables</w:t>
      </w:r>
    </w:p>
    <w:p w:rsidRPr="00D07BF9" w:rsidR="00D07BF9" w:rsidP="00D07BF9" w:rsidRDefault="00D07BF9" w14:paraId="71232D41" w14:textId="77777777">
      <w:pPr>
        <w:pStyle w:val="Estilo"/>
        <w:rPr>
          <w:rFonts w:ascii="Verdana" w:hAnsi="Verdana"/>
          <w:sz w:val="20"/>
          <w:szCs w:val="20"/>
        </w:rPr>
      </w:pPr>
      <w:r w:rsidRPr="00D07BF9">
        <w:rPr>
          <w:rFonts w:ascii="Verdana" w:hAnsi="Verdana"/>
          <w:sz w:val="20"/>
          <w:szCs w:val="20"/>
        </w:rPr>
        <w:t>Artículo 88. Corresponde originalmente al Auditor Superior el trámite y resolución de los asuntos de su competencia, el cual podrá, para la mejor organización del trabajo, delegar en los servidores públicos subalternos cualquiera de sus atribuciones, excepto las señaladas en las fracciones II, III, V, VI, VIII, IX, XIV, XV, XVII y XXI del artículo anterior y aquéllas que por disposición de la presente ley y del reglamento interior, deban ser ejercidas exclusivamente por él mismo.</w:t>
      </w:r>
    </w:p>
    <w:p w:rsidRPr="00D07BF9" w:rsidR="00D07BF9" w:rsidP="00D07BF9" w:rsidRDefault="00D07BF9" w14:paraId="6D8BFA1E" w14:textId="77777777">
      <w:pPr>
        <w:pStyle w:val="Estilo"/>
        <w:rPr>
          <w:rFonts w:ascii="Verdana" w:hAnsi="Verdana"/>
          <w:sz w:val="20"/>
          <w:szCs w:val="20"/>
        </w:rPr>
      </w:pPr>
    </w:p>
    <w:p w:rsidRPr="007D6808" w:rsidR="00D07BF9" w:rsidP="007D6808" w:rsidRDefault="00D07BF9" w14:paraId="2E073321" w14:textId="77777777">
      <w:pPr>
        <w:pStyle w:val="Estilo"/>
        <w:jc w:val="right"/>
        <w:rPr>
          <w:rFonts w:ascii="Verdana" w:hAnsi="Verdana"/>
          <w:b/>
          <w:bCs/>
          <w:sz w:val="20"/>
          <w:szCs w:val="20"/>
        </w:rPr>
      </w:pPr>
      <w:r w:rsidRPr="007D6808">
        <w:rPr>
          <w:rFonts w:ascii="Verdana" w:hAnsi="Verdana"/>
          <w:b/>
          <w:bCs/>
          <w:sz w:val="20"/>
          <w:szCs w:val="20"/>
        </w:rPr>
        <w:t>Requisitos para el Auditor Superior</w:t>
      </w:r>
    </w:p>
    <w:p w:rsidRPr="00D07BF9" w:rsidR="00D07BF9" w:rsidP="00D07BF9" w:rsidRDefault="00D07BF9" w14:paraId="654157EC" w14:textId="77777777">
      <w:pPr>
        <w:pStyle w:val="Estilo"/>
        <w:rPr>
          <w:rFonts w:ascii="Verdana" w:hAnsi="Verdana"/>
          <w:sz w:val="20"/>
          <w:szCs w:val="20"/>
        </w:rPr>
      </w:pPr>
      <w:r w:rsidRPr="00D07BF9">
        <w:rPr>
          <w:rFonts w:ascii="Verdana" w:hAnsi="Verdana"/>
          <w:sz w:val="20"/>
          <w:szCs w:val="20"/>
        </w:rPr>
        <w:t>Artículo 89. El Auditor Superior además de cumplir con los requisitos establecidos en las fracciones I, II, V y VI del artículo 86 de la Constitución Política para el Estado de Guanajuato, deberá contar con los siguientes:</w:t>
      </w:r>
    </w:p>
    <w:p w:rsidRPr="00D07BF9" w:rsidR="00D07BF9" w:rsidP="00D07BF9" w:rsidRDefault="00D07BF9" w14:paraId="16D6D7E5" w14:textId="77777777">
      <w:pPr>
        <w:pStyle w:val="Estilo"/>
        <w:rPr>
          <w:rFonts w:ascii="Verdana" w:hAnsi="Verdana"/>
          <w:sz w:val="20"/>
          <w:szCs w:val="20"/>
        </w:rPr>
      </w:pPr>
    </w:p>
    <w:p w:rsidRPr="00D07BF9" w:rsidR="00D07BF9" w:rsidP="00D07BF9" w:rsidRDefault="00D07BF9" w14:paraId="4B2539E4" w14:textId="77777777">
      <w:pPr>
        <w:pStyle w:val="Estilo"/>
        <w:rPr>
          <w:rFonts w:ascii="Verdana" w:hAnsi="Verdana"/>
          <w:sz w:val="20"/>
          <w:szCs w:val="20"/>
        </w:rPr>
      </w:pPr>
      <w:r w:rsidRPr="00D07BF9">
        <w:rPr>
          <w:rFonts w:ascii="Verdana" w:hAnsi="Verdana"/>
          <w:sz w:val="20"/>
          <w:szCs w:val="20"/>
        </w:rPr>
        <w:t xml:space="preserve">I. No haber sido durante los cinco años previos al de su nombramiento, titular de dependencias o entidades de la administración pública estatal o municipal, Senador, Diputado Federal o Local, Magistrado o </w:t>
      </w:r>
      <w:proofErr w:type="gramStart"/>
      <w:r w:rsidRPr="00D07BF9">
        <w:rPr>
          <w:rFonts w:ascii="Verdana" w:hAnsi="Verdana"/>
          <w:sz w:val="20"/>
          <w:szCs w:val="20"/>
        </w:rPr>
        <w:t>Consejero</w:t>
      </w:r>
      <w:proofErr w:type="gramEnd"/>
      <w:r w:rsidRPr="00D07BF9">
        <w:rPr>
          <w:rFonts w:ascii="Verdana" w:hAnsi="Verdana"/>
          <w:sz w:val="20"/>
          <w:szCs w:val="20"/>
        </w:rPr>
        <w:t xml:space="preserve"> del Poder Judicial, Magistrado del Tribunal Estatal Electoral de Guanajuato o del Tribunal de lo Contencioso Administrativo del Estado, Comisionado del Instituto de Acceso a la Información Pública para el Estado de Guanajuato, integrante de Ayuntamiento o Gobernador del Estado;</w:t>
      </w:r>
    </w:p>
    <w:p w:rsidRPr="00D07BF9" w:rsidR="00D07BF9" w:rsidP="00D07BF9" w:rsidRDefault="00D07BF9" w14:paraId="6E2AC787" w14:textId="77777777">
      <w:pPr>
        <w:pStyle w:val="Estilo"/>
        <w:rPr>
          <w:rFonts w:ascii="Verdana" w:hAnsi="Verdana"/>
          <w:sz w:val="20"/>
          <w:szCs w:val="20"/>
        </w:rPr>
      </w:pPr>
    </w:p>
    <w:p w:rsidRPr="00D07BF9" w:rsidR="00D07BF9" w:rsidP="00D07BF9" w:rsidRDefault="00D07BF9" w14:paraId="7A356EDD" w14:textId="77777777">
      <w:pPr>
        <w:pStyle w:val="Estilo"/>
        <w:rPr>
          <w:rFonts w:ascii="Verdana" w:hAnsi="Verdana"/>
          <w:sz w:val="20"/>
          <w:szCs w:val="20"/>
        </w:rPr>
      </w:pPr>
      <w:r w:rsidRPr="00D07BF9">
        <w:rPr>
          <w:rFonts w:ascii="Verdana" w:hAnsi="Verdana"/>
          <w:sz w:val="20"/>
          <w:szCs w:val="20"/>
        </w:rPr>
        <w:t>II. Contar al momento de su designación con una experiencia de al menos cinco años en el control, manejo y fiscalización de recursos públicos o privados;</w:t>
      </w:r>
    </w:p>
    <w:p w:rsidRPr="00D07BF9" w:rsidR="00D07BF9" w:rsidP="00D07BF9" w:rsidRDefault="00D07BF9" w14:paraId="6EEB18FB" w14:textId="77777777">
      <w:pPr>
        <w:pStyle w:val="Estilo"/>
        <w:rPr>
          <w:rFonts w:ascii="Verdana" w:hAnsi="Verdana"/>
          <w:sz w:val="20"/>
          <w:szCs w:val="20"/>
        </w:rPr>
      </w:pPr>
    </w:p>
    <w:p w:rsidRPr="00D07BF9" w:rsidR="00D07BF9" w:rsidP="00D07BF9" w:rsidRDefault="00D07BF9" w14:paraId="4C2A4966" w14:textId="77777777">
      <w:pPr>
        <w:pStyle w:val="Estilo"/>
        <w:rPr>
          <w:rFonts w:ascii="Verdana" w:hAnsi="Verdana"/>
          <w:sz w:val="20"/>
          <w:szCs w:val="20"/>
        </w:rPr>
      </w:pPr>
      <w:r w:rsidRPr="00D07BF9">
        <w:rPr>
          <w:rFonts w:ascii="Verdana" w:hAnsi="Verdana"/>
          <w:sz w:val="20"/>
          <w:szCs w:val="20"/>
        </w:rPr>
        <w:t>III. Poseer al día de su nombramiento, título profesional en las áreas contables, económico-administrativas, jurídicas o financieras, expedido por autoridad o institución facultada para ello y con una antigüedad mínima en su ejercicio de cinco años; y</w:t>
      </w:r>
    </w:p>
    <w:p w:rsidRPr="00D07BF9" w:rsidR="00D07BF9" w:rsidP="00D07BF9" w:rsidRDefault="00D07BF9" w14:paraId="0D4E9D68" w14:textId="77777777">
      <w:pPr>
        <w:pStyle w:val="Estilo"/>
        <w:rPr>
          <w:rFonts w:ascii="Verdana" w:hAnsi="Verdana"/>
          <w:sz w:val="20"/>
          <w:szCs w:val="20"/>
        </w:rPr>
      </w:pPr>
    </w:p>
    <w:p w:rsidRPr="00D07BF9" w:rsidR="00D07BF9" w:rsidP="00D07BF9" w:rsidRDefault="00D07BF9" w14:paraId="1BF95FF9" w14:textId="77777777">
      <w:pPr>
        <w:pStyle w:val="Estilo"/>
        <w:rPr>
          <w:rFonts w:ascii="Verdana" w:hAnsi="Verdana"/>
          <w:sz w:val="20"/>
          <w:szCs w:val="20"/>
        </w:rPr>
      </w:pPr>
      <w:r w:rsidRPr="00D07BF9">
        <w:rPr>
          <w:rFonts w:ascii="Verdana" w:hAnsi="Verdana"/>
          <w:sz w:val="20"/>
          <w:szCs w:val="20"/>
        </w:rPr>
        <w:t>IV. No haber sido candidato de elección popular, ni representante de partido ante los organismos electorales, excepto representante de casilla; y no ser o haber sido dirigente de partido político en los últimos cinco años.</w:t>
      </w:r>
    </w:p>
    <w:p w:rsidRPr="00D07BF9" w:rsidR="00D07BF9" w:rsidP="00D07BF9" w:rsidRDefault="00D07BF9" w14:paraId="48E387FB" w14:textId="77777777">
      <w:pPr>
        <w:pStyle w:val="Estilo"/>
        <w:rPr>
          <w:rFonts w:ascii="Verdana" w:hAnsi="Verdana"/>
          <w:sz w:val="20"/>
          <w:szCs w:val="20"/>
        </w:rPr>
      </w:pPr>
    </w:p>
    <w:p w:rsidRPr="007D6808" w:rsidR="00D07BF9" w:rsidP="007D6808" w:rsidRDefault="00D07BF9" w14:paraId="5BE48EAF" w14:textId="77777777">
      <w:pPr>
        <w:pStyle w:val="Estilo"/>
        <w:jc w:val="right"/>
        <w:rPr>
          <w:rFonts w:ascii="Verdana" w:hAnsi="Verdana"/>
          <w:b/>
          <w:bCs/>
          <w:sz w:val="20"/>
          <w:szCs w:val="20"/>
        </w:rPr>
      </w:pPr>
      <w:r w:rsidRPr="007D6808">
        <w:rPr>
          <w:rFonts w:ascii="Verdana" w:hAnsi="Verdana"/>
          <w:b/>
          <w:bCs/>
          <w:sz w:val="20"/>
          <w:szCs w:val="20"/>
        </w:rPr>
        <w:t>Encargo</w:t>
      </w:r>
    </w:p>
    <w:p w:rsidRPr="00D07BF9" w:rsidR="00D07BF9" w:rsidP="00D07BF9" w:rsidRDefault="00D07BF9" w14:paraId="6A42BBFE" w14:textId="77777777">
      <w:pPr>
        <w:pStyle w:val="Estilo"/>
        <w:rPr>
          <w:rFonts w:ascii="Verdana" w:hAnsi="Verdana"/>
          <w:sz w:val="20"/>
          <w:szCs w:val="20"/>
        </w:rPr>
      </w:pPr>
      <w:r w:rsidRPr="00D07BF9">
        <w:rPr>
          <w:rFonts w:ascii="Verdana" w:hAnsi="Verdana"/>
          <w:sz w:val="20"/>
          <w:szCs w:val="20"/>
        </w:rPr>
        <w:t>Artículo 90. El Auditor Superior durará siete años en su cargo y podrá ser designado nuevamente por una sola vez. Tanto el nombramiento como la nueva designación deberán ser aprobados por el voto de las dos terceras partes de los miembros de la Legislatura.</w:t>
      </w:r>
    </w:p>
    <w:p w:rsidRPr="00D07BF9" w:rsidR="00D07BF9" w:rsidP="00D07BF9" w:rsidRDefault="00D07BF9" w14:paraId="1D32F91C" w14:textId="77777777">
      <w:pPr>
        <w:pStyle w:val="Estilo"/>
        <w:rPr>
          <w:rFonts w:ascii="Verdana" w:hAnsi="Verdana"/>
          <w:sz w:val="20"/>
          <w:szCs w:val="20"/>
        </w:rPr>
      </w:pPr>
    </w:p>
    <w:p w:rsidRPr="00D07BF9" w:rsidR="00D07BF9" w:rsidP="00D07BF9" w:rsidRDefault="00D07BF9" w14:paraId="478B67FC" w14:textId="77777777">
      <w:pPr>
        <w:pStyle w:val="Estilo"/>
        <w:rPr>
          <w:rFonts w:ascii="Verdana" w:hAnsi="Verdana"/>
          <w:sz w:val="20"/>
          <w:szCs w:val="20"/>
        </w:rPr>
      </w:pPr>
      <w:r w:rsidRPr="00D07BF9">
        <w:rPr>
          <w:rFonts w:ascii="Verdana" w:hAnsi="Verdana"/>
          <w:sz w:val="20"/>
          <w:szCs w:val="20"/>
        </w:rPr>
        <w:t xml:space="preserve">Cuando proceda la designación del Auditor Superior, el Órgano de Gobierno podrá proponer que el Auditor Superior en funciones sea ratificado, en cuyo caso no será necesario cumplir el procedimiento previsto en el artículo 91 de esta ley. Al efecto, dicho Órgano de Gobierno remitirá la propuesta relativa al pleno del Congreso, para </w:t>
      </w:r>
      <w:proofErr w:type="gramStart"/>
      <w:r w:rsidRPr="00D07BF9">
        <w:rPr>
          <w:rFonts w:ascii="Verdana" w:hAnsi="Verdana"/>
          <w:sz w:val="20"/>
          <w:szCs w:val="20"/>
        </w:rPr>
        <w:t>que</w:t>
      </w:r>
      <w:proofErr w:type="gramEnd"/>
      <w:r w:rsidRPr="00D07BF9">
        <w:rPr>
          <w:rFonts w:ascii="Verdana" w:hAnsi="Verdana"/>
          <w:sz w:val="20"/>
          <w:szCs w:val="20"/>
        </w:rPr>
        <w:t xml:space="preserve"> en su caso, apruebe dicha ratificación.</w:t>
      </w:r>
    </w:p>
    <w:p w:rsidRPr="00D07BF9" w:rsidR="00D07BF9" w:rsidP="00D07BF9" w:rsidRDefault="00D07BF9" w14:paraId="4A210CF5" w14:textId="77777777">
      <w:pPr>
        <w:pStyle w:val="Estilo"/>
        <w:rPr>
          <w:rFonts w:ascii="Verdana" w:hAnsi="Verdana"/>
          <w:sz w:val="20"/>
          <w:szCs w:val="20"/>
        </w:rPr>
      </w:pPr>
    </w:p>
    <w:p w:rsidRPr="00D07BF9" w:rsidR="00D07BF9" w:rsidP="00D07BF9" w:rsidRDefault="00D07BF9" w14:paraId="70FAE7BF" w14:textId="77777777">
      <w:pPr>
        <w:pStyle w:val="Estilo"/>
        <w:rPr>
          <w:rFonts w:ascii="Verdana" w:hAnsi="Verdana"/>
          <w:sz w:val="20"/>
          <w:szCs w:val="20"/>
        </w:rPr>
      </w:pPr>
      <w:r w:rsidRPr="00D07BF9">
        <w:rPr>
          <w:rFonts w:ascii="Verdana" w:hAnsi="Verdana"/>
          <w:sz w:val="20"/>
          <w:szCs w:val="20"/>
        </w:rPr>
        <w:t>El Auditor Superior, será removido por las causas graves a que se refiere el artículo 95 de esta ley, con la misma votación requerida para su nombramiento; así como por las causas y conforme a los procedimientos previstos en el Título Noveno de la Constitución Política para el Estado y la ley de la materia.</w:t>
      </w:r>
    </w:p>
    <w:p w:rsidRPr="00D07BF9" w:rsidR="00D07BF9" w:rsidP="00D07BF9" w:rsidRDefault="00D07BF9" w14:paraId="649974EF" w14:textId="77777777">
      <w:pPr>
        <w:pStyle w:val="Estilo"/>
        <w:rPr>
          <w:rFonts w:ascii="Verdana" w:hAnsi="Verdana"/>
          <w:sz w:val="20"/>
          <w:szCs w:val="20"/>
        </w:rPr>
      </w:pPr>
    </w:p>
    <w:p w:rsidRPr="007D6808" w:rsidR="00D07BF9" w:rsidP="007D6808" w:rsidRDefault="00D07BF9" w14:paraId="6E27DA0D" w14:textId="77777777">
      <w:pPr>
        <w:pStyle w:val="Estilo"/>
        <w:jc w:val="right"/>
        <w:rPr>
          <w:rFonts w:ascii="Verdana" w:hAnsi="Verdana"/>
          <w:b/>
          <w:bCs/>
          <w:sz w:val="20"/>
          <w:szCs w:val="20"/>
        </w:rPr>
      </w:pPr>
      <w:r w:rsidRPr="007D6808">
        <w:rPr>
          <w:rFonts w:ascii="Verdana" w:hAnsi="Verdana"/>
          <w:b/>
          <w:bCs/>
          <w:sz w:val="20"/>
          <w:szCs w:val="20"/>
        </w:rPr>
        <w:t>Designación</w:t>
      </w:r>
    </w:p>
    <w:p w:rsidRPr="00D07BF9" w:rsidR="00D07BF9" w:rsidP="00D07BF9" w:rsidRDefault="00D07BF9" w14:paraId="09E50DC7" w14:textId="77777777">
      <w:pPr>
        <w:pStyle w:val="Estilo"/>
        <w:rPr>
          <w:rFonts w:ascii="Verdana" w:hAnsi="Verdana"/>
          <w:sz w:val="20"/>
          <w:szCs w:val="20"/>
        </w:rPr>
      </w:pPr>
      <w:r w:rsidRPr="00D07BF9">
        <w:rPr>
          <w:rFonts w:ascii="Verdana" w:hAnsi="Verdana"/>
          <w:sz w:val="20"/>
          <w:szCs w:val="20"/>
        </w:rPr>
        <w:t>Artículo 91. El Auditor Superior será designado conforme al procedimiento siguiente:</w:t>
      </w:r>
    </w:p>
    <w:p w:rsidRPr="00D07BF9" w:rsidR="00D07BF9" w:rsidP="00D07BF9" w:rsidRDefault="00D07BF9" w14:paraId="334E31E2" w14:textId="77777777">
      <w:pPr>
        <w:pStyle w:val="Estilo"/>
        <w:rPr>
          <w:rFonts w:ascii="Verdana" w:hAnsi="Verdana"/>
          <w:sz w:val="20"/>
          <w:szCs w:val="20"/>
        </w:rPr>
      </w:pPr>
    </w:p>
    <w:p w:rsidRPr="00D07BF9" w:rsidR="00D07BF9" w:rsidP="00D07BF9" w:rsidRDefault="00D07BF9" w14:paraId="59DC737B" w14:textId="77777777">
      <w:pPr>
        <w:pStyle w:val="Estilo"/>
        <w:rPr>
          <w:rFonts w:ascii="Verdana" w:hAnsi="Verdana"/>
          <w:sz w:val="20"/>
          <w:szCs w:val="20"/>
        </w:rPr>
      </w:pPr>
      <w:r w:rsidRPr="00D07BF9">
        <w:rPr>
          <w:rFonts w:ascii="Verdana" w:hAnsi="Verdana"/>
          <w:sz w:val="20"/>
          <w:szCs w:val="20"/>
        </w:rPr>
        <w:t>I. El Órgano de Gobierno formulará la convocatoria pública correspondiente, a efecto de recibir durante un período de diez días hábiles contados a partir de la fecha de su publicación en el Periódico Oficial de Gobierno del Estado y en el diario de mayor circulación en el Estado, las propuestas y solicitudes para ocupar el cargo de Auditor Superior; las que se acompañarán con la documentación que acredite el cumplimiento de los requisitos señalados en el artículo 66 de la Constitución Política para el Estado y en el artículo 89de (sic) esta ley;</w:t>
      </w:r>
    </w:p>
    <w:p w:rsidRPr="00D07BF9" w:rsidR="00D07BF9" w:rsidP="00D07BF9" w:rsidRDefault="00D07BF9" w14:paraId="7947215A" w14:textId="77777777">
      <w:pPr>
        <w:pStyle w:val="Estilo"/>
        <w:rPr>
          <w:rFonts w:ascii="Verdana" w:hAnsi="Verdana"/>
          <w:sz w:val="20"/>
          <w:szCs w:val="20"/>
        </w:rPr>
      </w:pPr>
    </w:p>
    <w:p w:rsidRPr="00D07BF9" w:rsidR="00D07BF9" w:rsidP="00D07BF9" w:rsidRDefault="00D07BF9" w14:paraId="38D77A93" w14:textId="77777777">
      <w:pPr>
        <w:pStyle w:val="Estilo"/>
        <w:rPr>
          <w:rFonts w:ascii="Verdana" w:hAnsi="Verdana"/>
          <w:sz w:val="20"/>
          <w:szCs w:val="20"/>
        </w:rPr>
      </w:pPr>
      <w:r w:rsidRPr="00D07BF9">
        <w:rPr>
          <w:rFonts w:ascii="Verdana" w:hAnsi="Verdana"/>
          <w:sz w:val="20"/>
          <w:szCs w:val="20"/>
        </w:rPr>
        <w:t>II. Concluido el plazo anterior, dentro de los tres días hábiles siguientes, dicho Órgano de Gobierno procederá a la revisión y análisis de las solicitudes, para determinar cuáles de éstas cumplen con los requisitos que señala esta ley;</w:t>
      </w:r>
    </w:p>
    <w:p w:rsidRPr="00D07BF9" w:rsidR="00D07BF9" w:rsidP="00D07BF9" w:rsidRDefault="00D07BF9" w14:paraId="3D861D10" w14:textId="77777777">
      <w:pPr>
        <w:pStyle w:val="Estilo"/>
        <w:rPr>
          <w:rFonts w:ascii="Verdana" w:hAnsi="Verdana"/>
          <w:sz w:val="20"/>
          <w:szCs w:val="20"/>
        </w:rPr>
      </w:pPr>
    </w:p>
    <w:p w:rsidRPr="00D07BF9" w:rsidR="00D07BF9" w:rsidP="00D07BF9" w:rsidRDefault="00D07BF9" w14:paraId="5D15C979" w14:textId="77777777">
      <w:pPr>
        <w:pStyle w:val="Estilo"/>
        <w:rPr>
          <w:rFonts w:ascii="Verdana" w:hAnsi="Verdana"/>
          <w:sz w:val="20"/>
          <w:szCs w:val="20"/>
        </w:rPr>
      </w:pPr>
      <w:r w:rsidRPr="00D07BF9">
        <w:rPr>
          <w:rFonts w:ascii="Verdana" w:hAnsi="Verdana"/>
          <w:sz w:val="20"/>
          <w:szCs w:val="20"/>
        </w:rPr>
        <w:t>III. Agotado el plazo señalado en la fracción anterior, dentro de los diez días hábiles siguientes, el Órgano de Gobierno entrevistará por separado a los aspirantes que cumplan con los requisitos; y</w:t>
      </w:r>
    </w:p>
    <w:p w:rsidRPr="00D07BF9" w:rsidR="00D07BF9" w:rsidP="00D07BF9" w:rsidRDefault="00D07BF9" w14:paraId="27DF1EEB" w14:textId="77777777">
      <w:pPr>
        <w:pStyle w:val="Estilo"/>
        <w:rPr>
          <w:rFonts w:ascii="Verdana" w:hAnsi="Verdana"/>
          <w:sz w:val="20"/>
          <w:szCs w:val="20"/>
        </w:rPr>
      </w:pPr>
    </w:p>
    <w:p w:rsidRPr="00D07BF9" w:rsidR="00D07BF9" w:rsidP="00D07BF9" w:rsidRDefault="00D07BF9" w14:paraId="35B1EFCB" w14:textId="77777777">
      <w:pPr>
        <w:pStyle w:val="Estilo"/>
        <w:rPr>
          <w:rFonts w:ascii="Verdana" w:hAnsi="Verdana"/>
          <w:sz w:val="20"/>
          <w:szCs w:val="20"/>
        </w:rPr>
      </w:pPr>
      <w:r w:rsidRPr="00D07BF9">
        <w:rPr>
          <w:rFonts w:ascii="Verdana" w:hAnsi="Verdana"/>
          <w:sz w:val="20"/>
          <w:szCs w:val="20"/>
        </w:rPr>
        <w:t>IV. Con base en la evaluación de la documentación y del resultado de las entrevistas, el Órgano de Gobierno procederá a emitir, en un plazo que no excederá de tres días hábiles, una terna que deberá presentarse al pleno del Congreso.</w:t>
      </w:r>
    </w:p>
    <w:p w:rsidRPr="00D07BF9" w:rsidR="00D07BF9" w:rsidP="00D07BF9" w:rsidRDefault="00D07BF9" w14:paraId="06491119" w14:textId="77777777">
      <w:pPr>
        <w:pStyle w:val="Estilo"/>
        <w:rPr>
          <w:rFonts w:ascii="Verdana" w:hAnsi="Verdana"/>
          <w:sz w:val="20"/>
          <w:szCs w:val="20"/>
        </w:rPr>
      </w:pPr>
    </w:p>
    <w:p w:rsidRPr="00D07BF9" w:rsidR="00D07BF9" w:rsidP="00D07BF9" w:rsidRDefault="00D07BF9" w14:paraId="3C219119" w14:textId="77777777">
      <w:pPr>
        <w:pStyle w:val="Estilo"/>
        <w:rPr>
          <w:rFonts w:ascii="Verdana" w:hAnsi="Verdana"/>
          <w:sz w:val="20"/>
          <w:szCs w:val="20"/>
        </w:rPr>
      </w:pPr>
      <w:r w:rsidRPr="00D07BF9">
        <w:rPr>
          <w:rFonts w:ascii="Verdana" w:hAnsi="Verdana"/>
          <w:sz w:val="20"/>
          <w:szCs w:val="20"/>
        </w:rPr>
        <w:t>El Congreso designará de entre los integrantes de la terna, a quien deba desempeñar el cargo de Auditor Superior.</w:t>
      </w:r>
    </w:p>
    <w:p w:rsidRPr="00D07BF9" w:rsidR="00D07BF9" w:rsidP="00D07BF9" w:rsidRDefault="00D07BF9" w14:paraId="6EC83B94" w14:textId="77777777">
      <w:pPr>
        <w:pStyle w:val="Estilo"/>
        <w:rPr>
          <w:rFonts w:ascii="Verdana" w:hAnsi="Verdana"/>
          <w:sz w:val="20"/>
          <w:szCs w:val="20"/>
        </w:rPr>
      </w:pPr>
    </w:p>
    <w:p w:rsidRPr="00D07BF9" w:rsidR="00D07BF9" w:rsidP="00D07BF9" w:rsidRDefault="00D07BF9" w14:paraId="12A29242" w14:textId="77777777">
      <w:pPr>
        <w:pStyle w:val="Estilo"/>
        <w:rPr>
          <w:rFonts w:ascii="Verdana" w:hAnsi="Verdana"/>
          <w:sz w:val="20"/>
          <w:szCs w:val="20"/>
        </w:rPr>
      </w:pPr>
      <w:proofErr w:type="gramStart"/>
      <w:r w:rsidRPr="00D07BF9">
        <w:rPr>
          <w:rFonts w:ascii="Verdana" w:hAnsi="Verdana"/>
          <w:sz w:val="20"/>
          <w:szCs w:val="20"/>
        </w:rPr>
        <w:t>En caso que</w:t>
      </w:r>
      <w:proofErr w:type="gramEnd"/>
      <w:r w:rsidRPr="00D07BF9">
        <w:rPr>
          <w:rFonts w:ascii="Verdana" w:hAnsi="Verdana"/>
          <w:sz w:val="20"/>
          <w:szCs w:val="20"/>
        </w:rPr>
        <w:t xml:space="preserve"> ninguno de los candidatos obtenga la votación requerida, el Congreso instruirá al Órgano de Gobierno para que presente una nueva terna en la que no podrán formar parte los integrantes de la terna anterior. El Órgano de Gobierno hasta en tanto sea aprobado el nombramiento referido, podrá presentar nuevas ternas en cualquier momento.</w:t>
      </w:r>
    </w:p>
    <w:p w:rsidR="00D07BF9" w:rsidP="00D07BF9" w:rsidRDefault="00D07BF9" w14:paraId="01D19A43" w14:textId="2C3799F0">
      <w:pPr>
        <w:pStyle w:val="Estilo"/>
        <w:rPr>
          <w:rFonts w:ascii="Verdana" w:hAnsi="Verdana"/>
          <w:sz w:val="20"/>
          <w:szCs w:val="20"/>
        </w:rPr>
      </w:pPr>
    </w:p>
    <w:p w:rsidR="007D6808" w:rsidP="00D07BF9" w:rsidRDefault="007D6808" w14:paraId="6C194B0D" w14:textId="21611AC6">
      <w:pPr>
        <w:pStyle w:val="Estilo"/>
        <w:rPr>
          <w:rFonts w:ascii="Verdana" w:hAnsi="Verdana"/>
          <w:sz w:val="20"/>
          <w:szCs w:val="20"/>
        </w:rPr>
      </w:pPr>
    </w:p>
    <w:p w:rsidR="007D6808" w:rsidP="00D07BF9" w:rsidRDefault="007D6808" w14:paraId="254CEAE2" w14:textId="12DBA87C">
      <w:pPr>
        <w:pStyle w:val="Estilo"/>
        <w:rPr>
          <w:rFonts w:ascii="Verdana" w:hAnsi="Verdana"/>
          <w:sz w:val="20"/>
          <w:szCs w:val="20"/>
        </w:rPr>
      </w:pPr>
    </w:p>
    <w:p w:rsidRPr="00D07BF9" w:rsidR="007D6808" w:rsidP="00D07BF9" w:rsidRDefault="007D6808" w14:paraId="0FDB625C" w14:textId="77777777">
      <w:pPr>
        <w:pStyle w:val="Estilo"/>
        <w:rPr>
          <w:rFonts w:ascii="Verdana" w:hAnsi="Verdana"/>
          <w:sz w:val="20"/>
          <w:szCs w:val="20"/>
        </w:rPr>
      </w:pPr>
    </w:p>
    <w:p w:rsidRPr="007D6808" w:rsidR="00D07BF9" w:rsidP="007D6808" w:rsidRDefault="00D07BF9" w14:paraId="6117BD3A" w14:textId="77777777">
      <w:pPr>
        <w:pStyle w:val="Estilo"/>
        <w:jc w:val="right"/>
        <w:rPr>
          <w:rFonts w:ascii="Verdana" w:hAnsi="Verdana"/>
          <w:b/>
          <w:bCs/>
          <w:sz w:val="20"/>
          <w:szCs w:val="20"/>
        </w:rPr>
      </w:pPr>
      <w:r w:rsidRPr="007D6808">
        <w:rPr>
          <w:rFonts w:ascii="Verdana" w:hAnsi="Verdana"/>
          <w:b/>
          <w:bCs/>
          <w:sz w:val="20"/>
          <w:szCs w:val="20"/>
        </w:rPr>
        <w:lastRenderedPageBreak/>
        <w:t>Encargo de despacho</w:t>
      </w:r>
    </w:p>
    <w:p w:rsidRPr="00D07BF9" w:rsidR="00D07BF9" w:rsidP="00D07BF9" w:rsidRDefault="00D07BF9" w14:paraId="66C33F73" w14:textId="77777777">
      <w:pPr>
        <w:pStyle w:val="Estilo"/>
        <w:rPr>
          <w:rFonts w:ascii="Verdana" w:hAnsi="Verdana"/>
          <w:sz w:val="20"/>
          <w:szCs w:val="20"/>
        </w:rPr>
      </w:pPr>
      <w:r w:rsidRPr="00D07BF9">
        <w:rPr>
          <w:rFonts w:ascii="Verdana" w:hAnsi="Verdana"/>
          <w:sz w:val="20"/>
          <w:szCs w:val="20"/>
        </w:rPr>
        <w:t>Artículo 92. En caso de falta absoluta, renuncia o remoción del Auditor Superior, se procederá de conformidad con el artículo 91 de esta ley. En tanto se hace la designación correspondiente, el Órgano de Gobierno designará al encargado del despacho.</w:t>
      </w:r>
    </w:p>
    <w:p w:rsidRPr="00D07BF9" w:rsidR="00D07BF9" w:rsidP="00D07BF9" w:rsidRDefault="00D07BF9" w14:paraId="6B660667" w14:textId="77777777">
      <w:pPr>
        <w:pStyle w:val="Estilo"/>
        <w:rPr>
          <w:rFonts w:ascii="Verdana" w:hAnsi="Verdana"/>
          <w:sz w:val="20"/>
          <w:szCs w:val="20"/>
        </w:rPr>
      </w:pPr>
    </w:p>
    <w:p w:rsidRPr="00D07BF9" w:rsidR="00D07BF9" w:rsidP="00D07BF9" w:rsidRDefault="00D07BF9" w14:paraId="44107F46" w14:textId="77777777">
      <w:pPr>
        <w:pStyle w:val="Estilo"/>
        <w:rPr>
          <w:rFonts w:ascii="Verdana" w:hAnsi="Verdana"/>
          <w:sz w:val="20"/>
          <w:szCs w:val="20"/>
        </w:rPr>
      </w:pPr>
      <w:r w:rsidRPr="00D07BF9">
        <w:rPr>
          <w:rFonts w:ascii="Verdana" w:hAnsi="Verdana"/>
          <w:sz w:val="20"/>
          <w:szCs w:val="20"/>
        </w:rPr>
        <w:t>En tratándose de las ausencias temporales a que alude el artículo 93 de esta ley, el Auditor Superior será el que designará al encargado del despacho dentro de los servidores públicos adscritos a la Auditoría Superior.</w:t>
      </w:r>
    </w:p>
    <w:p w:rsidRPr="00D07BF9" w:rsidR="00D07BF9" w:rsidP="00D07BF9" w:rsidRDefault="00D07BF9" w14:paraId="47EF82F6" w14:textId="77777777">
      <w:pPr>
        <w:pStyle w:val="Estilo"/>
        <w:rPr>
          <w:rFonts w:ascii="Verdana" w:hAnsi="Verdana"/>
          <w:sz w:val="20"/>
          <w:szCs w:val="20"/>
        </w:rPr>
      </w:pPr>
    </w:p>
    <w:p w:rsidRPr="007D6808" w:rsidR="00D07BF9" w:rsidP="007D6808" w:rsidRDefault="00D07BF9" w14:paraId="4A7FEBBC" w14:textId="77777777">
      <w:pPr>
        <w:pStyle w:val="Estilo"/>
        <w:jc w:val="right"/>
        <w:rPr>
          <w:rFonts w:ascii="Verdana" w:hAnsi="Verdana"/>
          <w:b/>
          <w:bCs/>
          <w:sz w:val="20"/>
          <w:szCs w:val="20"/>
        </w:rPr>
      </w:pPr>
      <w:r w:rsidRPr="007D6808">
        <w:rPr>
          <w:rFonts w:ascii="Verdana" w:hAnsi="Verdana"/>
          <w:b/>
          <w:bCs/>
          <w:sz w:val="20"/>
          <w:szCs w:val="20"/>
        </w:rPr>
        <w:t>Ausencias</w:t>
      </w:r>
    </w:p>
    <w:p w:rsidRPr="00D07BF9" w:rsidR="00D07BF9" w:rsidP="00D07BF9" w:rsidRDefault="00D07BF9" w14:paraId="2883795E" w14:textId="77777777">
      <w:pPr>
        <w:pStyle w:val="Estilo"/>
        <w:rPr>
          <w:rFonts w:ascii="Verdana" w:hAnsi="Verdana"/>
          <w:sz w:val="20"/>
          <w:szCs w:val="20"/>
        </w:rPr>
      </w:pPr>
      <w:r w:rsidRPr="00D07BF9">
        <w:rPr>
          <w:rFonts w:ascii="Verdana" w:hAnsi="Verdana"/>
          <w:sz w:val="20"/>
          <w:szCs w:val="20"/>
        </w:rPr>
        <w:t>Artículo 93. El Auditor Superior sólo podrá ausentarse de sus funciones por motivos personales que se encuentren justificados a juicio del Órgano de Gobierno. Si la ausencia por motivos personales es de tres o más días hábiles deberá contar previamente con la autorización del Órgano de Gobierno. La ausencia del Auditor Superior, sin contar con la autorización previa del Órgano de Gobierno, se considerará falta grave en términos de lo dispuesto por la Ley de Responsabilidades Administrativas de los Servidores Públicos del Estado de Guanajuato y sus Municipios.</w:t>
      </w:r>
    </w:p>
    <w:p w:rsidRPr="00D07BF9" w:rsidR="00D07BF9" w:rsidP="00D07BF9" w:rsidRDefault="00D07BF9" w14:paraId="56D3DE78" w14:textId="77777777">
      <w:pPr>
        <w:pStyle w:val="Estilo"/>
        <w:rPr>
          <w:rFonts w:ascii="Verdana" w:hAnsi="Verdana"/>
          <w:sz w:val="20"/>
          <w:szCs w:val="20"/>
        </w:rPr>
      </w:pPr>
    </w:p>
    <w:p w:rsidRPr="00D07BF9" w:rsidR="00D07BF9" w:rsidP="00D07BF9" w:rsidRDefault="00D07BF9" w14:paraId="190A7AD6" w14:textId="77777777">
      <w:pPr>
        <w:pStyle w:val="Estilo"/>
        <w:rPr>
          <w:rFonts w:ascii="Verdana" w:hAnsi="Verdana"/>
          <w:sz w:val="20"/>
          <w:szCs w:val="20"/>
        </w:rPr>
      </w:pPr>
      <w:r w:rsidRPr="00D07BF9">
        <w:rPr>
          <w:rFonts w:ascii="Verdana" w:hAnsi="Verdana"/>
          <w:sz w:val="20"/>
          <w:szCs w:val="20"/>
        </w:rPr>
        <w:t>Si la ausencia se prolongara por más de quince días naturales, sin contar con autorización, se entenderá como abandono del cargo.</w:t>
      </w:r>
    </w:p>
    <w:p w:rsidRPr="00D07BF9" w:rsidR="00D07BF9" w:rsidP="00D07BF9" w:rsidRDefault="00D07BF9" w14:paraId="42172408" w14:textId="77777777">
      <w:pPr>
        <w:pStyle w:val="Estilo"/>
        <w:rPr>
          <w:rFonts w:ascii="Verdana" w:hAnsi="Verdana"/>
          <w:sz w:val="20"/>
          <w:szCs w:val="20"/>
        </w:rPr>
      </w:pPr>
    </w:p>
    <w:p w:rsidRPr="00D07BF9" w:rsidR="00D07BF9" w:rsidP="00D07BF9" w:rsidRDefault="00D07BF9" w14:paraId="0CCE1AE8" w14:textId="77777777">
      <w:pPr>
        <w:pStyle w:val="Estilo"/>
        <w:rPr>
          <w:rFonts w:ascii="Verdana" w:hAnsi="Verdana"/>
          <w:sz w:val="20"/>
          <w:szCs w:val="20"/>
        </w:rPr>
      </w:pPr>
      <w:r w:rsidRPr="00D07BF9">
        <w:rPr>
          <w:rFonts w:ascii="Verdana" w:hAnsi="Verdana"/>
          <w:sz w:val="20"/>
          <w:szCs w:val="20"/>
        </w:rPr>
        <w:t>El Auditor Superior deberá previamente dar aviso por escrito al Órgano de Gobierno, para atender una comisión oficial fuera del Estado y cuyo cumplimiento requiera de tres o más días hábiles, expresando el motivo de dicha comisión. El Auditor Superior informará de su resultado por el mismo medio, cuando concluya aquélla. La omisión de dicho aviso por parte del Auditor Superior se considerará falta grave en términos de lo dispuesto por la Ley de Responsabilidades Administrativas de los Servidores Públicos del Estado de Guanajuato y sus Municipios.</w:t>
      </w:r>
    </w:p>
    <w:p w:rsidRPr="00D07BF9" w:rsidR="00D07BF9" w:rsidP="00D07BF9" w:rsidRDefault="00D07BF9" w14:paraId="59EADB25" w14:textId="77777777">
      <w:pPr>
        <w:pStyle w:val="Estilo"/>
        <w:rPr>
          <w:rFonts w:ascii="Verdana" w:hAnsi="Verdana"/>
          <w:sz w:val="20"/>
          <w:szCs w:val="20"/>
        </w:rPr>
      </w:pPr>
    </w:p>
    <w:p w:rsidRPr="007D6808" w:rsidR="00D07BF9" w:rsidP="007D6808" w:rsidRDefault="00D07BF9" w14:paraId="21E6025E" w14:textId="77777777">
      <w:pPr>
        <w:pStyle w:val="Estilo"/>
        <w:jc w:val="right"/>
        <w:rPr>
          <w:rFonts w:ascii="Verdana" w:hAnsi="Verdana"/>
          <w:b/>
          <w:bCs/>
          <w:sz w:val="20"/>
          <w:szCs w:val="20"/>
        </w:rPr>
      </w:pPr>
      <w:r w:rsidRPr="007D6808">
        <w:rPr>
          <w:rFonts w:ascii="Verdana" w:hAnsi="Verdana"/>
          <w:b/>
          <w:bCs/>
          <w:sz w:val="20"/>
          <w:szCs w:val="20"/>
        </w:rPr>
        <w:t>Prohibiciones</w:t>
      </w:r>
    </w:p>
    <w:p w:rsidRPr="00D07BF9" w:rsidR="00D07BF9" w:rsidP="00D07BF9" w:rsidRDefault="00D07BF9" w14:paraId="0FF5A785" w14:textId="77777777">
      <w:pPr>
        <w:pStyle w:val="Estilo"/>
        <w:rPr>
          <w:rFonts w:ascii="Verdana" w:hAnsi="Verdana"/>
          <w:sz w:val="20"/>
          <w:szCs w:val="20"/>
        </w:rPr>
      </w:pPr>
      <w:r w:rsidRPr="00D07BF9">
        <w:rPr>
          <w:rFonts w:ascii="Verdana" w:hAnsi="Verdana"/>
          <w:sz w:val="20"/>
          <w:szCs w:val="20"/>
        </w:rPr>
        <w:t>Artículo 94. El Auditor Superior durante el ejercicio de su cargo, no podrá:</w:t>
      </w:r>
    </w:p>
    <w:p w:rsidRPr="00D07BF9" w:rsidR="00D07BF9" w:rsidP="00D07BF9" w:rsidRDefault="00D07BF9" w14:paraId="5E2844D9" w14:textId="77777777">
      <w:pPr>
        <w:pStyle w:val="Estilo"/>
        <w:rPr>
          <w:rFonts w:ascii="Verdana" w:hAnsi="Verdana"/>
          <w:sz w:val="20"/>
          <w:szCs w:val="20"/>
        </w:rPr>
      </w:pPr>
    </w:p>
    <w:p w:rsidRPr="00D07BF9" w:rsidR="00D07BF9" w:rsidP="00D07BF9" w:rsidRDefault="00D07BF9" w14:paraId="49E62720" w14:textId="77777777">
      <w:pPr>
        <w:pStyle w:val="Estilo"/>
        <w:rPr>
          <w:rFonts w:ascii="Verdana" w:hAnsi="Verdana"/>
          <w:sz w:val="20"/>
          <w:szCs w:val="20"/>
        </w:rPr>
      </w:pPr>
      <w:r w:rsidRPr="00D07BF9">
        <w:rPr>
          <w:rFonts w:ascii="Verdana" w:hAnsi="Verdana"/>
          <w:sz w:val="20"/>
          <w:szCs w:val="20"/>
        </w:rPr>
        <w:t>I. Desempeñar otro empleo, cargo o comisión, excepto las actividades docentes, en los términos del artículo 131 de la Constitución Política para el Estado; y</w:t>
      </w:r>
    </w:p>
    <w:p w:rsidRPr="00D07BF9" w:rsidR="00D07BF9" w:rsidP="00D07BF9" w:rsidRDefault="00D07BF9" w14:paraId="1D77DEDA" w14:textId="77777777">
      <w:pPr>
        <w:pStyle w:val="Estilo"/>
        <w:rPr>
          <w:rFonts w:ascii="Verdana" w:hAnsi="Verdana"/>
          <w:sz w:val="20"/>
          <w:szCs w:val="20"/>
        </w:rPr>
      </w:pPr>
    </w:p>
    <w:p w:rsidRPr="00D07BF9" w:rsidR="00D07BF9" w:rsidP="00D07BF9" w:rsidRDefault="00D07BF9" w14:paraId="1AAD1E13" w14:textId="77777777">
      <w:pPr>
        <w:pStyle w:val="Estilo"/>
        <w:rPr>
          <w:rFonts w:ascii="Verdana" w:hAnsi="Verdana"/>
          <w:sz w:val="20"/>
          <w:szCs w:val="20"/>
        </w:rPr>
      </w:pPr>
      <w:r w:rsidRPr="00D07BF9">
        <w:rPr>
          <w:rFonts w:ascii="Verdana" w:hAnsi="Verdana"/>
          <w:sz w:val="20"/>
          <w:szCs w:val="20"/>
        </w:rPr>
        <w:t>II. Hacer del conocimiento de terceros o difundir de cualquier forma, la información confidencial o reservada que tenga bajo su custodia, la que sólo deberá utilizarse para los fines de la Auditoría Superior.</w:t>
      </w:r>
    </w:p>
    <w:p w:rsidRPr="00D07BF9" w:rsidR="00D07BF9" w:rsidP="00D07BF9" w:rsidRDefault="00D07BF9" w14:paraId="7E678050" w14:textId="77777777">
      <w:pPr>
        <w:pStyle w:val="Estilo"/>
        <w:rPr>
          <w:rFonts w:ascii="Verdana" w:hAnsi="Verdana"/>
          <w:sz w:val="20"/>
          <w:szCs w:val="20"/>
        </w:rPr>
      </w:pPr>
    </w:p>
    <w:p w:rsidRPr="007D6808" w:rsidR="00D07BF9" w:rsidP="007D6808" w:rsidRDefault="00D07BF9" w14:paraId="63B26CDB" w14:textId="77777777">
      <w:pPr>
        <w:pStyle w:val="Estilo"/>
        <w:jc w:val="right"/>
        <w:rPr>
          <w:rFonts w:ascii="Verdana" w:hAnsi="Verdana"/>
          <w:b/>
          <w:bCs/>
          <w:sz w:val="20"/>
          <w:szCs w:val="20"/>
        </w:rPr>
      </w:pPr>
      <w:r w:rsidRPr="007D6808">
        <w:rPr>
          <w:rFonts w:ascii="Verdana" w:hAnsi="Verdana"/>
          <w:b/>
          <w:bCs/>
          <w:sz w:val="20"/>
          <w:szCs w:val="20"/>
        </w:rPr>
        <w:t>Causales de remoción</w:t>
      </w:r>
    </w:p>
    <w:p w:rsidRPr="00D07BF9" w:rsidR="00D07BF9" w:rsidP="00D07BF9" w:rsidRDefault="00D07BF9" w14:paraId="4F06E7B2" w14:textId="77777777">
      <w:pPr>
        <w:pStyle w:val="Estilo"/>
        <w:rPr>
          <w:rFonts w:ascii="Verdana" w:hAnsi="Verdana"/>
          <w:sz w:val="20"/>
          <w:szCs w:val="20"/>
        </w:rPr>
      </w:pPr>
      <w:r w:rsidRPr="00D07BF9">
        <w:rPr>
          <w:rFonts w:ascii="Verdana" w:hAnsi="Verdana"/>
          <w:sz w:val="20"/>
          <w:szCs w:val="20"/>
        </w:rPr>
        <w:t>Artículo 95. Son causas graves de remoción del Auditor Superior:</w:t>
      </w:r>
    </w:p>
    <w:p w:rsidRPr="00D07BF9" w:rsidR="00D07BF9" w:rsidP="00D07BF9" w:rsidRDefault="00D07BF9" w14:paraId="56F38535" w14:textId="77777777">
      <w:pPr>
        <w:pStyle w:val="Estilo"/>
        <w:rPr>
          <w:rFonts w:ascii="Verdana" w:hAnsi="Verdana"/>
          <w:sz w:val="20"/>
          <w:szCs w:val="20"/>
        </w:rPr>
      </w:pPr>
    </w:p>
    <w:p w:rsidRPr="00D07BF9" w:rsidR="00D07BF9" w:rsidP="00D07BF9" w:rsidRDefault="00D07BF9" w14:paraId="574A3185" w14:textId="77777777">
      <w:pPr>
        <w:pStyle w:val="Estilo"/>
        <w:rPr>
          <w:rFonts w:ascii="Verdana" w:hAnsi="Verdana"/>
          <w:sz w:val="20"/>
          <w:szCs w:val="20"/>
        </w:rPr>
      </w:pPr>
      <w:r w:rsidRPr="00D07BF9">
        <w:rPr>
          <w:rFonts w:ascii="Verdana" w:hAnsi="Verdana"/>
          <w:sz w:val="20"/>
          <w:szCs w:val="20"/>
        </w:rPr>
        <w:t>I. Actualizarse alguno de los supuestos previstos en el artículo anterior;</w:t>
      </w:r>
    </w:p>
    <w:p w:rsidRPr="00D07BF9" w:rsidR="00D07BF9" w:rsidP="00D07BF9" w:rsidRDefault="00D07BF9" w14:paraId="545AB167" w14:textId="77777777">
      <w:pPr>
        <w:pStyle w:val="Estilo"/>
        <w:rPr>
          <w:rFonts w:ascii="Verdana" w:hAnsi="Verdana"/>
          <w:sz w:val="20"/>
          <w:szCs w:val="20"/>
        </w:rPr>
      </w:pPr>
    </w:p>
    <w:p w:rsidRPr="00D07BF9" w:rsidR="00D07BF9" w:rsidP="00D07BF9" w:rsidRDefault="00D07BF9" w14:paraId="3654A073" w14:textId="77777777">
      <w:pPr>
        <w:pStyle w:val="Estilo"/>
        <w:rPr>
          <w:rFonts w:ascii="Verdana" w:hAnsi="Verdana"/>
          <w:sz w:val="20"/>
          <w:szCs w:val="20"/>
        </w:rPr>
      </w:pPr>
      <w:r w:rsidRPr="00D07BF9">
        <w:rPr>
          <w:rFonts w:ascii="Verdana" w:hAnsi="Verdana"/>
          <w:sz w:val="20"/>
          <w:szCs w:val="20"/>
        </w:rPr>
        <w:t>II. Incumplir la obligación de determinar los daños y perjuicios y de promover el fincamiento de sanciones en los casos que establece esta ley;</w:t>
      </w:r>
    </w:p>
    <w:p w:rsidRPr="00D07BF9" w:rsidR="00D07BF9" w:rsidP="00D07BF9" w:rsidRDefault="00D07BF9" w14:paraId="679C220F" w14:textId="77777777">
      <w:pPr>
        <w:pStyle w:val="Estilo"/>
        <w:rPr>
          <w:rFonts w:ascii="Verdana" w:hAnsi="Verdana"/>
          <w:sz w:val="20"/>
          <w:szCs w:val="20"/>
        </w:rPr>
      </w:pPr>
    </w:p>
    <w:p w:rsidRPr="00D07BF9" w:rsidR="00D07BF9" w:rsidP="00D07BF9" w:rsidRDefault="00D07BF9" w14:paraId="6BD381D2" w14:textId="77777777">
      <w:pPr>
        <w:pStyle w:val="Estilo"/>
        <w:rPr>
          <w:rFonts w:ascii="Verdana" w:hAnsi="Verdana"/>
          <w:sz w:val="20"/>
          <w:szCs w:val="20"/>
        </w:rPr>
      </w:pPr>
      <w:r w:rsidRPr="00D07BF9">
        <w:rPr>
          <w:rFonts w:ascii="Verdana" w:hAnsi="Verdana"/>
          <w:sz w:val="20"/>
          <w:szCs w:val="20"/>
        </w:rPr>
        <w:t>III. Sustraer, destruir, ocultar o utilizar indebidamente la documentación que, por razón de su cargo, tenga a su cuidado o custodia;</w:t>
      </w:r>
    </w:p>
    <w:p w:rsidRPr="00D07BF9" w:rsidR="00D07BF9" w:rsidP="00D07BF9" w:rsidRDefault="00D07BF9" w14:paraId="2C285678" w14:textId="77777777">
      <w:pPr>
        <w:pStyle w:val="Estilo"/>
        <w:rPr>
          <w:rFonts w:ascii="Verdana" w:hAnsi="Verdana"/>
          <w:sz w:val="20"/>
          <w:szCs w:val="20"/>
        </w:rPr>
      </w:pPr>
    </w:p>
    <w:p w:rsidRPr="00D07BF9" w:rsidR="00D07BF9" w:rsidP="00D07BF9" w:rsidRDefault="00D07BF9" w14:paraId="2289F2C4" w14:textId="77777777">
      <w:pPr>
        <w:pStyle w:val="Estilo"/>
        <w:rPr>
          <w:rFonts w:ascii="Verdana" w:hAnsi="Verdana"/>
          <w:sz w:val="20"/>
          <w:szCs w:val="20"/>
        </w:rPr>
      </w:pPr>
      <w:r w:rsidRPr="00D07BF9">
        <w:rPr>
          <w:rFonts w:ascii="Verdana" w:hAnsi="Verdana"/>
          <w:sz w:val="20"/>
          <w:szCs w:val="20"/>
        </w:rPr>
        <w:t>IV. Conducirse con parcialidad en los procedimientos de fiscalización, así como en el cumplimiento de las disposiciones de esta ley; e</w:t>
      </w:r>
    </w:p>
    <w:p w:rsidRPr="00D07BF9" w:rsidR="00D07BF9" w:rsidP="00D07BF9" w:rsidRDefault="00D07BF9" w14:paraId="21331362" w14:textId="77777777">
      <w:pPr>
        <w:pStyle w:val="Estilo"/>
        <w:rPr>
          <w:rFonts w:ascii="Verdana" w:hAnsi="Verdana"/>
          <w:sz w:val="20"/>
          <w:szCs w:val="20"/>
        </w:rPr>
      </w:pPr>
    </w:p>
    <w:p w:rsidRPr="00D07BF9" w:rsidR="00D07BF9" w:rsidP="00D07BF9" w:rsidRDefault="00D07BF9" w14:paraId="3F7B69B3" w14:textId="77777777">
      <w:pPr>
        <w:pStyle w:val="Estilo"/>
        <w:rPr>
          <w:rFonts w:ascii="Verdana" w:hAnsi="Verdana"/>
          <w:sz w:val="20"/>
          <w:szCs w:val="20"/>
        </w:rPr>
      </w:pPr>
      <w:r w:rsidRPr="00D07BF9">
        <w:rPr>
          <w:rFonts w:ascii="Verdana" w:hAnsi="Verdana"/>
          <w:sz w:val="20"/>
          <w:szCs w:val="20"/>
        </w:rPr>
        <w:lastRenderedPageBreak/>
        <w:t>V. Incurrir en abandono del cargo en los términos del artículo 93 de esta ley.</w:t>
      </w:r>
    </w:p>
    <w:p w:rsidRPr="00D07BF9" w:rsidR="00D07BF9" w:rsidP="00D07BF9" w:rsidRDefault="00D07BF9" w14:paraId="7C92BC5C" w14:textId="77777777">
      <w:pPr>
        <w:pStyle w:val="Estilo"/>
        <w:rPr>
          <w:rFonts w:ascii="Verdana" w:hAnsi="Verdana"/>
          <w:sz w:val="20"/>
          <w:szCs w:val="20"/>
        </w:rPr>
      </w:pPr>
    </w:p>
    <w:p w:rsidRPr="00D07BF9" w:rsidR="00D07BF9" w:rsidP="00D07BF9" w:rsidRDefault="00D07BF9" w14:paraId="24510870" w14:textId="77777777">
      <w:pPr>
        <w:pStyle w:val="Estilo"/>
        <w:rPr>
          <w:rFonts w:ascii="Verdana" w:hAnsi="Verdana"/>
          <w:sz w:val="20"/>
          <w:szCs w:val="20"/>
        </w:rPr>
      </w:pPr>
    </w:p>
    <w:p w:rsidRPr="007D6808" w:rsidR="00D07BF9" w:rsidP="00260A46" w:rsidRDefault="00D07BF9" w14:paraId="53BD83A2" w14:textId="77777777">
      <w:pPr>
        <w:pStyle w:val="Estilo"/>
        <w:jc w:val="center"/>
        <w:rPr>
          <w:rFonts w:ascii="Verdana" w:hAnsi="Verdana"/>
          <w:b/>
          <w:bCs/>
          <w:sz w:val="20"/>
          <w:szCs w:val="20"/>
        </w:rPr>
      </w:pPr>
      <w:r w:rsidRPr="007D6808">
        <w:rPr>
          <w:rFonts w:ascii="Verdana" w:hAnsi="Verdana"/>
          <w:b/>
          <w:bCs/>
          <w:sz w:val="20"/>
          <w:szCs w:val="20"/>
        </w:rPr>
        <w:t>Capítulo III</w:t>
      </w:r>
    </w:p>
    <w:p w:rsidRPr="007D6808" w:rsidR="00D07BF9" w:rsidP="00260A46" w:rsidRDefault="00D07BF9" w14:paraId="6156EDED" w14:textId="77777777">
      <w:pPr>
        <w:pStyle w:val="Estilo"/>
        <w:jc w:val="center"/>
        <w:rPr>
          <w:rFonts w:ascii="Verdana" w:hAnsi="Verdana"/>
          <w:b/>
          <w:bCs/>
          <w:sz w:val="20"/>
          <w:szCs w:val="20"/>
        </w:rPr>
      </w:pPr>
      <w:r w:rsidRPr="007D6808">
        <w:rPr>
          <w:rFonts w:ascii="Verdana" w:hAnsi="Verdana"/>
          <w:b/>
          <w:bCs/>
          <w:sz w:val="20"/>
          <w:szCs w:val="20"/>
        </w:rPr>
        <w:t>Organización</w:t>
      </w:r>
    </w:p>
    <w:p w:rsidRPr="00D07BF9" w:rsidR="00D07BF9" w:rsidP="00D07BF9" w:rsidRDefault="00D07BF9" w14:paraId="5EF29595" w14:textId="77777777">
      <w:pPr>
        <w:pStyle w:val="Estilo"/>
        <w:rPr>
          <w:rFonts w:ascii="Verdana" w:hAnsi="Verdana"/>
          <w:sz w:val="20"/>
          <w:szCs w:val="20"/>
        </w:rPr>
      </w:pPr>
    </w:p>
    <w:p w:rsidRPr="007D6808" w:rsidR="00D07BF9" w:rsidP="007D6808" w:rsidRDefault="00D07BF9" w14:paraId="1B6151F8" w14:textId="77777777">
      <w:pPr>
        <w:pStyle w:val="Estilo"/>
        <w:jc w:val="right"/>
        <w:rPr>
          <w:rFonts w:ascii="Verdana" w:hAnsi="Verdana"/>
          <w:b/>
          <w:bCs/>
          <w:sz w:val="20"/>
          <w:szCs w:val="20"/>
        </w:rPr>
      </w:pPr>
      <w:r w:rsidRPr="007D6808">
        <w:rPr>
          <w:rFonts w:ascii="Verdana" w:hAnsi="Verdana"/>
          <w:b/>
          <w:bCs/>
          <w:sz w:val="20"/>
          <w:szCs w:val="20"/>
        </w:rPr>
        <w:t>Estructura</w:t>
      </w:r>
    </w:p>
    <w:p w:rsidRPr="00D07BF9" w:rsidR="00D07BF9" w:rsidP="00D07BF9" w:rsidRDefault="00D07BF9" w14:paraId="7F924C97" w14:textId="77777777">
      <w:pPr>
        <w:pStyle w:val="Estilo"/>
        <w:rPr>
          <w:rFonts w:ascii="Verdana" w:hAnsi="Verdana"/>
          <w:sz w:val="20"/>
          <w:szCs w:val="20"/>
        </w:rPr>
      </w:pPr>
      <w:r w:rsidRPr="00D07BF9">
        <w:rPr>
          <w:rFonts w:ascii="Verdana" w:hAnsi="Verdana"/>
          <w:sz w:val="20"/>
          <w:szCs w:val="20"/>
        </w:rPr>
        <w:t>Artículo 96. El Auditor Superior para el eficaz desempeño de sus funciones será auxiliado por dos auditores especiales: de Cumplimiento Financiero, y de Evaluación y Desempeño, respectivamente; una Dirección General de Asuntos Jurídicos y la Dirección General de Administración, así como las demás unidades administrativas que establezca el reglamento interior.</w:t>
      </w:r>
    </w:p>
    <w:p w:rsidRPr="00D07BF9" w:rsidR="00D07BF9" w:rsidP="00D07BF9" w:rsidRDefault="00D07BF9" w14:paraId="2A913139" w14:textId="77777777">
      <w:pPr>
        <w:pStyle w:val="Estilo"/>
        <w:rPr>
          <w:rFonts w:ascii="Verdana" w:hAnsi="Verdana"/>
          <w:sz w:val="20"/>
          <w:szCs w:val="20"/>
        </w:rPr>
      </w:pPr>
    </w:p>
    <w:p w:rsidRPr="007D6808" w:rsidR="00D07BF9" w:rsidP="007D6808" w:rsidRDefault="00D07BF9" w14:paraId="1F1A0EA2" w14:textId="77777777">
      <w:pPr>
        <w:pStyle w:val="Estilo"/>
        <w:jc w:val="right"/>
        <w:rPr>
          <w:rFonts w:ascii="Verdana" w:hAnsi="Verdana"/>
          <w:b/>
          <w:bCs/>
          <w:sz w:val="20"/>
          <w:szCs w:val="20"/>
        </w:rPr>
      </w:pPr>
      <w:r w:rsidRPr="007D6808">
        <w:rPr>
          <w:rFonts w:ascii="Verdana" w:hAnsi="Verdana"/>
          <w:b/>
          <w:bCs/>
          <w:sz w:val="20"/>
          <w:szCs w:val="20"/>
        </w:rPr>
        <w:t>Requisitos para ser Auditor Especial o Director General</w:t>
      </w:r>
    </w:p>
    <w:p w:rsidRPr="00D07BF9" w:rsidR="00D07BF9" w:rsidP="00D07BF9" w:rsidRDefault="00D07BF9" w14:paraId="45B015CC" w14:textId="77777777">
      <w:pPr>
        <w:pStyle w:val="Estilo"/>
        <w:rPr>
          <w:rFonts w:ascii="Verdana" w:hAnsi="Verdana"/>
          <w:sz w:val="20"/>
          <w:szCs w:val="20"/>
        </w:rPr>
      </w:pPr>
      <w:r w:rsidRPr="00D07BF9">
        <w:rPr>
          <w:rFonts w:ascii="Verdana" w:hAnsi="Verdana"/>
          <w:sz w:val="20"/>
          <w:szCs w:val="20"/>
        </w:rPr>
        <w:t>Artículo 97. Para ocupar el cargo de Auditor Especial o Director General se deberán satisfacer los requisitos siguientes:</w:t>
      </w:r>
    </w:p>
    <w:p w:rsidRPr="00D07BF9" w:rsidR="00D07BF9" w:rsidP="00D07BF9" w:rsidRDefault="00D07BF9" w14:paraId="0F410EC0" w14:textId="77777777">
      <w:pPr>
        <w:pStyle w:val="Estilo"/>
        <w:rPr>
          <w:rFonts w:ascii="Verdana" w:hAnsi="Verdana"/>
          <w:sz w:val="20"/>
          <w:szCs w:val="20"/>
        </w:rPr>
      </w:pPr>
    </w:p>
    <w:p w:rsidRPr="00D07BF9" w:rsidR="00D07BF9" w:rsidP="00D07BF9" w:rsidRDefault="00D07BF9" w14:paraId="4DDF94D8" w14:textId="77777777">
      <w:pPr>
        <w:pStyle w:val="Estilo"/>
        <w:rPr>
          <w:rFonts w:ascii="Verdana" w:hAnsi="Verdana"/>
          <w:sz w:val="20"/>
          <w:szCs w:val="20"/>
        </w:rPr>
      </w:pPr>
      <w:r w:rsidRPr="00D07BF9">
        <w:rPr>
          <w:rFonts w:ascii="Verdana" w:hAnsi="Verdana"/>
          <w:sz w:val="20"/>
          <w:szCs w:val="20"/>
        </w:rPr>
        <w:t>I. Ser ciudadano guanajuatense en pleno ejercicio de sus derechos civiles y políticos;</w:t>
      </w:r>
    </w:p>
    <w:p w:rsidRPr="00D07BF9" w:rsidR="00D07BF9" w:rsidP="00D07BF9" w:rsidRDefault="00D07BF9" w14:paraId="155E0C0C" w14:textId="77777777">
      <w:pPr>
        <w:pStyle w:val="Estilo"/>
        <w:rPr>
          <w:rFonts w:ascii="Verdana" w:hAnsi="Verdana"/>
          <w:sz w:val="20"/>
          <w:szCs w:val="20"/>
        </w:rPr>
      </w:pPr>
    </w:p>
    <w:p w:rsidRPr="00D07BF9" w:rsidR="00D07BF9" w:rsidP="00D07BF9" w:rsidRDefault="00D07BF9" w14:paraId="5400D936" w14:textId="77777777">
      <w:pPr>
        <w:pStyle w:val="Estilo"/>
        <w:rPr>
          <w:rFonts w:ascii="Verdana" w:hAnsi="Verdana"/>
          <w:sz w:val="20"/>
          <w:szCs w:val="20"/>
        </w:rPr>
      </w:pPr>
      <w:r w:rsidRPr="00D07BF9">
        <w:rPr>
          <w:rFonts w:ascii="Verdana" w:hAnsi="Verdana"/>
          <w:sz w:val="20"/>
          <w:szCs w:val="20"/>
        </w:rPr>
        <w:t>II. Tener cuando menos treinta años cumplidos al día del nombramiento;</w:t>
      </w:r>
    </w:p>
    <w:p w:rsidRPr="00D07BF9" w:rsidR="00D07BF9" w:rsidP="00D07BF9" w:rsidRDefault="00D07BF9" w14:paraId="3F99D6F1" w14:textId="77777777">
      <w:pPr>
        <w:pStyle w:val="Estilo"/>
        <w:rPr>
          <w:rFonts w:ascii="Verdana" w:hAnsi="Verdana"/>
          <w:sz w:val="20"/>
          <w:szCs w:val="20"/>
        </w:rPr>
      </w:pPr>
    </w:p>
    <w:p w:rsidRPr="00D07BF9" w:rsidR="00D07BF9" w:rsidP="00D07BF9" w:rsidRDefault="00D07BF9" w14:paraId="0BD7ABBA" w14:textId="77777777">
      <w:pPr>
        <w:pStyle w:val="Estilo"/>
        <w:rPr>
          <w:rFonts w:ascii="Verdana" w:hAnsi="Verdana"/>
          <w:sz w:val="20"/>
          <w:szCs w:val="20"/>
        </w:rPr>
      </w:pPr>
      <w:r w:rsidRPr="00D07BF9">
        <w:rPr>
          <w:rFonts w:ascii="Verdana" w:hAnsi="Verdana"/>
          <w:sz w:val="20"/>
          <w:szCs w:val="20"/>
        </w:rPr>
        <w:t>III. Poseer al día de su nombramiento, título profesional en las áreas contables, económico-administrativas, jurídicas o financieras, expedido por autoridad o institución facultada para ello, y con una antigüedad mínima en su ejercicio de cinco años;</w:t>
      </w:r>
    </w:p>
    <w:p w:rsidRPr="00D07BF9" w:rsidR="00D07BF9" w:rsidP="00D07BF9" w:rsidRDefault="00D07BF9" w14:paraId="6BE3BFAE" w14:textId="77777777">
      <w:pPr>
        <w:pStyle w:val="Estilo"/>
        <w:rPr>
          <w:rFonts w:ascii="Verdana" w:hAnsi="Verdana"/>
          <w:sz w:val="20"/>
          <w:szCs w:val="20"/>
        </w:rPr>
      </w:pPr>
    </w:p>
    <w:p w:rsidRPr="00D07BF9" w:rsidR="00D07BF9" w:rsidP="00D07BF9" w:rsidRDefault="00D07BF9" w14:paraId="1B3D707F" w14:textId="77777777">
      <w:pPr>
        <w:pStyle w:val="Estilo"/>
        <w:rPr>
          <w:rFonts w:ascii="Verdana" w:hAnsi="Verdana"/>
          <w:sz w:val="20"/>
          <w:szCs w:val="20"/>
        </w:rPr>
      </w:pPr>
      <w:r w:rsidRPr="00D07BF9">
        <w:rPr>
          <w:rFonts w:ascii="Verdana" w:hAnsi="Verdana"/>
          <w:sz w:val="20"/>
          <w:szCs w:val="20"/>
        </w:rPr>
        <w:t>IV. Gozar de buena reputación y no haber sido condenado por delito intencional que amerite pena privativa de libertad de más de un año; pero si se tratare de robo, fraude, falsificación, abuso de confianza u otro que lastime seriamente la buena fama pública, quedará inhabilitado para el cargo, cualquiera que haya sido la pena;</w:t>
      </w:r>
    </w:p>
    <w:p w:rsidRPr="00D07BF9" w:rsidR="00D07BF9" w:rsidP="00D07BF9" w:rsidRDefault="00D07BF9" w14:paraId="1F117C66" w14:textId="77777777">
      <w:pPr>
        <w:pStyle w:val="Estilo"/>
        <w:rPr>
          <w:rFonts w:ascii="Verdana" w:hAnsi="Verdana"/>
          <w:sz w:val="20"/>
          <w:szCs w:val="20"/>
        </w:rPr>
      </w:pPr>
    </w:p>
    <w:p w:rsidRPr="00D07BF9" w:rsidR="00D07BF9" w:rsidP="00D07BF9" w:rsidRDefault="00D07BF9" w14:paraId="7CDE1ABC" w14:textId="77777777">
      <w:pPr>
        <w:pStyle w:val="Estilo"/>
        <w:rPr>
          <w:rFonts w:ascii="Verdana" w:hAnsi="Verdana"/>
          <w:sz w:val="20"/>
          <w:szCs w:val="20"/>
        </w:rPr>
      </w:pPr>
      <w:r w:rsidRPr="00D07BF9">
        <w:rPr>
          <w:rFonts w:ascii="Verdana" w:hAnsi="Verdana"/>
          <w:sz w:val="20"/>
          <w:szCs w:val="20"/>
        </w:rPr>
        <w:t>V. Haber residido en el Estado durante los últimos tres años, salvo el caso de ausencia en servicio de la República o del Estado; y</w:t>
      </w:r>
    </w:p>
    <w:p w:rsidRPr="00D07BF9" w:rsidR="00D07BF9" w:rsidP="00D07BF9" w:rsidRDefault="00D07BF9" w14:paraId="6FB49BA6" w14:textId="77777777">
      <w:pPr>
        <w:pStyle w:val="Estilo"/>
        <w:rPr>
          <w:rFonts w:ascii="Verdana" w:hAnsi="Verdana"/>
          <w:sz w:val="20"/>
          <w:szCs w:val="20"/>
        </w:rPr>
      </w:pPr>
    </w:p>
    <w:p w:rsidRPr="00D07BF9" w:rsidR="00D07BF9" w:rsidP="00D07BF9" w:rsidRDefault="00D07BF9" w14:paraId="7EC42B28" w14:textId="77777777">
      <w:pPr>
        <w:pStyle w:val="Estilo"/>
        <w:rPr>
          <w:rFonts w:ascii="Verdana" w:hAnsi="Verdana"/>
          <w:sz w:val="20"/>
          <w:szCs w:val="20"/>
        </w:rPr>
      </w:pPr>
      <w:r w:rsidRPr="00D07BF9">
        <w:rPr>
          <w:rFonts w:ascii="Verdana" w:hAnsi="Verdana"/>
          <w:sz w:val="20"/>
          <w:szCs w:val="20"/>
        </w:rPr>
        <w:t>VI. No haber sido candidato de elección popular, ni representante de partido ante los organismos electorales, excepto representante de casilla; y no ser o haber sido dirigente de partido político en los últimos cinco años.</w:t>
      </w:r>
    </w:p>
    <w:p w:rsidRPr="00D07BF9" w:rsidR="00D07BF9" w:rsidP="00D07BF9" w:rsidRDefault="00D07BF9" w14:paraId="46B8A779" w14:textId="77777777">
      <w:pPr>
        <w:pStyle w:val="Estilo"/>
        <w:rPr>
          <w:rFonts w:ascii="Verdana" w:hAnsi="Verdana"/>
          <w:sz w:val="20"/>
          <w:szCs w:val="20"/>
        </w:rPr>
      </w:pPr>
    </w:p>
    <w:p w:rsidRPr="007D6808" w:rsidR="00D07BF9" w:rsidP="007D6808" w:rsidRDefault="00D07BF9" w14:paraId="34FDB63B" w14:textId="77777777">
      <w:pPr>
        <w:pStyle w:val="Estilo"/>
        <w:jc w:val="right"/>
        <w:rPr>
          <w:rFonts w:ascii="Verdana" w:hAnsi="Verdana"/>
          <w:b/>
          <w:bCs/>
          <w:sz w:val="20"/>
          <w:szCs w:val="20"/>
        </w:rPr>
      </w:pPr>
      <w:r w:rsidRPr="007D6808">
        <w:rPr>
          <w:rFonts w:ascii="Verdana" w:hAnsi="Verdana"/>
          <w:b/>
          <w:bCs/>
          <w:sz w:val="20"/>
          <w:szCs w:val="20"/>
        </w:rPr>
        <w:t>Nombramiento</w:t>
      </w:r>
    </w:p>
    <w:p w:rsidRPr="00D07BF9" w:rsidR="00D07BF9" w:rsidP="00D07BF9" w:rsidRDefault="00D07BF9" w14:paraId="0444D725" w14:textId="77777777">
      <w:pPr>
        <w:pStyle w:val="Estilo"/>
        <w:rPr>
          <w:rFonts w:ascii="Verdana" w:hAnsi="Verdana"/>
          <w:sz w:val="20"/>
          <w:szCs w:val="20"/>
        </w:rPr>
      </w:pPr>
      <w:r w:rsidRPr="00D07BF9">
        <w:rPr>
          <w:rFonts w:ascii="Verdana" w:hAnsi="Verdana"/>
          <w:sz w:val="20"/>
          <w:szCs w:val="20"/>
        </w:rPr>
        <w:t>Artículo 98. Los auditores especiales y directores generales de la Auditoría Superior serán nombrados por el Auditor Superior, debiendo ser ratificados por las dos terceras partes de los integrantes del Congreso y podrán ser removidos por las causas graves a que se refieren las fracciones I a IV del artículo 95 de esta ley.</w:t>
      </w:r>
    </w:p>
    <w:p w:rsidRPr="00D07BF9" w:rsidR="00D07BF9" w:rsidP="00D07BF9" w:rsidRDefault="00D07BF9" w14:paraId="5FFE5485" w14:textId="77777777">
      <w:pPr>
        <w:pStyle w:val="Estilo"/>
        <w:rPr>
          <w:rFonts w:ascii="Verdana" w:hAnsi="Verdana"/>
          <w:sz w:val="20"/>
          <w:szCs w:val="20"/>
        </w:rPr>
      </w:pPr>
    </w:p>
    <w:p w:rsidRPr="007D6808" w:rsidR="00D07BF9" w:rsidP="007D6808" w:rsidRDefault="00D07BF9" w14:paraId="3AFD675B" w14:textId="77777777">
      <w:pPr>
        <w:pStyle w:val="Estilo"/>
        <w:jc w:val="right"/>
        <w:rPr>
          <w:rFonts w:ascii="Verdana" w:hAnsi="Verdana"/>
          <w:b/>
          <w:bCs/>
          <w:sz w:val="20"/>
          <w:szCs w:val="20"/>
        </w:rPr>
      </w:pPr>
      <w:r w:rsidRPr="007D6808">
        <w:rPr>
          <w:rFonts w:ascii="Verdana" w:hAnsi="Verdana"/>
          <w:b/>
          <w:bCs/>
          <w:sz w:val="20"/>
          <w:szCs w:val="20"/>
        </w:rPr>
        <w:t>Relaciones laborales</w:t>
      </w:r>
    </w:p>
    <w:p w:rsidRPr="00D07BF9" w:rsidR="00D07BF9" w:rsidP="00D07BF9" w:rsidRDefault="00D07BF9" w14:paraId="2672DD42" w14:textId="77777777">
      <w:pPr>
        <w:pStyle w:val="Estilo"/>
        <w:rPr>
          <w:rFonts w:ascii="Verdana" w:hAnsi="Verdana"/>
          <w:sz w:val="20"/>
          <w:szCs w:val="20"/>
        </w:rPr>
      </w:pPr>
      <w:r w:rsidRPr="00D07BF9">
        <w:rPr>
          <w:rFonts w:ascii="Verdana" w:hAnsi="Verdana"/>
          <w:sz w:val="20"/>
          <w:szCs w:val="20"/>
        </w:rPr>
        <w:t>Artículo 99. Los servidores públicos de la Auditoría Superior son trabajadores del Poder Legislativo del Estado y su relación laboral se regirá por el estatuto correspondiente.</w:t>
      </w:r>
    </w:p>
    <w:p w:rsidRPr="00D07BF9" w:rsidR="00D07BF9" w:rsidP="00D07BF9" w:rsidRDefault="00D07BF9" w14:paraId="1F9F0698" w14:textId="77777777">
      <w:pPr>
        <w:pStyle w:val="Estilo"/>
        <w:rPr>
          <w:rFonts w:ascii="Verdana" w:hAnsi="Verdana"/>
          <w:sz w:val="20"/>
          <w:szCs w:val="20"/>
        </w:rPr>
      </w:pPr>
    </w:p>
    <w:p w:rsidRPr="00D07BF9" w:rsidR="00D07BF9" w:rsidP="00D07BF9" w:rsidRDefault="00D07BF9" w14:paraId="32CCB1FD" w14:textId="77777777">
      <w:pPr>
        <w:pStyle w:val="Estilo"/>
        <w:rPr>
          <w:rFonts w:ascii="Verdana" w:hAnsi="Verdana"/>
          <w:sz w:val="20"/>
          <w:szCs w:val="20"/>
        </w:rPr>
      </w:pPr>
      <w:r w:rsidRPr="00D07BF9">
        <w:rPr>
          <w:rFonts w:ascii="Verdana" w:hAnsi="Verdana"/>
          <w:sz w:val="20"/>
          <w:szCs w:val="20"/>
        </w:rPr>
        <w:t>El Auditor Superior, los auditores especiales y los directores generales, gozarán de las mismas prestaciones a las que tienen derecho los servidores públicos descritos en los artículos 59, fracción VI y 233, fracción VI de la Ley Orgánica del Poder Legislativo del Estado de Guanajuato.</w:t>
      </w:r>
    </w:p>
    <w:p w:rsidRPr="00D07BF9" w:rsidR="00D07BF9" w:rsidP="00D07BF9" w:rsidRDefault="00D07BF9" w14:paraId="71D4F64C" w14:textId="77777777">
      <w:pPr>
        <w:pStyle w:val="Estilo"/>
        <w:rPr>
          <w:rFonts w:ascii="Verdana" w:hAnsi="Verdana"/>
          <w:sz w:val="20"/>
          <w:szCs w:val="20"/>
        </w:rPr>
      </w:pPr>
    </w:p>
    <w:p w:rsidRPr="00D07BF9" w:rsidR="00D07BF9" w:rsidP="00D07BF9" w:rsidRDefault="00D07BF9" w14:paraId="11F9B514" w14:textId="77777777">
      <w:pPr>
        <w:pStyle w:val="Estilo"/>
        <w:rPr>
          <w:rFonts w:ascii="Verdana" w:hAnsi="Verdana"/>
          <w:sz w:val="20"/>
          <w:szCs w:val="20"/>
        </w:rPr>
      </w:pPr>
    </w:p>
    <w:p w:rsidRPr="007D6808" w:rsidR="00D07BF9" w:rsidP="007D6808" w:rsidRDefault="00D07BF9" w14:paraId="33A4704C" w14:textId="542974FA">
      <w:pPr>
        <w:pStyle w:val="Estilo"/>
        <w:jc w:val="center"/>
        <w:rPr>
          <w:rFonts w:ascii="Verdana" w:hAnsi="Verdana"/>
          <w:b/>
          <w:bCs/>
          <w:sz w:val="20"/>
          <w:szCs w:val="20"/>
        </w:rPr>
      </w:pPr>
      <w:r w:rsidRPr="007D6808">
        <w:rPr>
          <w:rFonts w:ascii="Verdana" w:hAnsi="Verdana"/>
          <w:b/>
          <w:bCs/>
          <w:sz w:val="20"/>
          <w:szCs w:val="20"/>
        </w:rPr>
        <w:lastRenderedPageBreak/>
        <w:t>TRANSITORIOS</w:t>
      </w:r>
    </w:p>
    <w:p w:rsidRPr="007D6808" w:rsidR="00D07BF9" w:rsidP="007D6808" w:rsidRDefault="00D07BF9" w14:paraId="4674D7A5" w14:textId="77777777">
      <w:pPr>
        <w:pStyle w:val="Estilo"/>
        <w:jc w:val="center"/>
        <w:rPr>
          <w:rFonts w:ascii="Verdana" w:hAnsi="Verdana"/>
          <w:b/>
          <w:bCs/>
          <w:sz w:val="20"/>
          <w:szCs w:val="20"/>
        </w:rPr>
      </w:pPr>
    </w:p>
    <w:p w:rsidRPr="00D07BF9" w:rsidR="00D07BF9" w:rsidP="00D07BF9" w:rsidRDefault="00D07BF9" w14:paraId="0B81AC16" w14:textId="77777777">
      <w:pPr>
        <w:pStyle w:val="Estilo"/>
        <w:rPr>
          <w:rFonts w:ascii="Verdana" w:hAnsi="Verdana"/>
          <w:sz w:val="20"/>
          <w:szCs w:val="20"/>
        </w:rPr>
      </w:pPr>
      <w:r w:rsidRPr="00D07BF9">
        <w:rPr>
          <w:rFonts w:ascii="Verdana" w:hAnsi="Verdana"/>
          <w:sz w:val="20"/>
          <w:szCs w:val="20"/>
        </w:rPr>
        <w:t>Inicio de vigencia</w:t>
      </w:r>
    </w:p>
    <w:p w:rsidRPr="00D07BF9" w:rsidR="00D07BF9" w:rsidP="00D07BF9" w:rsidRDefault="00D07BF9" w14:paraId="08B384FD" w14:textId="77777777">
      <w:pPr>
        <w:pStyle w:val="Estilo"/>
        <w:rPr>
          <w:rFonts w:ascii="Verdana" w:hAnsi="Verdana"/>
          <w:sz w:val="20"/>
          <w:szCs w:val="20"/>
        </w:rPr>
      </w:pPr>
      <w:r w:rsidRPr="00D07BF9">
        <w:rPr>
          <w:rFonts w:ascii="Verdana" w:hAnsi="Verdana"/>
          <w:sz w:val="20"/>
          <w:szCs w:val="20"/>
        </w:rPr>
        <w:t>Artículo Primero. El presente decreto entrará en vigor a los noventa días naturales siguientes al de su publicación en el Periódico Oficial del Gobierno del Estado.</w:t>
      </w:r>
    </w:p>
    <w:p w:rsidRPr="00D07BF9" w:rsidR="00D07BF9" w:rsidP="00D07BF9" w:rsidRDefault="00D07BF9" w14:paraId="6A018BD7" w14:textId="77777777">
      <w:pPr>
        <w:pStyle w:val="Estilo"/>
        <w:rPr>
          <w:rFonts w:ascii="Verdana" w:hAnsi="Verdana"/>
          <w:sz w:val="20"/>
          <w:szCs w:val="20"/>
        </w:rPr>
      </w:pPr>
    </w:p>
    <w:p w:rsidRPr="00D07BF9" w:rsidR="00D07BF9" w:rsidP="00D07BF9" w:rsidRDefault="00D07BF9" w14:paraId="585E9E35" w14:textId="77777777">
      <w:pPr>
        <w:pStyle w:val="Estilo"/>
        <w:rPr>
          <w:rFonts w:ascii="Verdana" w:hAnsi="Verdana"/>
          <w:sz w:val="20"/>
          <w:szCs w:val="20"/>
        </w:rPr>
      </w:pPr>
      <w:r w:rsidRPr="00D07BF9">
        <w:rPr>
          <w:rFonts w:ascii="Verdana" w:hAnsi="Verdana"/>
          <w:sz w:val="20"/>
          <w:szCs w:val="20"/>
        </w:rPr>
        <w:t>Abrogación</w:t>
      </w:r>
    </w:p>
    <w:p w:rsidRPr="00D07BF9" w:rsidR="00D07BF9" w:rsidP="00D07BF9" w:rsidRDefault="00D07BF9" w14:paraId="40E82EB2" w14:textId="77777777">
      <w:pPr>
        <w:pStyle w:val="Estilo"/>
        <w:rPr>
          <w:rFonts w:ascii="Verdana" w:hAnsi="Verdana"/>
          <w:sz w:val="20"/>
          <w:szCs w:val="20"/>
        </w:rPr>
      </w:pPr>
      <w:r w:rsidRPr="00D07BF9">
        <w:rPr>
          <w:rFonts w:ascii="Verdana" w:hAnsi="Verdana"/>
          <w:sz w:val="20"/>
          <w:szCs w:val="20"/>
        </w:rPr>
        <w:t>Artículo Segundo. Se abroga la Ley de Fiscalización Superior del Estado de Guanajuato, publicada en el Periódico Oficial del Gobierno del Estado número 180, tercera parte, de fecha 11 de noviembre de 2003; así como cualquier otra disposición que se oponga a la presente ley.</w:t>
      </w:r>
    </w:p>
    <w:p w:rsidRPr="00D07BF9" w:rsidR="00D07BF9" w:rsidP="00D07BF9" w:rsidRDefault="00D07BF9" w14:paraId="26543B88" w14:textId="77777777">
      <w:pPr>
        <w:pStyle w:val="Estilo"/>
        <w:rPr>
          <w:rFonts w:ascii="Verdana" w:hAnsi="Verdana"/>
          <w:sz w:val="20"/>
          <w:szCs w:val="20"/>
        </w:rPr>
      </w:pPr>
    </w:p>
    <w:p w:rsidRPr="00D07BF9" w:rsidR="00D07BF9" w:rsidP="00D07BF9" w:rsidRDefault="00D07BF9" w14:paraId="087C9438" w14:textId="77777777">
      <w:pPr>
        <w:pStyle w:val="Estilo"/>
        <w:rPr>
          <w:rFonts w:ascii="Verdana" w:hAnsi="Verdana"/>
          <w:sz w:val="20"/>
          <w:szCs w:val="20"/>
        </w:rPr>
      </w:pPr>
      <w:r w:rsidRPr="00D07BF9">
        <w:rPr>
          <w:rFonts w:ascii="Verdana" w:hAnsi="Verdana"/>
          <w:sz w:val="20"/>
          <w:szCs w:val="20"/>
        </w:rPr>
        <w:t>Asuntos en trámite</w:t>
      </w:r>
    </w:p>
    <w:p w:rsidRPr="00D07BF9" w:rsidR="00D07BF9" w:rsidP="00D07BF9" w:rsidRDefault="00D07BF9" w14:paraId="2E4EEA95" w14:textId="77777777">
      <w:pPr>
        <w:pStyle w:val="Estilo"/>
        <w:rPr>
          <w:rFonts w:ascii="Verdana" w:hAnsi="Verdana"/>
          <w:sz w:val="20"/>
          <w:szCs w:val="20"/>
        </w:rPr>
      </w:pPr>
      <w:r w:rsidRPr="00D07BF9">
        <w:rPr>
          <w:rFonts w:ascii="Verdana" w:hAnsi="Verdana"/>
          <w:sz w:val="20"/>
          <w:szCs w:val="20"/>
        </w:rPr>
        <w:t>Artículo Tercero. Los asuntos que se encuentran en trámite o en proceso a cargo del Órgano de Fiscalización Superior a la entrada en vigor de la presente ley, continuarán tramitándose, por la Auditoría Superior, en los términos de la ley abrogada.</w:t>
      </w:r>
    </w:p>
    <w:p w:rsidRPr="00D07BF9" w:rsidR="00D07BF9" w:rsidP="00D07BF9" w:rsidRDefault="00D07BF9" w14:paraId="248A1F7C" w14:textId="77777777">
      <w:pPr>
        <w:pStyle w:val="Estilo"/>
        <w:rPr>
          <w:rFonts w:ascii="Verdana" w:hAnsi="Verdana"/>
          <w:sz w:val="20"/>
          <w:szCs w:val="20"/>
        </w:rPr>
      </w:pPr>
    </w:p>
    <w:p w:rsidRPr="00D07BF9" w:rsidR="00D07BF9" w:rsidP="00D07BF9" w:rsidRDefault="00D07BF9" w14:paraId="61E6AB37" w14:textId="77777777">
      <w:pPr>
        <w:pStyle w:val="Estilo"/>
        <w:rPr>
          <w:rFonts w:ascii="Verdana" w:hAnsi="Verdana"/>
          <w:sz w:val="20"/>
          <w:szCs w:val="20"/>
        </w:rPr>
      </w:pPr>
      <w:r w:rsidRPr="00D07BF9">
        <w:rPr>
          <w:rFonts w:ascii="Verdana" w:hAnsi="Verdana"/>
          <w:sz w:val="20"/>
          <w:szCs w:val="20"/>
        </w:rPr>
        <w:t>Referencias</w:t>
      </w:r>
    </w:p>
    <w:p w:rsidRPr="00D07BF9" w:rsidR="00D07BF9" w:rsidP="00D07BF9" w:rsidRDefault="00D07BF9" w14:paraId="69434EA5" w14:textId="77777777">
      <w:pPr>
        <w:pStyle w:val="Estilo"/>
        <w:rPr>
          <w:rFonts w:ascii="Verdana" w:hAnsi="Verdana"/>
          <w:sz w:val="20"/>
          <w:szCs w:val="20"/>
        </w:rPr>
      </w:pPr>
      <w:r w:rsidRPr="00D07BF9">
        <w:rPr>
          <w:rFonts w:ascii="Verdana" w:hAnsi="Verdana"/>
          <w:sz w:val="20"/>
          <w:szCs w:val="20"/>
        </w:rPr>
        <w:t>Artículo Cuarto. En todas las disposiciones legales o administrativas, resoluciones, contratos, convenios, nombramientos o actos expedidos o celebrados con anterioridad a la entrada en vigor de la presente ley, en que se haga referencia al Auditor General y Órgano de Fiscalización Superior del Congreso del Estado, se entenderán referidos al Auditor Superior y a la Auditoría Superior del Estado de Guanajuato, respectivamente.</w:t>
      </w:r>
    </w:p>
    <w:p w:rsidRPr="00D07BF9" w:rsidR="00D07BF9" w:rsidP="00D07BF9" w:rsidRDefault="00D07BF9" w14:paraId="562CFED6" w14:textId="77777777">
      <w:pPr>
        <w:pStyle w:val="Estilo"/>
        <w:rPr>
          <w:rFonts w:ascii="Verdana" w:hAnsi="Verdana"/>
          <w:sz w:val="20"/>
          <w:szCs w:val="20"/>
        </w:rPr>
      </w:pPr>
    </w:p>
    <w:p w:rsidRPr="00D07BF9" w:rsidR="00D07BF9" w:rsidP="00D07BF9" w:rsidRDefault="00D07BF9" w14:paraId="17392AFE" w14:textId="77777777">
      <w:pPr>
        <w:pStyle w:val="Estilo"/>
        <w:rPr>
          <w:rFonts w:ascii="Verdana" w:hAnsi="Verdana"/>
          <w:sz w:val="20"/>
          <w:szCs w:val="20"/>
        </w:rPr>
      </w:pPr>
      <w:r w:rsidRPr="00D07BF9">
        <w:rPr>
          <w:rFonts w:ascii="Verdana" w:hAnsi="Verdana"/>
          <w:sz w:val="20"/>
          <w:szCs w:val="20"/>
        </w:rPr>
        <w:t>Asimismo, cuando en dichas disposiciones, resoluciones, contratos, convenios, nombramientos o actos se mencioné al Director General de Auditoría y Revisión de Cuenta Pública, así como al Director General de Planeación, Programación, Control y Seguimiento, ambos del Órgano de Fiscalización Superior, se entenderá que se hace referencia al Auditor Especial de Cumplimiento Financiero, y al Auditor Especial de Evaluación y Desempeño, respectivamente.</w:t>
      </w:r>
    </w:p>
    <w:p w:rsidRPr="00D07BF9" w:rsidR="00D07BF9" w:rsidP="00D07BF9" w:rsidRDefault="00D07BF9" w14:paraId="0732FE2F" w14:textId="77777777">
      <w:pPr>
        <w:pStyle w:val="Estilo"/>
        <w:rPr>
          <w:rFonts w:ascii="Verdana" w:hAnsi="Verdana"/>
          <w:sz w:val="20"/>
          <w:szCs w:val="20"/>
        </w:rPr>
      </w:pPr>
    </w:p>
    <w:p w:rsidRPr="00D07BF9" w:rsidR="00D07BF9" w:rsidP="00D07BF9" w:rsidRDefault="00D07BF9" w14:paraId="4A4E157C" w14:textId="77777777">
      <w:pPr>
        <w:pStyle w:val="Estilo"/>
        <w:rPr>
          <w:rFonts w:ascii="Verdana" w:hAnsi="Verdana"/>
          <w:sz w:val="20"/>
          <w:szCs w:val="20"/>
        </w:rPr>
      </w:pPr>
      <w:r w:rsidRPr="00D07BF9">
        <w:rPr>
          <w:rFonts w:ascii="Verdana" w:hAnsi="Verdana"/>
          <w:sz w:val="20"/>
          <w:szCs w:val="20"/>
        </w:rPr>
        <w:t>Comisionados del Instituto</w:t>
      </w:r>
    </w:p>
    <w:p w:rsidRPr="00D07BF9" w:rsidR="00D07BF9" w:rsidP="00D07BF9" w:rsidRDefault="00D07BF9" w14:paraId="309B09AB" w14:textId="77777777">
      <w:pPr>
        <w:pStyle w:val="Estilo"/>
        <w:rPr>
          <w:rFonts w:ascii="Verdana" w:hAnsi="Verdana"/>
          <w:sz w:val="20"/>
          <w:szCs w:val="20"/>
        </w:rPr>
      </w:pPr>
      <w:r w:rsidRPr="00D07BF9">
        <w:rPr>
          <w:rFonts w:ascii="Verdana" w:hAnsi="Verdana"/>
          <w:sz w:val="20"/>
          <w:szCs w:val="20"/>
        </w:rPr>
        <w:t>Artículo Quinto. Cuando en la fracción I del artículo 89 de la presente ley se menciona al Comisionado del Instituto de Acceso a la Información Pública para el Estado de Guanajuato, se entiende hecha la referencia a los consejeros previstos en la vigente Ley de Transparencia y Acceso a la Información Pública para el Estado y los Municipios de Guanajuato.</w:t>
      </w:r>
    </w:p>
    <w:p w:rsidRPr="00D07BF9" w:rsidR="00D07BF9" w:rsidP="00D07BF9" w:rsidRDefault="00D07BF9" w14:paraId="46CEB3DF" w14:textId="77777777">
      <w:pPr>
        <w:pStyle w:val="Estilo"/>
        <w:rPr>
          <w:rFonts w:ascii="Verdana" w:hAnsi="Verdana"/>
          <w:sz w:val="20"/>
          <w:szCs w:val="20"/>
        </w:rPr>
      </w:pPr>
    </w:p>
    <w:p w:rsidRPr="00D07BF9" w:rsidR="00D07BF9" w:rsidP="00D07BF9" w:rsidRDefault="00D07BF9" w14:paraId="02D7482F" w14:textId="77777777">
      <w:pPr>
        <w:pStyle w:val="Estilo"/>
        <w:rPr>
          <w:rFonts w:ascii="Verdana" w:hAnsi="Verdana"/>
          <w:sz w:val="20"/>
          <w:szCs w:val="20"/>
        </w:rPr>
      </w:pPr>
      <w:r w:rsidRPr="00D07BF9">
        <w:rPr>
          <w:rFonts w:ascii="Verdana" w:hAnsi="Verdana"/>
          <w:sz w:val="20"/>
          <w:szCs w:val="20"/>
        </w:rPr>
        <w:t>Lo anterior, atendiendo a lo establecido en el artículo 38, párrafo primero de la Ley General de Transparencia y Acceso a la Información Pública.</w:t>
      </w:r>
    </w:p>
    <w:p w:rsidRPr="00D07BF9" w:rsidR="00D07BF9" w:rsidP="00D07BF9" w:rsidRDefault="00D07BF9" w14:paraId="17F8E235" w14:textId="77777777">
      <w:pPr>
        <w:pStyle w:val="Estilo"/>
        <w:rPr>
          <w:rFonts w:ascii="Verdana" w:hAnsi="Verdana"/>
          <w:sz w:val="20"/>
          <w:szCs w:val="20"/>
        </w:rPr>
      </w:pPr>
    </w:p>
    <w:p w:rsidRPr="00D07BF9" w:rsidR="00D07BF9" w:rsidP="00D07BF9" w:rsidRDefault="00D07BF9" w14:paraId="420AC866" w14:textId="77777777">
      <w:pPr>
        <w:pStyle w:val="Estilo"/>
        <w:rPr>
          <w:rFonts w:ascii="Verdana" w:hAnsi="Verdana"/>
          <w:sz w:val="20"/>
          <w:szCs w:val="20"/>
        </w:rPr>
      </w:pPr>
      <w:r w:rsidRPr="00D07BF9">
        <w:rPr>
          <w:rFonts w:ascii="Verdana" w:hAnsi="Verdana"/>
          <w:sz w:val="20"/>
          <w:szCs w:val="20"/>
        </w:rPr>
        <w:t>Procedimiento de fiscalización</w:t>
      </w:r>
    </w:p>
    <w:p w:rsidRPr="00D07BF9" w:rsidR="00D07BF9" w:rsidP="00D07BF9" w:rsidRDefault="00D07BF9" w14:paraId="32B6C3ED" w14:textId="77777777">
      <w:pPr>
        <w:pStyle w:val="Estilo"/>
        <w:rPr>
          <w:rFonts w:ascii="Verdana" w:hAnsi="Verdana"/>
          <w:sz w:val="20"/>
          <w:szCs w:val="20"/>
        </w:rPr>
      </w:pPr>
      <w:r w:rsidRPr="00D07BF9">
        <w:rPr>
          <w:rFonts w:ascii="Verdana" w:hAnsi="Verdana"/>
          <w:sz w:val="20"/>
          <w:szCs w:val="20"/>
        </w:rPr>
        <w:t>Artículo Sexto. El plazo de seis meses para concluir el procedimiento de fiscalización a que se refiere el artículo 35 de la presente ley, computará a partir de la revisión de las cuentas públicas del ejercicio fiscal 2016.</w:t>
      </w:r>
    </w:p>
    <w:p w:rsidRPr="00D07BF9" w:rsidR="00D07BF9" w:rsidP="00D07BF9" w:rsidRDefault="00D07BF9" w14:paraId="288730E4" w14:textId="77777777">
      <w:pPr>
        <w:pStyle w:val="Estilo"/>
        <w:rPr>
          <w:rFonts w:ascii="Verdana" w:hAnsi="Verdana"/>
          <w:sz w:val="20"/>
          <w:szCs w:val="20"/>
        </w:rPr>
      </w:pPr>
    </w:p>
    <w:p w:rsidRPr="00D07BF9" w:rsidR="00D07BF9" w:rsidP="00D07BF9" w:rsidRDefault="00D07BF9" w14:paraId="656B73D7" w14:textId="77777777">
      <w:pPr>
        <w:pStyle w:val="Estilo"/>
        <w:rPr>
          <w:rFonts w:ascii="Verdana" w:hAnsi="Verdana"/>
          <w:sz w:val="20"/>
          <w:szCs w:val="20"/>
        </w:rPr>
      </w:pPr>
      <w:r w:rsidRPr="00D07BF9">
        <w:rPr>
          <w:rFonts w:ascii="Verdana" w:hAnsi="Verdana"/>
          <w:sz w:val="20"/>
          <w:szCs w:val="20"/>
        </w:rPr>
        <w:t xml:space="preserve">La revisión de las cuentas públicas anuales conforme a las disposiciones de esta </w:t>
      </w:r>
      <w:proofErr w:type="gramStart"/>
      <w:r w:rsidRPr="00D07BF9">
        <w:rPr>
          <w:rFonts w:ascii="Verdana" w:hAnsi="Verdana"/>
          <w:sz w:val="20"/>
          <w:szCs w:val="20"/>
        </w:rPr>
        <w:t>ley,</w:t>
      </w:r>
      <w:proofErr w:type="gramEnd"/>
      <w:r w:rsidRPr="00D07BF9">
        <w:rPr>
          <w:rFonts w:ascii="Verdana" w:hAnsi="Verdana"/>
          <w:sz w:val="20"/>
          <w:szCs w:val="20"/>
        </w:rPr>
        <w:t xml:space="preserve"> se efectuará sobre las que se presenten, correspondientes al ejercicio fiscal 2016. Lo anterior, sin perjuicio de que los informes trimestrales se presenten a partir de ese año.</w:t>
      </w:r>
    </w:p>
    <w:p w:rsidRPr="00D07BF9" w:rsidR="00D07BF9" w:rsidP="00D07BF9" w:rsidRDefault="00D07BF9" w14:paraId="6647F737" w14:textId="77777777">
      <w:pPr>
        <w:pStyle w:val="Estilo"/>
        <w:rPr>
          <w:rFonts w:ascii="Verdana" w:hAnsi="Verdana"/>
          <w:sz w:val="20"/>
          <w:szCs w:val="20"/>
        </w:rPr>
      </w:pPr>
    </w:p>
    <w:p w:rsidRPr="00D07BF9" w:rsidR="00D07BF9" w:rsidP="00D07BF9" w:rsidRDefault="00D07BF9" w14:paraId="71E3D956" w14:textId="77777777">
      <w:pPr>
        <w:pStyle w:val="Estilo"/>
        <w:rPr>
          <w:rFonts w:ascii="Verdana" w:hAnsi="Verdana"/>
          <w:sz w:val="20"/>
          <w:szCs w:val="20"/>
        </w:rPr>
      </w:pPr>
      <w:r w:rsidRPr="00D07BF9">
        <w:rPr>
          <w:rFonts w:ascii="Verdana" w:hAnsi="Verdana"/>
          <w:sz w:val="20"/>
          <w:szCs w:val="20"/>
        </w:rPr>
        <w:t>Plazos</w:t>
      </w:r>
    </w:p>
    <w:p w:rsidRPr="00D07BF9" w:rsidR="00D07BF9" w:rsidP="00D07BF9" w:rsidRDefault="00D07BF9" w14:paraId="4D15A8B6" w14:textId="77777777">
      <w:pPr>
        <w:pStyle w:val="Estilo"/>
        <w:rPr>
          <w:rFonts w:ascii="Verdana" w:hAnsi="Verdana"/>
          <w:sz w:val="20"/>
          <w:szCs w:val="20"/>
        </w:rPr>
      </w:pPr>
      <w:r w:rsidRPr="00D07BF9">
        <w:rPr>
          <w:rFonts w:ascii="Verdana" w:hAnsi="Verdana"/>
          <w:sz w:val="20"/>
          <w:szCs w:val="20"/>
        </w:rPr>
        <w:t>Artículo Séptimo. Los plazos previstos en el artículo 37, fracción V de la presente ley, serán aplicables para la revisión de la cuenta pública anual del ejercicio fiscal 2016.</w:t>
      </w:r>
    </w:p>
    <w:p w:rsidRPr="00D07BF9" w:rsidR="00D07BF9" w:rsidP="00D07BF9" w:rsidRDefault="00D07BF9" w14:paraId="52F61A52" w14:textId="77777777">
      <w:pPr>
        <w:pStyle w:val="Estilo"/>
        <w:rPr>
          <w:rFonts w:ascii="Verdana" w:hAnsi="Verdana"/>
          <w:sz w:val="20"/>
          <w:szCs w:val="20"/>
        </w:rPr>
      </w:pPr>
    </w:p>
    <w:p w:rsidRPr="00D07BF9" w:rsidR="00D07BF9" w:rsidP="00D07BF9" w:rsidRDefault="00D07BF9" w14:paraId="465C8B37" w14:textId="77777777">
      <w:pPr>
        <w:pStyle w:val="Estilo"/>
        <w:rPr>
          <w:rFonts w:ascii="Verdana" w:hAnsi="Verdana"/>
          <w:sz w:val="20"/>
          <w:szCs w:val="20"/>
        </w:rPr>
      </w:pPr>
      <w:r w:rsidRPr="00D07BF9">
        <w:rPr>
          <w:rFonts w:ascii="Verdana" w:hAnsi="Verdana"/>
          <w:sz w:val="20"/>
          <w:szCs w:val="20"/>
        </w:rPr>
        <w:t>Plazo para expedir el Reglamento de la ley</w:t>
      </w:r>
    </w:p>
    <w:p w:rsidRPr="00D07BF9" w:rsidR="00D07BF9" w:rsidP="00D07BF9" w:rsidRDefault="00D07BF9" w14:paraId="67558522" w14:textId="77777777">
      <w:pPr>
        <w:pStyle w:val="Estilo"/>
        <w:rPr>
          <w:rFonts w:ascii="Verdana" w:hAnsi="Verdana"/>
          <w:sz w:val="20"/>
          <w:szCs w:val="20"/>
        </w:rPr>
      </w:pPr>
      <w:r w:rsidRPr="00D07BF9">
        <w:rPr>
          <w:rFonts w:ascii="Verdana" w:hAnsi="Verdana"/>
          <w:sz w:val="20"/>
          <w:szCs w:val="20"/>
        </w:rPr>
        <w:t>Artículo Octavo. El Poder Legislativo del Estado, dentro del término de noventa días naturales, contado a partir de la entrada en vigor del presente decreto, expedirá el Reglamento de la Ley de Fiscalización Superior del Estado de Guanajuato.</w:t>
      </w:r>
    </w:p>
    <w:p w:rsidRPr="00D07BF9" w:rsidR="00D07BF9" w:rsidP="00D07BF9" w:rsidRDefault="00D07BF9" w14:paraId="56E1667B" w14:textId="77777777">
      <w:pPr>
        <w:pStyle w:val="Estilo"/>
        <w:rPr>
          <w:rFonts w:ascii="Verdana" w:hAnsi="Verdana"/>
          <w:sz w:val="20"/>
          <w:szCs w:val="20"/>
        </w:rPr>
      </w:pPr>
    </w:p>
    <w:p w:rsidRPr="00D07BF9" w:rsidR="00D07BF9" w:rsidP="00D07BF9" w:rsidRDefault="00D07BF9" w14:paraId="20256390" w14:textId="77777777">
      <w:pPr>
        <w:pStyle w:val="Estilo"/>
        <w:rPr>
          <w:rFonts w:ascii="Verdana" w:hAnsi="Verdana"/>
          <w:sz w:val="20"/>
          <w:szCs w:val="20"/>
        </w:rPr>
      </w:pPr>
      <w:r w:rsidRPr="00D07BF9">
        <w:rPr>
          <w:rFonts w:ascii="Verdana" w:hAnsi="Verdana"/>
          <w:sz w:val="20"/>
          <w:szCs w:val="20"/>
        </w:rPr>
        <w:t>Plazo para expedir el Reglamento Interior</w:t>
      </w:r>
    </w:p>
    <w:p w:rsidRPr="00D07BF9" w:rsidR="00D07BF9" w:rsidP="00D07BF9" w:rsidRDefault="00D07BF9" w14:paraId="55694DD9" w14:textId="77777777">
      <w:pPr>
        <w:pStyle w:val="Estilo"/>
        <w:rPr>
          <w:rFonts w:ascii="Verdana" w:hAnsi="Verdana"/>
          <w:sz w:val="20"/>
          <w:szCs w:val="20"/>
        </w:rPr>
      </w:pPr>
      <w:r w:rsidRPr="00D07BF9">
        <w:rPr>
          <w:rFonts w:ascii="Verdana" w:hAnsi="Verdana"/>
          <w:sz w:val="20"/>
          <w:szCs w:val="20"/>
        </w:rPr>
        <w:t>Artículo Noveno. La Auditoría Superior, contará con un término de noventa días naturales, contado a partir de la entrada en vigor del presente decreto, para expedir su Reglamento Interior; en tanto, seguirán vigentes su actual Reglamento Interior, así como sus manuales, lineamientos y guías, en lo que no se opongan a la presente Ley.</w:t>
      </w:r>
    </w:p>
    <w:p w:rsidRPr="00D07BF9" w:rsidR="00D07BF9" w:rsidP="00D07BF9" w:rsidRDefault="00D07BF9" w14:paraId="43DC630F" w14:textId="77777777">
      <w:pPr>
        <w:pStyle w:val="Estilo"/>
        <w:rPr>
          <w:rFonts w:ascii="Verdana" w:hAnsi="Verdana"/>
          <w:sz w:val="20"/>
          <w:szCs w:val="20"/>
        </w:rPr>
      </w:pPr>
    </w:p>
    <w:p w:rsidRPr="00D07BF9" w:rsidR="00D07BF9" w:rsidP="00D07BF9" w:rsidRDefault="00D07BF9" w14:paraId="78D11F7F" w14:textId="77777777">
      <w:pPr>
        <w:pStyle w:val="Estilo"/>
        <w:rPr>
          <w:rFonts w:ascii="Verdana" w:hAnsi="Verdana"/>
          <w:sz w:val="20"/>
          <w:szCs w:val="20"/>
        </w:rPr>
      </w:pPr>
      <w:r w:rsidRPr="00D07BF9">
        <w:rPr>
          <w:rFonts w:ascii="Verdana" w:hAnsi="Verdana"/>
          <w:sz w:val="20"/>
          <w:szCs w:val="20"/>
        </w:rPr>
        <w:t xml:space="preserve">LO TENDRÁ ENTENDIDO EL CIUDADANO GOBERNADOR CONSTITUCIONAL DEL ESTADO Y DISPONDRÁ QUE SE IMPRIMA, PUBLIQUE, CIRCULE Y SE LE DÉ EL DEBIDO </w:t>
      </w:r>
      <w:proofErr w:type="gramStart"/>
      <w:r w:rsidRPr="00D07BF9">
        <w:rPr>
          <w:rFonts w:ascii="Verdana" w:hAnsi="Verdana"/>
          <w:sz w:val="20"/>
          <w:szCs w:val="20"/>
        </w:rPr>
        <w:t>CUMPLIMIENTO.-</w:t>
      </w:r>
      <w:proofErr w:type="gramEnd"/>
      <w:r w:rsidRPr="00D07BF9">
        <w:rPr>
          <w:rFonts w:ascii="Verdana" w:hAnsi="Verdana"/>
          <w:sz w:val="20"/>
          <w:szCs w:val="20"/>
        </w:rPr>
        <w:t xml:space="preserve"> GUANAJUATO, GTO., 21 DE SEPTIEMBRE DE 2015.- LUIS MANUEL MEJÍA BARREÑADA.- DIPUTADO PRESIDENTE.- SERGIO ALEJANDRO CONTRERAS GUERRERO.- DIPUTADO SECRETARIO.- CUAUHTÉMOC PRADO NAVA.- DIPUTADO SECRETARIO.- RÚBRICAS.</w:t>
      </w:r>
    </w:p>
    <w:p w:rsidRPr="00D07BF9" w:rsidR="00D07BF9" w:rsidP="00D07BF9" w:rsidRDefault="00D07BF9" w14:paraId="09B23E4E" w14:textId="77777777">
      <w:pPr>
        <w:pStyle w:val="Estilo"/>
        <w:rPr>
          <w:rFonts w:ascii="Verdana" w:hAnsi="Verdana"/>
          <w:sz w:val="20"/>
          <w:szCs w:val="20"/>
        </w:rPr>
      </w:pPr>
    </w:p>
    <w:p w:rsidRPr="00D07BF9" w:rsidR="00D07BF9" w:rsidP="00D07BF9" w:rsidRDefault="00D07BF9" w14:paraId="160CF0DC" w14:textId="77777777">
      <w:pPr>
        <w:pStyle w:val="Estilo"/>
        <w:rPr>
          <w:rFonts w:ascii="Verdana" w:hAnsi="Verdana"/>
          <w:sz w:val="20"/>
          <w:szCs w:val="20"/>
        </w:rPr>
      </w:pPr>
      <w:r w:rsidRPr="00D07BF9">
        <w:rPr>
          <w:rFonts w:ascii="Verdana" w:hAnsi="Verdana"/>
          <w:sz w:val="20"/>
          <w:szCs w:val="20"/>
        </w:rPr>
        <w:t>Por lo tanto, mando se imprima, publique, circule y se le dé el debido cumplimiento.</w:t>
      </w:r>
    </w:p>
    <w:p w:rsidRPr="00D07BF9" w:rsidR="00D07BF9" w:rsidP="00D07BF9" w:rsidRDefault="00D07BF9" w14:paraId="0980D615" w14:textId="77777777">
      <w:pPr>
        <w:pStyle w:val="Estilo"/>
        <w:rPr>
          <w:rFonts w:ascii="Verdana" w:hAnsi="Verdana"/>
          <w:sz w:val="20"/>
          <w:szCs w:val="20"/>
        </w:rPr>
      </w:pPr>
    </w:p>
    <w:p w:rsidRPr="00D07BF9" w:rsidR="00D07BF9" w:rsidP="00D07BF9" w:rsidRDefault="00D07BF9" w14:paraId="2EA192E9" w14:textId="77777777">
      <w:pPr>
        <w:pStyle w:val="Estilo"/>
        <w:rPr>
          <w:rFonts w:ascii="Verdana" w:hAnsi="Verdana"/>
          <w:sz w:val="20"/>
          <w:szCs w:val="20"/>
        </w:rPr>
      </w:pPr>
      <w:r w:rsidRPr="00D07BF9">
        <w:rPr>
          <w:rFonts w:ascii="Verdana" w:hAnsi="Verdana"/>
          <w:sz w:val="20"/>
          <w:szCs w:val="20"/>
        </w:rPr>
        <w:t xml:space="preserve">Dado en la residencia del Poder Ejecutivo, en la ciudad de Guanajuato, </w:t>
      </w:r>
      <w:proofErr w:type="spellStart"/>
      <w:r w:rsidRPr="00D07BF9">
        <w:rPr>
          <w:rFonts w:ascii="Verdana" w:hAnsi="Verdana"/>
          <w:sz w:val="20"/>
          <w:szCs w:val="20"/>
        </w:rPr>
        <w:t>Gto</w:t>
      </w:r>
      <w:proofErr w:type="spellEnd"/>
      <w:r w:rsidRPr="00D07BF9">
        <w:rPr>
          <w:rFonts w:ascii="Verdana" w:hAnsi="Verdana"/>
          <w:sz w:val="20"/>
          <w:szCs w:val="20"/>
        </w:rPr>
        <w:t>., a 22 de septiembre de 2015.</w:t>
      </w:r>
    </w:p>
    <w:p w:rsidRPr="00D07BF9" w:rsidR="00D07BF9" w:rsidP="00D07BF9" w:rsidRDefault="00D07BF9" w14:paraId="078DBFBA" w14:textId="77777777">
      <w:pPr>
        <w:pStyle w:val="Estilo"/>
        <w:rPr>
          <w:rFonts w:ascii="Verdana" w:hAnsi="Verdana"/>
          <w:sz w:val="20"/>
          <w:szCs w:val="20"/>
        </w:rPr>
      </w:pPr>
    </w:p>
    <w:p w:rsidRPr="00D07BF9" w:rsidR="00D07BF9" w:rsidP="00D07BF9" w:rsidRDefault="00D07BF9" w14:paraId="6400F632" w14:textId="77777777">
      <w:pPr>
        <w:pStyle w:val="Estilo"/>
        <w:rPr>
          <w:rFonts w:ascii="Verdana" w:hAnsi="Verdana"/>
          <w:sz w:val="20"/>
          <w:szCs w:val="20"/>
        </w:rPr>
      </w:pPr>
      <w:r w:rsidRPr="00D07BF9">
        <w:rPr>
          <w:rFonts w:ascii="Verdana" w:hAnsi="Verdana"/>
          <w:sz w:val="20"/>
          <w:szCs w:val="20"/>
        </w:rPr>
        <w:t xml:space="preserve">MIGUEL MÁRQUEZ </w:t>
      </w:r>
      <w:proofErr w:type="spellStart"/>
      <w:r w:rsidRPr="00D07BF9">
        <w:rPr>
          <w:rFonts w:ascii="Verdana" w:hAnsi="Verdana"/>
          <w:sz w:val="20"/>
          <w:szCs w:val="20"/>
        </w:rPr>
        <w:t>MÁRQUEZ</w:t>
      </w:r>
      <w:proofErr w:type="spellEnd"/>
    </w:p>
    <w:p w:rsidRPr="00D07BF9" w:rsidR="00D07BF9" w:rsidP="00D07BF9" w:rsidRDefault="00D07BF9" w14:paraId="13F1BBC7" w14:textId="77777777">
      <w:pPr>
        <w:pStyle w:val="Estilo"/>
        <w:rPr>
          <w:rFonts w:ascii="Verdana" w:hAnsi="Verdana"/>
          <w:sz w:val="20"/>
          <w:szCs w:val="20"/>
        </w:rPr>
      </w:pPr>
    </w:p>
    <w:p w:rsidRPr="00D07BF9" w:rsidR="00D07BF9" w:rsidP="00D07BF9" w:rsidRDefault="00D07BF9" w14:paraId="3BBD6C14" w14:textId="77777777">
      <w:pPr>
        <w:pStyle w:val="Estilo"/>
        <w:rPr>
          <w:rFonts w:ascii="Verdana" w:hAnsi="Verdana"/>
          <w:sz w:val="20"/>
          <w:szCs w:val="20"/>
        </w:rPr>
      </w:pPr>
      <w:r w:rsidRPr="00D07BF9">
        <w:rPr>
          <w:rFonts w:ascii="Verdana" w:hAnsi="Verdana"/>
          <w:sz w:val="20"/>
          <w:szCs w:val="20"/>
        </w:rPr>
        <w:t>EL SECRETARIO DE GOBIERNO</w:t>
      </w:r>
    </w:p>
    <w:p w:rsidRPr="00D07BF9" w:rsidR="00D07BF9" w:rsidP="00D07BF9" w:rsidRDefault="00D07BF9" w14:paraId="6CE80A3D" w14:textId="77777777">
      <w:pPr>
        <w:pStyle w:val="Estilo"/>
        <w:rPr>
          <w:rFonts w:ascii="Verdana" w:hAnsi="Verdana"/>
          <w:sz w:val="20"/>
          <w:szCs w:val="20"/>
        </w:rPr>
      </w:pPr>
      <w:r w:rsidRPr="00D07BF9">
        <w:rPr>
          <w:rFonts w:ascii="Verdana" w:hAnsi="Verdana"/>
          <w:sz w:val="20"/>
          <w:szCs w:val="20"/>
        </w:rPr>
        <w:t>ANTONIO SALVADOR GARCÍA LÓPEZ</w:t>
      </w:r>
    </w:p>
    <w:p w:rsidRPr="00D07BF9" w:rsidR="00D07BF9" w:rsidP="00D07BF9" w:rsidRDefault="00D07BF9" w14:paraId="1CDDB13C" w14:textId="77777777">
      <w:pPr>
        <w:pStyle w:val="Estilo"/>
        <w:rPr>
          <w:rFonts w:ascii="Verdana" w:hAnsi="Verdana"/>
          <w:sz w:val="20"/>
          <w:szCs w:val="20"/>
        </w:rPr>
      </w:pPr>
    </w:p>
    <w:p w:rsidRPr="00D07BF9" w:rsidR="00D07BF9" w:rsidP="00D07BF9" w:rsidRDefault="00D07BF9" w14:paraId="7FE51400" w14:textId="77777777">
      <w:pPr>
        <w:pStyle w:val="Estilo"/>
        <w:rPr>
          <w:rFonts w:ascii="Verdana" w:hAnsi="Verdana"/>
          <w:sz w:val="20"/>
          <w:szCs w:val="20"/>
        </w:rPr>
      </w:pPr>
    </w:p>
    <w:p w:rsidRPr="00D07BF9" w:rsidR="00D07BF9" w:rsidP="00D07BF9" w:rsidRDefault="00D07BF9" w14:paraId="123D2F9A" w14:textId="77777777">
      <w:pPr>
        <w:pStyle w:val="Estilo"/>
        <w:rPr>
          <w:rFonts w:ascii="Verdana" w:hAnsi="Verdana"/>
          <w:sz w:val="20"/>
          <w:szCs w:val="20"/>
        </w:rPr>
      </w:pPr>
      <w:r w:rsidRPr="00D07BF9">
        <w:rPr>
          <w:rFonts w:ascii="Verdana" w:hAnsi="Verdana"/>
          <w:sz w:val="20"/>
          <w:szCs w:val="20"/>
        </w:rPr>
        <w:t xml:space="preserve">[N. DE E. A </w:t>
      </w:r>
      <w:proofErr w:type="gramStart"/>
      <w:r w:rsidRPr="00D07BF9">
        <w:rPr>
          <w:rFonts w:ascii="Verdana" w:hAnsi="Verdana"/>
          <w:sz w:val="20"/>
          <w:szCs w:val="20"/>
        </w:rPr>
        <w:t>CONTINUACIÓN</w:t>
      </w:r>
      <w:proofErr w:type="gramEnd"/>
      <w:r w:rsidRPr="00D07BF9">
        <w:rPr>
          <w:rFonts w:ascii="Verdana" w:hAnsi="Verdana"/>
          <w:sz w:val="20"/>
          <w:szCs w:val="20"/>
        </w:rPr>
        <w:t xml:space="preserve"> SE TRANSCRIBEN LOS ARTÍCULOS TRANSITORIOS DE LOS DECRETOS DE REFORMAS AL PRESENTE ORDENAMIENTO.]</w:t>
      </w:r>
    </w:p>
    <w:p w:rsidRPr="00D07BF9" w:rsidR="00D07BF9" w:rsidP="00D07BF9" w:rsidRDefault="00D07BF9" w14:paraId="5057D420" w14:textId="77777777">
      <w:pPr>
        <w:pStyle w:val="Estilo"/>
        <w:rPr>
          <w:rFonts w:ascii="Verdana" w:hAnsi="Verdana"/>
          <w:sz w:val="20"/>
          <w:szCs w:val="20"/>
        </w:rPr>
      </w:pPr>
    </w:p>
    <w:p w:rsidRPr="00D07BF9" w:rsidR="00D07BF9" w:rsidP="00D07BF9" w:rsidRDefault="00D07BF9" w14:paraId="5471BDC5" w14:textId="77777777">
      <w:pPr>
        <w:pStyle w:val="Estilo"/>
        <w:rPr>
          <w:rFonts w:ascii="Verdana" w:hAnsi="Verdana"/>
          <w:sz w:val="20"/>
          <w:szCs w:val="20"/>
        </w:rPr>
      </w:pPr>
      <w:r w:rsidRPr="00D07BF9">
        <w:rPr>
          <w:rFonts w:ascii="Verdana" w:hAnsi="Verdana"/>
          <w:sz w:val="20"/>
          <w:szCs w:val="20"/>
        </w:rPr>
        <w:t>P.O. 1 DE JULIO DE 2016.</w:t>
      </w:r>
    </w:p>
    <w:p w:rsidRPr="00D07BF9" w:rsidR="00D07BF9" w:rsidP="00D07BF9" w:rsidRDefault="00D07BF9" w14:paraId="2A8A08DB" w14:textId="77777777">
      <w:pPr>
        <w:pStyle w:val="Estilo"/>
        <w:rPr>
          <w:rFonts w:ascii="Verdana" w:hAnsi="Verdana"/>
          <w:sz w:val="20"/>
          <w:szCs w:val="20"/>
        </w:rPr>
      </w:pPr>
    </w:p>
    <w:p w:rsidRPr="00D07BF9" w:rsidR="00D07BF9" w:rsidP="00D07BF9" w:rsidRDefault="00D07BF9" w14:paraId="0C828EAE" w14:textId="77777777">
      <w:pPr>
        <w:pStyle w:val="Estilo"/>
        <w:rPr>
          <w:rFonts w:ascii="Verdana" w:hAnsi="Verdana"/>
          <w:sz w:val="20"/>
          <w:szCs w:val="20"/>
        </w:rPr>
      </w:pPr>
      <w:r w:rsidRPr="00D07B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Pr="00D07BF9" w:rsidR="00D07BF9" w:rsidP="00D07BF9" w:rsidRDefault="00D07BF9" w14:paraId="07A869E1" w14:textId="77777777">
      <w:pPr>
        <w:pStyle w:val="Estilo"/>
        <w:rPr>
          <w:rFonts w:ascii="Verdana" w:hAnsi="Verdana"/>
          <w:sz w:val="20"/>
          <w:szCs w:val="20"/>
        </w:rPr>
      </w:pPr>
    </w:p>
    <w:p w:rsidRPr="00D07BF9" w:rsidR="00D07BF9" w:rsidP="00D07BF9" w:rsidRDefault="00D07BF9" w14:paraId="62F286D9" w14:textId="77777777">
      <w:pPr>
        <w:pStyle w:val="Estilo"/>
        <w:rPr>
          <w:rFonts w:ascii="Verdana" w:hAnsi="Verdana"/>
          <w:sz w:val="20"/>
          <w:szCs w:val="20"/>
        </w:rPr>
      </w:pPr>
      <w:r w:rsidRPr="00D07BF9">
        <w:rPr>
          <w:rFonts w:ascii="Verdana" w:hAnsi="Verdana"/>
          <w:sz w:val="20"/>
          <w:szCs w:val="20"/>
        </w:rPr>
        <w:t>Artículo Único. El presente decreto entrará en vigor el día siguiente al de su publicación en el Periódico Oficial del Gobierno del Estado.</w:t>
      </w:r>
    </w:p>
    <w:p w:rsidRPr="00D07BF9" w:rsidR="00D07BF9" w:rsidP="00D07BF9" w:rsidRDefault="00D07BF9" w14:paraId="0D2C0FD2" w14:textId="77777777">
      <w:pPr>
        <w:pStyle w:val="Estilo"/>
        <w:rPr>
          <w:rFonts w:ascii="Verdana" w:hAnsi="Verdana"/>
          <w:sz w:val="20"/>
          <w:szCs w:val="20"/>
        </w:rPr>
      </w:pPr>
    </w:p>
    <w:p w:rsidRPr="00D07BF9" w:rsidR="00D07BF9" w:rsidP="00D07BF9" w:rsidRDefault="00D07BF9" w14:paraId="6E67AEB9" w14:textId="77777777">
      <w:pPr>
        <w:pStyle w:val="Estilo"/>
        <w:rPr>
          <w:rFonts w:ascii="Verdana" w:hAnsi="Verdana"/>
          <w:sz w:val="20"/>
          <w:szCs w:val="20"/>
        </w:rPr>
      </w:pPr>
    </w:p>
    <w:p w:rsidRPr="00D07BF9" w:rsidR="00D07BF9" w:rsidP="00D07BF9" w:rsidRDefault="00D07BF9" w14:paraId="1AA6DB55" w14:textId="77777777">
      <w:pPr>
        <w:pStyle w:val="Estilo"/>
        <w:rPr>
          <w:rFonts w:ascii="Verdana" w:hAnsi="Verdana"/>
          <w:sz w:val="20"/>
          <w:szCs w:val="20"/>
        </w:rPr>
      </w:pPr>
      <w:r w:rsidRPr="00D07BF9">
        <w:rPr>
          <w:rFonts w:ascii="Verdana" w:hAnsi="Verdana"/>
          <w:sz w:val="20"/>
          <w:szCs w:val="20"/>
        </w:rPr>
        <w:t>P.O. 28 DE OCTUBRE DE 2016.</w:t>
      </w:r>
    </w:p>
    <w:p w:rsidRPr="00D07BF9" w:rsidR="00D07BF9" w:rsidP="00D07BF9" w:rsidRDefault="00D07BF9" w14:paraId="0E39038E" w14:textId="77777777">
      <w:pPr>
        <w:pStyle w:val="Estilo"/>
        <w:rPr>
          <w:rFonts w:ascii="Verdana" w:hAnsi="Verdana"/>
          <w:sz w:val="20"/>
          <w:szCs w:val="20"/>
        </w:rPr>
      </w:pPr>
    </w:p>
    <w:p w:rsidRPr="00D07BF9" w:rsidR="00D07BF9" w:rsidP="00D07BF9" w:rsidRDefault="00D07BF9" w14:paraId="3C4A107D" w14:textId="77777777">
      <w:pPr>
        <w:pStyle w:val="Estilo"/>
        <w:rPr>
          <w:rFonts w:ascii="Verdana" w:hAnsi="Verdana"/>
          <w:sz w:val="20"/>
          <w:szCs w:val="20"/>
        </w:rPr>
      </w:pPr>
      <w:r w:rsidRPr="00D07BF9">
        <w:rPr>
          <w:rFonts w:ascii="Verdana" w:hAnsi="Verdana"/>
          <w:sz w:val="20"/>
          <w:szCs w:val="20"/>
        </w:rPr>
        <w:t xml:space="preserve">[N. DE E. TRANSITORIO DEL ARTÍCULO QUINTO DEL “DECRETO NÚMERO 115, EXPEDIDO POR LA SEXAGÉSIMA TERCERA LEGISLATURA CONSTITUCIONAL DEL ESTADO LIBRE Y SOBERANO DE GUANAJUATO, MEDIANTE EL CUAL SE REFORMAN, ADICIONAN Y DEROGAN DIVERSAS DISPOSICIONES DE LA LEY PARA EL EJERCICIO Y CONTROL DE LOS RECURSOS PÚBLICOS PARA EL ESTADO Y LOS MUNICIPIOS DE GUANAJUATO; LEY ORGÁNICA DEL PODER EJECUTIVO PARA EL ESTADO DE GUANAJUATO; LEY ORGÁNICA </w:t>
      </w:r>
      <w:r w:rsidRPr="00D07BF9">
        <w:rPr>
          <w:rFonts w:ascii="Verdana" w:hAnsi="Verdana"/>
          <w:sz w:val="20"/>
          <w:szCs w:val="20"/>
        </w:rPr>
        <w:lastRenderedPageBreak/>
        <w:t>MUNICIPAL PARA EL ESTADO DE GUANAJUATO; LEY DE PROYECTOS DE PRESTACIÓN DE SERVICIOS PARA EL ESTADO Y LOS MUNICIPIOS DE GUANAJUATO; LEY DE FISCALIZACIÓN SUPERIOR DEL ESTADO DE GUANAJUATO; LEY DE COORDINACIÓN FISCAL DEL ESTADO; Y SE EXPIDE LA LEY DE DEUDA PÚBLICA PARA EL ESTADO Y LOS MUNICIPIOS DE GUANAJUATO”.]</w:t>
      </w:r>
    </w:p>
    <w:p w:rsidRPr="00D07BF9" w:rsidR="00D07BF9" w:rsidP="00D07BF9" w:rsidRDefault="00D07BF9" w14:paraId="00676434" w14:textId="77777777">
      <w:pPr>
        <w:pStyle w:val="Estilo"/>
        <w:rPr>
          <w:rFonts w:ascii="Verdana" w:hAnsi="Verdana"/>
          <w:sz w:val="20"/>
          <w:szCs w:val="20"/>
        </w:rPr>
      </w:pPr>
    </w:p>
    <w:p w:rsidRPr="00D07BF9" w:rsidR="00D07BF9" w:rsidP="00D07BF9" w:rsidRDefault="00D07BF9" w14:paraId="197BDBBC" w14:textId="77777777">
      <w:pPr>
        <w:pStyle w:val="Estilo"/>
        <w:rPr>
          <w:rFonts w:ascii="Verdana" w:hAnsi="Verdana"/>
          <w:sz w:val="20"/>
          <w:szCs w:val="20"/>
        </w:rPr>
      </w:pPr>
      <w:r w:rsidRPr="00D07BF9">
        <w:rPr>
          <w:rFonts w:ascii="Verdana" w:hAnsi="Verdana"/>
          <w:sz w:val="20"/>
          <w:szCs w:val="20"/>
        </w:rPr>
        <w:t xml:space="preserve">Artículo Único. El presente ARTÍCULO QUINTO del presente Decreto </w:t>
      </w:r>
      <w:proofErr w:type="gramStart"/>
      <w:r w:rsidRPr="00D07BF9">
        <w:rPr>
          <w:rFonts w:ascii="Verdana" w:hAnsi="Verdana"/>
          <w:sz w:val="20"/>
          <w:szCs w:val="20"/>
        </w:rPr>
        <w:t>entrará en vigencia</w:t>
      </w:r>
      <w:proofErr w:type="gramEnd"/>
      <w:r w:rsidRPr="00D07BF9">
        <w:rPr>
          <w:rFonts w:ascii="Verdana" w:hAnsi="Verdana"/>
          <w:sz w:val="20"/>
          <w:szCs w:val="20"/>
        </w:rPr>
        <w:t xml:space="preserve"> el día siguiente al de su publicación en el Periódico Oficial del Gobierno del Estado.</w:t>
      </w:r>
    </w:p>
    <w:p w:rsidRPr="00D07BF9" w:rsidR="00D07BF9" w:rsidP="00D07BF9" w:rsidRDefault="00D07BF9" w14:paraId="3FA981A8" w14:textId="77777777">
      <w:pPr>
        <w:pStyle w:val="Estilo"/>
        <w:rPr>
          <w:rFonts w:ascii="Verdana" w:hAnsi="Verdana"/>
          <w:sz w:val="20"/>
          <w:szCs w:val="20"/>
        </w:rPr>
      </w:pPr>
    </w:p>
    <w:p w:rsidRPr="00D07BF9" w:rsidR="00032F5E" w:rsidP="00005063" w:rsidRDefault="00032F5E" w14:paraId="5F07F33C" w14:textId="4F0B40BA">
      <w:pPr>
        <w:rPr>
          <w:rFonts w:ascii="Verdana" w:hAnsi="Verdana"/>
          <w:sz w:val="20"/>
          <w:szCs w:val="20"/>
        </w:rPr>
      </w:pPr>
    </w:p>
    <w:p w:rsidRPr="00D07BF9" w:rsidR="00032F5E" w:rsidP="00005063" w:rsidRDefault="00032F5E" w14:paraId="7DBF0A0A" w14:textId="77777777">
      <w:pPr>
        <w:rPr>
          <w:rFonts w:ascii="Verdana" w:hAnsi="Verdana"/>
          <w:sz w:val="20"/>
          <w:szCs w:val="20"/>
        </w:rPr>
      </w:pPr>
    </w:p>
    <w:sectPr w:rsidRPr="00D07BF9" w:rsidR="00032F5E" w:rsidSect="009058F9">
      <w:headerReference w:type="even" r:id="rId11"/>
      <w:headerReference w:type="default" r:id="rId12"/>
      <w:footerReference w:type="default" r:id="rId13"/>
      <w:headerReference w:type="first" r:id="rId14"/>
      <w:pgSz w:w="11906" w:h="16838" w:orient="portrait"/>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6EA6" w:rsidRDefault="00256EA6" w14:paraId="683119FA" w14:textId="77777777">
      <w:r>
        <w:separator/>
      </w:r>
    </w:p>
  </w:endnote>
  <w:endnote w:type="continuationSeparator" w:id="0">
    <w:p w:rsidR="00256EA6" w:rsidRDefault="00256EA6" w14:paraId="2A7F88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vantGarde">
    <w:altName w:val="Century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64AEC" w:rsidR="00D07BF9" w:rsidRDefault="00D07BF9" w14:paraId="6158DF13" w14:textId="77777777">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Pr>
        <w:bCs/>
        <w:noProof/>
        <w:sz w:val="16"/>
        <w:szCs w:val="16"/>
      </w:rPr>
      <w:t>1</w:t>
    </w:r>
    <w:r w:rsidRPr="00D64AEC">
      <w:rPr>
        <w:bCs/>
        <w:sz w:val="16"/>
        <w:szCs w:val="16"/>
      </w:rPr>
      <w:fldChar w:fldCharType="end"/>
    </w:r>
  </w:p>
  <w:p w:rsidR="00D07BF9" w:rsidRDefault="00D07BF9" w14:paraId="2972D2B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6EA6" w:rsidRDefault="00256EA6" w14:paraId="1C7CC23D" w14:textId="77777777">
      <w:r>
        <w:separator/>
      </w:r>
    </w:p>
  </w:footnote>
  <w:footnote w:type="continuationSeparator" w:id="0">
    <w:p w:rsidR="00256EA6" w:rsidRDefault="00256EA6" w14:paraId="67F5E2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7BF9" w:rsidRDefault="00D07BF9" w14:paraId="43256E64" w14:textId="77777777">
    <w:pPr>
      <w:pStyle w:val="Encabezado"/>
      <w:framePr w:wrap="auto"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7BF9" w:rsidRDefault="00D07BF9" w14:paraId="0E08C2CE"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7BF9" w:rsidP="00D64AEC" w:rsidRDefault="00D07BF9" w14:paraId="2C2BE54E" w14:textId="77777777"/>
  <w:tbl>
    <w:tblPr>
      <w:tblW w:w="8613" w:type="dxa"/>
      <w:jc w:val="center"/>
      <w:tblLayout w:type="fixed"/>
      <w:tblLook w:val="04A0" w:firstRow="1" w:lastRow="0" w:firstColumn="1" w:lastColumn="0" w:noHBand="0" w:noVBand="1"/>
    </w:tblPr>
    <w:tblGrid>
      <w:gridCol w:w="1384"/>
      <w:gridCol w:w="3578"/>
      <w:gridCol w:w="3651"/>
    </w:tblGrid>
    <w:tr w:rsidRPr="00917B90" w:rsidR="00D07BF9" w:rsidTr="2C48A54A" w14:paraId="29751DA9" w14:textId="77777777">
      <w:trPr>
        <w:trHeight w:val="326"/>
        <w:jc w:val="center"/>
      </w:trPr>
      <w:tc>
        <w:tcPr>
          <w:tcW w:w="1384" w:type="dxa"/>
          <w:vMerge w:val="restart"/>
          <w:tcMar/>
        </w:tcPr>
        <w:p w:rsidRPr="0018040F" w:rsidR="00D07BF9" w:rsidP="00D64AEC" w:rsidRDefault="00D07BF9" w14:paraId="2B08A719" w14:textId="77777777">
          <w:pPr>
            <w:jc w:val="right"/>
            <w:rPr>
              <w:rFonts w:ascii="Tahoma" w:hAnsi="Tahoma" w:cs="Tahoma"/>
              <w:sz w:val="16"/>
              <w:szCs w:val="16"/>
            </w:rPr>
          </w:pPr>
          <w:r>
            <w:rPr>
              <w:noProof/>
            </w:rPr>
            <w:pict w14:anchorId="0CF7EA3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3" style="position:absolute;left:0;text-align:left;margin-left:-10.9pt;margin-top:-8.65pt;width:71.7pt;height:60.4pt;z-index:-2;visibility:visible;mso-position-horizontal-relative:margin;mso-position-vertical-relative:margin" o:spid="_x0000_s2055" type="#_x0000_t75">
                <v:imagedata o:title="" r:id="rId1"/>
                <w10:wrap anchorx="margin" anchory="margin"/>
              </v:shape>
            </w:pict>
          </w:r>
          <w:r w:rsidR="2C48A54A">
            <w:rPr/>
            <w:t/>
          </w:r>
        </w:p>
      </w:tc>
      <w:tc>
        <w:tcPr>
          <w:tcW w:w="7229" w:type="dxa"/>
          <w:gridSpan w:val="2"/>
          <w:shd w:val="clear" w:color="auto" w:fill="auto"/>
          <w:tcMar/>
          <w:vAlign w:val="bottom"/>
        </w:tcPr>
        <w:p w:rsidRPr="0018040F" w:rsidR="00D07BF9" w:rsidP="0024668F" w:rsidRDefault="00D07BF9" w14:paraId="05FF2D2F" w14:textId="00183D00">
          <w:pPr>
            <w:jc w:val="right"/>
            <w:rPr>
              <w:rFonts w:ascii="Tahoma" w:hAnsi="Tahoma" w:cs="Tahoma"/>
              <w:b/>
              <w:iCs/>
              <w:sz w:val="16"/>
              <w:szCs w:val="16"/>
            </w:rPr>
          </w:pPr>
          <w:r w:rsidRPr="00BA7E55">
            <w:rPr>
              <w:rFonts w:ascii="Tahoma" w:hAnsi="Tahoma" w:cs="Tahoma"/>
              <w:b/>
              <w:sz w:val="16"/>
              <w:szCs w:val="16"/>
            </w:rPr>
            <w:t xml:space="preserve">Ley </w:t>
          </w:r>
          <w:r>
            <w:rPr>
              <w:rFonts w:ascii="Tahoma" w:hAnsi="Tahoma" w:cs="Tahoma"/>
              <w:b/>
              <w:sz w:val="16"/>
              <w:szCs w:val="16"/>
            </w:rPr>
            <w:t>de Fiscalización Superior del Estado de Guanajuato</w:t>
          </w:r>
        </w:p>
      </w:tc>
    </w:tr>
    <w:tr w:rsidRPr="0018040F" w:rsidR="00D07BF9" w:rsidTr="2C48A54A" w14:paraId="17712B7B" w14:textId="77777777">
      <w:trPr>
        <w:trHeight w:val="190"/>
        <w:jc w:val="center"/>
      </w:trPr>
      <w:tc>
        <w:tcPr>
          <w:tcW w:w="1384" w:type="dxa"/>
          <w:vMerge/>
          <w:tcMar/>
        </w:tcPr>
        <w:p w:rsidRPr="0018040F" w:rsidR="00D07BF9" w:rsidP="00D64AEC" w:rsidRDefault="00D07BF9" w14:paraId="0CFF935C" w14:textId="77777777">
          <w:pPr>
            <w:pStyle w:val="Encabezado"/>
            <w:rPr>
              <w:rFonts w:ascii="Arial Narrow" w:hAnsi="Arial Narrow" w:eastAsia="Arial Unicode MS" w:cs="Arial Unicode MS"/>
              <w:sz w:val="13"/>
              <w:szCs w:val="13"/>
            </w:rPr>
          </w:pPr>
        </w:p>
      </w:tc>
      <w:tc>
        <w:tcPr>
          <w:tcW w:w="3578" w:type="dxa"/>
          <w:shd w:val="clear" w:color="auto" w:fill="auto"/>
          <w:tcMar/>
          <w:vAlign w:val="bottom"/>
        </w:tcPr>
        <w:p w:rsidRPr="0018040F" w:rsidR="00D07BF9" w:rsidP="00D64AEC" w:rsidRDefault="00D07BF9" w14:paraId="43C4D9AC" w14:textId="77777777">
          <w:pPr>
            <w:pStyle w:val="Encabezado"/>
            <w:ind w:left="241"/>
            <w:rPr>
              <w:rFonts w:ascii="Arial Narrow" w:hAnsi="Arial Narrow" w:eastAsia="Arial Unicode MS" w:cs="Arial Unicode MS"/>
              <w:b/>
              <w:sz w:val="13"/>
              <w:szCs w:val="13"/>
            </w:rPr>
          </w:pPr>
        </w:p>
        <w:p w:rsidRPr="0018040F" w:rsidR="00D07BF9" w:rsidP="00D64AEC" w:rsidRDefault="00D07BF9" w14:paraId="71DF61E0" w14:textId="77777777">
          <w:pPr>
            <w:pStyle w:val="Encabezado"/>
            <w:ind w:left="241" w:right="-457"/>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H. CONGRESO DEL ESTADO DE GUANAJUATO</w:t>
          </w:r>
        </w:p>
      </w:tc>
      <w:tc>
        <w:tcPr>
          <w:tcW w:w="3651" w:type="dxa"/>
          <w:shd w:val="clear" w:color="auto" w:fill="auto"/>
          <w:tcMar/>
          <w:vAlign w:val="bottom"/>
        </w:tcPr>
        <w:p w:rsidRPr="0018040F" w:rsidR="00D07BF9" w:rsidP="00D64AEC" w:rsidRDefault="00D07BF9" w14:paraId="21BAD459" w14:textId="3CE8D5CF">
          <w:pPr>
            <w:pStyle w:val="Encabezado"/>
            <w:jc w:val="right"/>
            <w:rPr>
              <w:rFonts w:ascii="Arial Narrow" w:hAnsi="Arial Narrow" w:eastAsia="Arial Unicode MS" w:cs="Arial Unicode MS"/>
              <w:i/>
              <w:sz w:val="13"/>
              <w:szCs w:val="13"/>
            </w:rPr>
          </w:pPr>
          <w:r w:rsidRPr="0018040F">
            <w:rPr>
              <w:rFonts w:ascii="Arial Narrow" w:hAnsi="Arial Narrow" w:eastAsia="Arial Unicode MS" w:cs="Arial Unicode MS"/>
              <w:i/>
              <w:sz w:val="13"/>
              <w:szCs w:val="13"/>
            </w:rPr>
            <w:t>Expidió: L</w:t>
          </w:r>
          <w:r>
            <w:rPr>
              <w:rFonts w:ascii="Arial Narrow" w:hAnsi="Arial Narrow" w:eastAsia="Arial Unicode MS" w:cs="Arial Unicode MS"/>
              <w:i/>
              <w:sz w:val="13"/>
              <w:szCs w:val="13"/>
            </w:rPr>
            <w:t>XII</w:t>
          </w:r>
          <w:r w:rsidRPr="0018040F">
            <w:rPr>
              <w:rFonts w:ascii="Arial Narrow" w:hAnsi="Arial Narrow" w:eastAsia="Arial Unicode MS" w:cs="Arial Unicode MS"/>
              <w:i/>
              <w:sz w:val="13"/>
              <w:szCs w:val="13"/>
            </w:rPr>
            <w:t xml:space="preserve"> Legislatura  </w:t>
          </w:r>
        </w:p>
      </w:tc>
    </w:tr>
    <w:tr w:rsidRPr="00917B90" w:rsidR="00D07BF9" w:rsidTr="2C48A54A" w14:paraId="0A5EE3B1" w14:textId="77777777">
      <w:trPr>
        <w:jc w:val="center"/>
      </w:trPr>
      <w:tc>
        <w:tcPr>
          <w:tcW w:w="1384" w:type="dxa"/>
          <w:vMerge/>
          <w:tcMar/>
        </w:tcPr>
        <w:p w:rsidRPr="0018040F" w:rsidR="00D07BF9" w:rsidP="00D64AEC" w:rsidRDefault="00D07BF9" w14:paraId="6B9DDCA8" w14:textId="77777777">
          <w:pPr>
            <w:pStyle w:val="Encabezado"/>
            <w:rPr>
              <w:rFonts w:ascii="Arial Narrow" w:hAnsi="Arial Narrow" w:eastAsia="Arial Unicode MS" w:cs="Arial Unicode MS"/>
              <w:sz w:val="13"/>
              <w:szCs w:val="13"/>
            </w:rPr>
          </w:pPr>
        </w:p>
      </w:tc>
      <w:tc>
        <w:tcPr>
          <w:tcW w:w="3578" w:type="dxa"/>
          <w:shd w:val="clear" w:color="auto" w:fill="auto"/>
          <w:tcMar/>
        </w:tcPr>
        <w:p w:rsidRPr="0018040F" w:rsidR="00D07BF9" w:rsidP="00D64AEC" w:rsidRDefault="00D07BF9" w14:paraId="2227041B" w14:textId="77777777">
          <w:pPr>
            <w:pStyle w:val="Encabezado"/>
            <w:ind w:left="241"/>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 xml:space="preserve">Secretaría General </w:t>
          </w:r>
        </w:p>
      </w:tc>
      <w:tc>
        <w:tcPr>
          <w:tcW w:w="3651" w:type="dxa"/>
          <w:shd w:val="clear" w:color="auto" w:fill="auto"/>
          <w:tcMar/>
        </w:tcPr>
        <w:p w:rsidRPr="0018040F" w:rsidR="00D07BF9" w:rsidP="00BA7E55" w:rsidRDefault="00D07BF9" w14:paraId="4DD54903" w14:textId="297B5D78">
          <w:pPr>
            <w:pStyle w:val="Encabezado"/>
            <w:tabs>
              <w:tab w:val="left" w:pos="1061"/>
              <w:tab w:val="right" w:pos="3650"/>
            </w:tabs>
            <w:jc w:val="right"/>
            <w:rPr>
              <w:rFonts w:ascii="Arial Narrow" w:hAnsi="Arial Narrow" w:eastAsia="Arial Unicode MS" w:cs="Arial Unicode MS"/>
              <w:i/>
              <w:sz w:val="13"/>
              <w:szCs w:val="13"/>
            </w:rPr>
          </w:pPr>
          <w:r w:rsidRPr="0018040F">
            <w:rPr>
              <w:rFonts w:ascii="Arial Narrow" w:hAnsi="Arial Narrow" w:eastAsia="Arial Unicode MS" w:cs="Arial Unicode MS"/>
              <w:i/>
              <w:sz w:val="13"/>
              <w:szCs w:val="13"/>
            </w:rPr>
            <w:t xml:space="preserve">Publicada: P.O. Núm. </w:t>
          </w:r>
          <w:r>
            <w:rPr>
              <w:rFonts w:ascii="Arial Narrow" w:hAnsi="Arial Narrow" w:eastAsia="Arial Unicode MS" w:cs="Arial Unicode MS"/>
              <w:i/>
              <w:sz w:val="13"/>
              <w:szCs w:val="13"/>
            </w:rPr>
            <w:t>154, 13ª.  Parte</w:t>
          </w:r>
          <w:r w:rsidRPr="0018040F">
            <w:rPr>
              <w:rFonts w:ascii="Arial Narrow" w:hAnsi="Arial Narrow" w:eastAsia="Arial Unicode MS" w:cs="Arial Unicode MS"/>
              <w:i/>
              <w:sz w:val="13"/>
              <w:szCs w:val="13"/>
            </w:rPr>
            <w:t>,</w:t>
          </w:r>
          <w:r>
            <w:rPr>
              <w:rFonts w:ascii="Arial Narrow" w:hAnsi="Arial Narrow" w:eastAsia="Arial Unicode MS" w:cs="Arial Unicode MS"/>
              <w:i/>
              <w:sz w:val="13"/>
              <w:szCs w:val="13"/>
            </w:rPr>
            <w:t xml:space="preserve"> 25-09-2015</w:t>
          </w:r>
        </w:p>
      </w:tc>
    </w:tr>
    <w:tr w:rsidRPr="007B51A3" w:rsidR="00D07BF9" w:rsidTr="2C48A54A" w14:paraId="65E19632" w14:textId="77777777">
      <w:trPr>
        <w:jc w:val="center"/>
      </w:trPr>
      <w:tc>
        <w:tcPr>
          <w:tcW w:w="1384" w:type="dxa"/>
          <w:vMerge/>
          <w:tcMar/>
        </w:tcPr>
        <w:p w:rsidRPr="0018040F" w:rsidR="00D07BF9" w:rsidP="00D64AEC" w:rsidRDefault="00D07BF9" w14:paraId="7551AA7B" w14:textId="77777777">
          <w:pPr>
            <w:pStyle w:val="Encabezado"/>
            <w:tabs>
              <w:tab w:val="left" w:pos="4378"/>
            </w:tabs>
            <w:rPr>
              <w:rFonts w:ascii="Arial Narrow" w:hAnsi="Arial Narrow" w:eastAsia="Arial Unicode MS" w:cs="Arial Unicode MS"/>
              <w:sz w:val="13"/>
              <w:szCs w:val="13"/>
            </w:rPr>
          </w:pPr>
        </w:p>
      </w:tc>
      <w:tc>
        <w:tcPr>
          <w:tcW w:w="3578" w:type="dxa"/>
          <w:shd w:val="clear" w:color="auto" w:fill="auto"/>
          <w:tcMar/>
        </w:tcPr>
        <w:p w:rsidRPr="0018040F" w:rsidR="00D07BF9" w:rsidP="00D64AEC" w:rsidRDefault="00D07BF9" w14:paraId="59061ED4" w14:textId="77777777">
          <w:pPr>
            <w:pStyle w:val="Encabezado"/>
            <w:tabs>
              <w:tab w:val="left" w:pos="4378"/>
            </w:tabs>
            <w:ind w:left="241"/>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 xml:space="preserve">Instituto de Investigaciones Legislativas </w:t>
          </w:r>
        </w:p>
      </w:tc>
      <w:tc>
        <w:tcPr>
          <w:tcW w:w="3651" w:type="dxa"/>
          <w:shd w:val="clear" w:color="auto" w:fill="auto"/>
          <w:tcMar/>
          <w:vAlign w:val="bottom"/>
        </w:tcPr>
        <w:p w:rsidRPr="007B51A3" w:rsidR="00D07BF9" w:rsidP="00204E74" w:rsidRDefault="00D07BF9" w14:paraId="5AD98574" w14:textId="69541E77">
          <w:pPr>
            <w:pStyle w:val="Encabezado"/>
            <w:jc w:val="right"/>
            <w:rPr>
              <w:rFonts w:ascii="Arial Narrow" w:hAnsi="Arial Narrow" w:eastAsia="Arial Unicode MS" w:cs="Arial Unicode MS"/>
              <w:i/>
              <w:sz w:val="13"/>
              <w:szCs w:val="13"/>
            </w:rPr>
          </w:pPr>
          <w:r w:rsidRPr="00E13CB2">
            <w:rPr>
              <w:rFonts w:ascii="Arial Narrow" w:hAnsi="Arial Narrow" w:eastAsia="Arial Unicode MS" w:cs="Arial Unicode MS"/>
              <w:i/>
              <w:sz w:val="13"/>
              <w:szCs w:val="13"/>
            </w:rPr>
            <w:t>Reformada P.O. 02-12-2016</w:t>
          </w:r>
        </w:p>
      </w:tc>
    </w:tr>
  </w:tbl>
  <w:p w:rsidR="00D07BF9" w:rsidP="00D64AEC" w:rsidRDefault="00D07BF9" w14:paraId="1A4BDAF3" w14:textId="77777777">
    <w:pPr>
      <w:pStyle w:val="Encabezado"/>
      <w:rPr>
        <w:rFonts w:ascii="Verdana" w:hAnsi="Verdana"/>
        <w:sz w:val="16"/>
        <w:szCs w:val="16"/>
      </w:rPr>
    </w:pPr>
  </w:p>
  <w:p w:rsidRPr="00D64AEC" w:rsidR="00D07BF9" w:rsidP="00D64AEC" w:rsidRDefault="00D07BF9" w14:paraId="6B1B6D7F" w14:textId="77777777">
    <w:pPr>
      <w:pStyle w:val="Encabezado"/>
      <w:rPr>
        <w:rFonts w:ascii="Verdana" w:hAnsi="Verdana"/>
        <w:sz w:val="16"/>
        <w:szCs w:val="16"/>
      </w:rPr>
    </w:pPr>
    <w:r>
      <w:rPr>
        <w:rFonts w:ascii="Tahoma" w:hAnsi="Tahoma" w:cs="Tahoma"/>
        <w:sz w:val="16"/>
        <w:szCs w:val="16"/>
        <w:lang w:eastAsia="es-MX"/>
      </w:rPr>
      <w:pict w14:anchorId="1DE1CA21">
        <v:shape id="_x0000_s2051" style="position:absolute;margin-left:0;margin-top:0;width:425.15pt;height:357.95pt;z-index:-1;mso-position-horizontal:center;mso-position-horizontal-relative:margin;mso-position-vertical:center;mso-position-vertical-relative:margin" o:allowincell="f" type="#_x0000_t75">
          <v:imagedata gain="19661f" blacklevel="22938f" o:title="LOGO" r:id="rId2"/>
          <w10:wrap anchorx="margin" anchory="margin"/>
        </v:shape>
      </w:pict>
    </w:r>
    <w:r w:rsidR="2C48A54A">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7BF9" w:rsidP="00402DC7" w:rsidRDefault="00D07BF9" w14:paraId="144698BE" w14:textId="77777777"/>
  <w:tbl>
    <w:tblPr>
      <w:tblW w:w="8613" w:type="dxa"/>
      <w:jc w:val="center"/>
      <w:tblLayout w:type="fixed"/>
      <w:tblLook w:val="04A0" w:firstRow="1" w:lastRow="0" w:firstColumn="1" w:lastColumn="0" w:noHBand="0" w:noVBand="1"/>
    </w:tblPr>
    <w:tblGrid>
      <w:gridCol w:w="1384"/>
      <w:gridCol w:w="3578"/>
      <w:gridCol w:w="3651"/>
    </w:tblGrid>
    <w:tr w:rsidRPr="0018040F" w:rsidR="00D07BF9" w:rsidTr="2C48A54A" w14:paraId="31C0E2D9" w14:textId="77777777">
      <w:trPr>
        <w:trHeight w:val="326"/>
        <w:jc w:val="center"/>
      </w:trPr>
      <w:tc>
        <w:tcPr>
          <w:tcW w:w="1384" w:type="dxa"/>
          <w:vMerge w:val="restart"/>
          <w:tcMar/>
        </w:tcPr>
        <w:p w:rsidRPr="0018040F" w:rsidR="00D07BF9" w:rsidP="00402DC7" w:rsidRDefault="00D07BF9" w14:paraId="735E76C7" w14:textId="77777777">
          <w:pPr>
            <w:jc w:val="center"/>
            <w:rPr>
              <w:rFonts w:ascii="Tahoma" w:hAnsi="Tahoma" w:cs="Tahoma"/>
              <w:sz w:val="16"/>
              <w:szCs w:val="16"/>
            </w:rPr>
          </w:pPr>
          <w:r>
            <w:rPr>
              <w:noProof/>
            </w:rPr>
            <w:pict w14:anchorId="7A140EA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 style="position:absolute;left:0;text-align:left;margin-left:-10.9pt;margin-top:-8.65pt;width:71.7pt;height:60.4pt;z-index:-4;visibility:visible;mso-position-horizontal-relative:margin;mso-position-vertical-relative:margin" o:spid="_x0000_s2054" type="#_x0000_t75">
                <v:imagedata o:title="" r:id="rId1"/>
                <w10:wrap anchorx="margin" anchory="margin"/>
              </v:shape>
            </w:pict>
          </w:r>
          <w:r w:rsidR="2C48A54A">
            <w:rPr/>
            <w:t/>
          </w:r>
        </w:p>
      </w:tc>
      <w:tc>
        <w:tcPr>
          <w:tcW w:w="7229" w:type="dxa"/>
          <w:gridSpan w:val="2"/>
          <w:shd w:val="clear" w:color="auto" w:fill="auto"/>
          <w:tcMar/>
          <w:vAlign w:val="bottom"/>
        </w:tcPr>
        <w:p w:rsidRPr="00402DC7" w:rsidR="00D07BF9" w:rsidP="00402DC7" w:rsidRDefault="00D07BF9" w14:paraId="09FFB49F" w14:textId="77777777">
          <w:pPr>
            <w:jc w:val="right"/>
            <w:rPr>
              <w:rFonts w:ascii="Verdana" w:hAnsi="Verdana" w:eastAsia="DejaVu Sans" w:cs="Tahoma"/>
              <w:b/>
              <w:iCs/>
              <w:kern w:val="1"/>
              <w:sz w:val="14"/>
              <w:szCs w:val="16"/>
              <w:lang w:eastAsia="ar-SA"/>
            </w:rPr>
          </w:pPr>
          <w:r w:rsidRPr="00C22639">
            <w:rPr>
              <w:rFonts w:ascii="Verdana" w:hAnsi="Verdana" w:eastAsia="DejaVu Sans" w:cs="Tahoma"/>
              <w:b/>
              <w:iCs/>
              <w:kern w:val="1"/>
              <w:sz w:val="14"/>
              <w:szCs w:val="16"/>
              <w:lang w:eastAsia="ar-SA"/>
            </w:rPr>
            <w:t xml:space="preserve">Ley de </w:t>
          </w:r>
          <w:r>
            <w:rPr>
              <w:rFonts w:ascii="Verdana" w:hAnsi="Verdana" w:eastAsia="DejaVu Sans" w:cs="Tahoma"/>
              <w:b/>
              <w:iCs/>
              <w:kern w:val="1"/>
              <w:sz w:val="14"/>
              <w:szCs w:val="16"/>
              <w:lang w:eastAsia="ar-SA"/>
            </w:rPr>
            <w:t xml:space="preserve">Educación para el </w:t>
          </w:r>
          <w:r w:rsidRPr="00C22639">
            <w:rPr>
              <w:rFonts w:ascii="Verdana" w:hAnsi="Verdana" w:eastAsia="DejaVu Sans" w:cs="Tahoma"/>
              <w:b/>
              <w:iCs/>
              <w:kern w:val="1"/>
              <w:sz w:val="14"/>
              <w:szCs w:val="16"/>
              <w:lang w:eastAsia="ar-SA"/>
            </w:rPr>
            <w:t>Estado de Guanajuato</w:t>
          </w:r>
        </w:p>
      </w:tc>
    </w:tr>
    <w:tr w:rsidRPr="0018040F" w:rsidR="00D07BF9" w:rsidTr="2C48A54A" w14:paraId="4D6F42F5" w14:textId="77777777">
      <w:trPr>
        <w:trHeight w:val="190"/>
        <w:jc w:val="center"/>
      </w:trPr>
      <w:tc>
        <w:tcPr>
          <w:tcW w:w="1384" w:type="dxa"/>
          <w:vMerge/>
          <w:tcMar/>
        </w:tcPr>
        <w:p w:rsidRPr="0018040F" w:rsidR="00D07BF9" w:rsidP="00402DC7" w:rsidRDefault="00D07BF9" w14:paraId="4FCB6351" w14:textId="77777777">
          <w:pPr>
            <w:pStyle w:val="Encabezado"/>
            <w:rPr>
              <w:rFonts w:ascii="Arial Narrow" w:hAnsi="Arial Narrow" w:eastAsia="Arial Unicode MS" w:cs="Arial Unicode MS"/>
              <w:sz w:val="13"/>
              <w:szCs w:val="13"/>
            </w:rPr>
          </w:pPr>
        </w:p>
      </w:tc>
      <w:tc>
        <w:tcPr>
          <w:tcW w:w="3578" w:type="dxa"/>
          <w:shd w:val="clear" w:color="auto" w:fill="auto"/>
          <w:tcMar/>
          <w:vAlign w:val="bottom"/>
        </w:tcPr>
        <w:p w:rsidRPr="0018040F" w:rsidR="00D07BF9" w:rsidP="00402DC7" w:rsidRDefault="00D07BF9" w14:paraId="48ADF504" w14:textId="77777777">
          <w:pPr>
            <w:pStyle w:val="Encabezado"/>
            <w:ind w:left="241"/>
            <w:rPr>
              <w:rFonts w:ascii="Arial Narrow" w:hAnsi="Arial Narrow" w:eastAsia="Arial Unicode MS" w:cs="Arial Unicode MS"/>
              <w:b/>
              <w:sz w:val="13"/>
              <w:szCs w:val="13"/>
            </w:rPr>
          </w:pPr>
        </w:p>
        <w:p w:rsidRPr="0018040F" w:rsidR="00D07BF9" w:rsidP="00402DC7" w:rsidRDefault="00D07BF9" w14:paraId="549D6515" w14:textId="77777777">
          <w:pPr>
            <w:pStyle w:val="Encabezado"/>
            <w:ind w:left="241" w:right="-457"/>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H. CONGRESO DEL ESTADO DE GUANAJUATO</w:t>
          </w:r>
        </w:p>
      </w:tc>
      <w:tc>
        <w:tcPr>
          <w:tcW w:w="3651" w:type="dxa"/>
          <w:shd w:val="clear" w:color="auto" w:fill="auto"/>
          <w:tcMar/>
          <w:vAlign w:val="bottom"/>
        </w:tcPr>
        <w:p w:rsidRPr="0018040F" w:rsidR="00D07BF9" w:rsidP="00402DC7" w:rsidRDefault="00D07BF9" w14:paraId="353BAD2C" w14:textId="77777777">
          <w:pPr>
            <w:pStyle w:val="Encabezado"/>
            <w:tabs>
              <w:tab w:val="left" w:pos="1061"/>
              <w:tab w:val="right" w:pos="3650"/>
            </w:tabs>
            <w:jc w:val="right"/>
            <w:rPr>
              <w:rFonts w:ascii="Arial Narrow" w:hAnsi="Arial Narrow" w:eastAsia="Arial Unicode MS" w:cs="Arial Unicode MS"/>
              <w:i/>
              <w:sz w:val="13"/>
              <w:szCs w:val="13"/>
            </w:rPr>
          </w:pPr>
          <w:r w:rsidRPr="0018040F">
            <w:rPr>
              <w:rFonts w:ascii="Arial Narrow" w:hAnsi="Arial Narrow" w:eastAsia="Arial Unicode MS" w:cs="Arial Unicode MS"/>
              <w:i/>
              <w:sz w:val="13"/>
              <w:szCs w:val="13"/>
            </w:rPr>
            <w:t>Expidió: L</w:t>
          </w:r>
          <w:r>
            <w:rPr>
              <w:rFonts w:ascii="Arial Narrow" w:hAnsi="Arial Narrow" w:eastAsia="Arial Unicode MS" w:cs="Arial Unicode MS"/>
              <w:i/>
              <w:sz w:val="13"/>
              <w:szCs w:val="13"/>
            </w:rPr>
            <w:t>XI</w:t>
          </w:r>
          <w:r w:rsidRPr="0018040F">
            <w:rPr>
              <w:rFonts w:ascii="Arial Narrow" w:hAnsi="Arial Narrow" w:eastAsia="Arial Unicode MS" w:cs="Arial Unicode MS"/>
              <w:i/>
              <w:sz w:val="13"/>
              <w:szCs w:val="13"/>
            </w:rPr>
            <w:t xml:space="preserve"> Legislatura  </w:t>
          </w:r>
        </w:p>
      </w:tc>
    </w:tr>
    <w:tr w:rsidRPr="0018040F" w:rsidR="00D07BF9" w:rsidTr="2C48A54A" w14:paraId="7332F436" w14:textId="77777777">
      <w:trPr>
        <w:jc w:val="center"/>
      </w:trPr>
      <w:tc>
        <w:tcPr>
          <w:tcW w:w="1384" w:type="dxa"/>
          <w:vMerge/>
          <w:tcMar/>
        </w:tcPr>
        <w:p w:rsidRPr="0018040F" w:rsidR="00D07BF9" w:rsidP="00402DC7" w:rsidRDefault="00D07BF9" w14:paraId="40687FE7" w14:textId="77777777">
          <w:pPr>
            <w:pStyle w:val="Encabezado"/>
            <w:rPr>
              <w:rFonts w:ascii="Arial Narrow" w:hAnsi="Arial Narrow" w:eastAsia="Arial Unicode MS" w:cs="Arial Unicode MS"/>
              <w:sz w:val="13"/>
              <w:szCs w:val="13"/>
            </w:rPr>
          </w:pPr>
        </w:p>
      </w:tc>
      <w:tc>
        <w:tcPr>
          <w:tcW w:w="3578" w:type="dxa"/>
          <w:shd w:val="clear" w:color="auto" w:fill="auto"/>
          <w:tcMar/>
        </w:tcPr>
        <w:p w:rsidRPr="0018040F" w:rsidR="00D07BF9" w:rsidP="00402DC7" w:rsidRDefault="00D07BF9" w14:paraId="03FFA507" w14:textId="77777777">
          <w:pPr>
            <w:pStyle w:val="Encabezado"/>
            <w:ind w:left="241"/>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 xml:space="preserve">Secretaría General </w:t>
          </w:r>
        </w:p>
      </w:tc>
      <w:tc>
        <w:tcPr>
          <w:tcW w:w="3651" w:type="dxa"/>
          <w:shd w:val="clear" w:color="auto" w:fill="auto"/>
          <w:tcMar/>
        </w:tcPr>
        <w:p w:rsidRPr="0018040F" w:rsidR="00D07BF9" w:rsidP="00402DC7" w:rsidRDefault="00D07BF9" w14:paraId="016AA46F" w14:textId="77777777">
          <w:pPr>
            <w:pStyle w:val="Encabezado"/>
            <w:jc w:val="right"/>
            <w:rPr>
              <w:rFonts w:ascii="Arial Narrow" w:hAnsi="Arial Narrow" w:eastAsia="Arial Unicode MS" w:cs="Arial Unicode MS"/>
              <w:i/>
              <w:sz w:val="13"/>
              <w:szCs w:val="13"/>
            </w:rPr>
          </w:pPr>
          <w:r w:rsidRPr="0018040F">
            <w:rPr>
              <w:rFonts w:ascii="Arial Narrow" w:hAnsi="Arial Narrow" w:eastAsia="Arial Unicode MS" w:cs="Arial Unicode MS"/>
              <w:i/>
              <w:sz w:val="13"/>
              <w:szCs w:val="13"/>
            </w:rPr>
            <w:t xml:space="preserve">Publicada: P.O. Núm. </w:t>
          </w:r>
          <w:r>
            <w:rPr>
              <w:rFonts w:ascii="Arial Narrow" w:hAnsi="Arial Narrow" w:eastAsia="Arial Unicode MS" w:cs="Arial Unicode MS"/>
              <w:i/>
              <w:sz w:val="13"/>
              <w:szCs w:val="13"/>
            </w:rPr>
            <w:t>160</w:t>
          </w:r>
          <w:r w:rsidRPr="0018040F">
            <w:rPr>
              <w:rFonts w:ascii="Arial Narrow" w:hAnsi="Arial Narrow" w:eastAsia="Arial Unicode MS" w:cs="Arial Unicode MS"/>
              <w:i/>
              <w:sz w:val="13"/>
              <w:szCs w:val="13"/>
            </w:rPr>
            <w:t xml:space="preserve">, </w:t>
          </w:r>
          <w:r>
            <w:rPr>
              <w:rFonts w:ascii="Arial Narrow" w:hAnsi="Arial Narrow" w:eastAsia="Arial Unicode MS" w:cs="Arial Unicode MS"/>
              <w:i/>
              <w:sz w:val="13"/>
              <w:szCs w:val="13"/>
            </w:rPr>
            <w:t>Segunda Parte</w:t>
          </w:r>
          <w:r w:rsidRPr="0018040F">
            <w:rPr>
              <w:rFonts w:ascii="Arial Narrow" w:hAnsi="Arial Narrow" w:eastAsia="Arial Unicode MS" w:cs="Arial Unicode MS"/>
              <w:i/>
              <w:sz w:val="13"/>
              <w:szCs w:val="13"/>
            </w:rPr>
            <w:t>,</w:t>
          </w:r>
          <w:r>
            <w:rPr>
              <w:rFonts w:ascii="Arial Narrow" w:hAnsi="Arial Narrow" w:eastAsia="Arial Unicode MS" w:cs="Arial Unicode MS"/>
              <w:i/>
              <w:sz w:val="13"/>
              <w:szCs w:val="13"/>
            </w:rPr>
            <w:t xml:space="preserve"> 07-10-2011</w:t>
          </w:r>
          <w:r w:rsidRPr="0018040F">
            <w:rPr>
              <w:rFonts w:ascii="Arial Narrow" w:hAnsi="Arial Narrow" w:eastAsia="Arial Unicode MS" w:cs="Arial Unicode MS"/>
              <w:i/>
              <w:sz w:val="13"/>
              <w:szCs w:val="13"/>
            </w:rPr>
            <w:t xml:space="preserve"> </w:t>
          </w:r>
        </w:p>
      </w:tc>
    </w:tr>
    <w:tr w:rsidRPr="0018040F" w:rsidR="00D07BF9" w:rsidTr="2C48A54A" w14:paraId="5F0DB767" w14:textId="77777777">
      <w:trPr>
        <w:jc w:val="center"/>
      </w:trPr>
      <w:tc>
        <w:tcPr>
          <w:tcW w:w="1384" w:type="dxa"/>
          <w:vMerge/>
          <w:tcMar/>
        </w:tcPr>
        <w:p w:rsidRPr="0018040F" w:rsidR="00D07BF9" w:rsidP="00402DC7" w:rsidRDefault="00D07BF9" w14:paraId="04CFBD2C" w14:textId="77777777">
          <w:pPr>
            <w:pStyle w:val="Encabezado"/>
            <w:tabs>
              <w:tab w:val="left" w:pos="4378"/>
            </w:tabs>
            <w:rPr>
              <w:rFonts w:ascii="Arial Narrow" w:hAnsi="Arial Narrow" w:eastAsia="Arial Unicode MS" w:cs="Arial Unicode MS"/>
              <w:sz w:val="13"/>
              <w:szCs w:val="13"/>
            </w:rPr>
          </w:pPr>
        </w:p>
      </w:tc>
      <w:tc>
        <w:tcPr>
          <w:tcW w:w="3578" w:type="dxa"/>
          <w:shd w:val="clear" w:color="auto" w:fill="auto"/>
          <w:tcMar/>
        </w:tcPr>
        <w:p w:rsidRPr="0018040F" w:rsidR="00D07BF9" w:rsidP="00402DC7" w:rsidRDefault="00D07BF9" w14:paraId="30990240" w14:textId="77777777">
          <w:pPr>
            <w:pStyle w:val="Encabezado"/>
            <w:tabs>
              <w:tab w:val="left" w:pos="4378"/>
            </w:tabs>
            <w:ind w:left="241"/>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 xml:space="preserve">Instituto de Investigaciones Legislativas </w:t>
          </w:r>
        </w:p>
      </w:tc>
      <w:tc>
        <w:tcPr>
          <w:tcW w:w="3651" w:type="dxa"/>
          <w:shd w:val="clear" w:color="auto" w:fill="auto"/>
          <w:tcMar/>
        </w:tcPr>
        <w:p w:rsidRPr="0018040F" w:rsidR="00D07BF9" w:rsidP="00402DC7" w:rsidRDefault="00D07BF9" w14:paraId="78F80CBD" w14:textId="77777777">
          <w:pPr>
            <w:pStyle w:val="Encabezado"/>
            <w:jc w:val="right"/>
            <w:rPr>
              <w:rFonts w:ascii="Arial Narrow" w:hAnsi="Arial Narrow" w:eastAsia="Arial Unicode MS" w:cs="Arial Unicode MS"/>
              <w:i/>
              <w:sz w:val="13"/>
              <w:szCs w:val="13"/>
            </w:rPr>
          </w:pPr>
          <w:r>
            <w:rPr>
              <w:rFonts w:ascii="Arial Narrow" w:hAnsi="Arial Narrow" w:eastAsia="Arial Unicode MS" w:cs="Arial Unicode MS"/>
              <w:i/>
              <w:sz w:val="13"/>
              <w:szCs w:val="13"/>
            </w:rPr>
            <w:t>Última reforma: P.O. Núm. 208, Décima Quinta Parte, 29-12-2015</w:t>
          </w:r>
        </w:p>
      </w:tc>
    </w:tr>
  </w:tbl>
  <w:p w:rsidR="00D07BF9" w:rsidP="00402DC7" w:rsidRDefault="00D07BF9" w14:paraId="2C41D74A" w14:textId="77777777">
    <w:pPr>
      <w:pStyle w:val="Encabezado"/>
    </w:pPr>
    <w:r>
      <w:rPr>
        <w:rFonts w:ascii="Tahoma" w:hAnsi="Tahoma" w:cs="Tahoma"/>
        <w:sz w:val="16"/>
        <w:szCs w:val="16"/>
        <w:lang w:eastAsia="es-MX"/>
      </w:rPr>
      <w:pict w14:anchorId="6E83257C">
        <v:shape id="WordPictureWatermark17234181" style="position:absolute;margin-left:0;margin-top:0;width:425.15pt;height:357.95pt;z-index:-3;mso-position-horizontal:center;mso-position-horizontal-relative:margin;mso-position-vertical:center;mso-position-vertical-relative:margin" o:spid="_x0000_s2053" o:allowincell="f" type="#_x0000_t75">
          <v:imagedata gain="19661f" blacklevel="22938f" o:title="LOGO" r:id="rId2"/>
          <w10:wrap anchorx="margin" anchory="margin"/>
        </v:shape>
      </w:pict>
    </w:r>
  </w:p>
  <w:p w:rsidRPr="003C5A0A" w:rsidR="00D07BF9" w:rsidP="00402DC7" w:rsidRDefault="00D07BF9" w14:paraId="74ED08CC" w14:textId="77777777">
    <w:pPr>
      <w:pStyle w:val="Encabezado"/>
      <w:ind w:left="-993"/>
      <w:rPr>
        <w:sz w:val="16"/>
        <w:szCs w:val="16"/>
      </w:rPr>
    </w:pPr>
  </w:p>
  <w:p w:rsidR="00D07BF9" w:rsidRDefault="00D07BF9" w14:paraId="44776EE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B95"/>
    <w:multiLevelType w:val="hybridMultilevel"/>
    <w:tmpl w:val="6148A50E"/>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835CAA"/>
    <w:multiLevelType w:val="hybridMultilevel"/>
    <w:tmpl w:val="58ECDD7A"/>
    <w:lvl w:ilvl="0" w:tplc="C1F8F60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0E2479"/>
    <w:multiLevelType w:val="hybridMultilevel"/>
    <w:tmpl w:val="C1381FB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1A13CEE"/>
    <w:multiLevelType w:val="multilevel"/>
    <w:tmpl w:val="6F86E266"/>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28715B"/>
    <w:multiLevelType w:val="hybridMultilevel"/>
    <w:tmpl w:val="1BF04E42"/>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7087966"/>
    <w:multiLevelType w:val="hybridMultilevel"/>
    <w:tmpl w:val="00A03694"/>
    <w:lvl w:ilvl="0" w:tplc="9686303A">
      <w:start w:val="1"/>
      <w:numFmt w:val="upperRoman"/>
      <w:lvlText w:val="%1."/>
      <w:lvlJc w:val="left"/>
      <w:pPr>
        <w:ind w:left="720"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B97D05"/>
    <w:multiLevelType w:val="multilevel"/>
    <w:tmpl w:val="E10624A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2F1555"/>
    <w:multiLevelType w:val="hybridMultilevel"/>
    <w:tmpl w:val="22B28D8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94E2E06"/>
    <w:multiLevelType w:val="hybridMultilevel"/>
    <w:tmpl w:val="7958BAE4"/>
    <w:lvl w:ilvl="0" w:tplc="9FBC7366">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C402E9F"/>
    <w:multiLevelType w:val="hybridMultilevel"/>
    <w:tmpl w:val="84BC91B0"/>
    <w:lvl w:ilvl="0" w:tplc="9686303A">
      <w:start w:val="1"/>
      <w:numFmt w:val="upperRoman"/>
      <w:lvlText w:val="%1."/>
      <w:lvlJc w:val="left"/>
      <w:pPr>
        <w:ind w:left="720"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E30CE9"/>
    <w:multiLevelType w:val="hybridMultilevel"/>
    <w:tmpl w:val="ACBAE294"/>
    <w:lvl w:ilvl="0" w:tplc="48BEF94E">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08F729A"/>
    <w:multiLevelType w:val="hybridMultilevel"/>
    <w:tmpl w:val="57889598"/>
    <w:lvl w:ilvl="0" w:tplc="B4801F20">
      <w:start w:val="1"/>
      <w:numFmt w:val="upperRoman"/>
      <w:lvlText w:val="%1."/>
      <w:lvlJc w:val="left"/>
      <w:pPr>
        <w:ind w:left="360" w:hanging="360"/>
      </w:pPr>
      <w:rPr>
        <w:rFonts w:hint="default"/>
        <w:b/>
        <w:bCs/>
        <w:i w:val="0"/>
        <w:snapToGrid/>
        <w:spacing w:val="-5"/>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26F54EE"/>
    <w:multiLevelType w:val="hybridMultilevel"/>
    <w:tmpl w:val="FB94271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12C843A0"/>
    <w:multiLevelType w:val="hybridMultilevel"/>
    <w:tmpl w:val="9C98E60A"/>
    <w:lvl w:ilvl="0" w:tplc="C2F84418">
      <w:start w:val="1"/>
      <w:numFmt w:val="upperRoman"/>
      <w:lvlText w:val="%1."/>
      <w:lvlJc w:val="left"/>
      <w:pPr>
        <w:ind w:left="2149" w:hanging="360"/>
      </w:pPr>
      <w:rPr>
        <w:rFonts w:hint="default"/>
        <w:b/>
        <w:bCs/>
        <w:i w:val="0"/>
        <w:snapToGrid/>
        <w:spacing w:val="-5"/>
        <w:sz w:val="22"/>
        <w:szCs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5" w15:restartNumberingAfterBreak="0">
    <w:nsid w:val="137D5F32"/>
    <w:multiLevelType w:val="hybridMultilevel"/>
    <w:tmpl w:val="5936E770"/>
    <w:lvl w:ilvl="0" w:tplc="C2F26000">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13EA3EF9"/>
    <w:multiLevelType w:val="hybridMultilevel"/>
    <w:tmpl w:val="057CAC26"/>
    <w:lvl w:ilvl="0" w:tplc="173A6026">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147C0AC6"/>
    <w:multiLevelType w:val="hybridMultilevel"/>
    <w:tmpl w:val="20083568"/>
    <w:lvl w:ilvl="0" w:tplc="9686303A">
      <w:start w:val="1"/>
      <w:numFmt w:val="upperRoman"/>
      <w:lvlText w:val="%1."/>
      <w:lvlJc w:val="left"/>
      <w:pPr>
        <w:ind w:left="1080" w:hanging="72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DE2A77"/>
    <w:multiLevelType w:val="hybridMultilevel"/>
    <w:tmpl w:val="F9FE2B42"/>
    <w:lvl w:ilvl="0" w:tplc="191E0DCE">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15FE6ED4"/>
    <w:multiLevelType w:val="hybridMultilevel"/>
    <w:tmpl w:val="003A0448"/>
    <w:lvl w:ilvl="0" w:tplc="46A6BC60">
      <w:start w:val="1"/>
      <w:numFmt w:val="lowerLetter"/>
      <w:lvlText w:val="%1)"/>
      <w:lvlJc w:val="left"/>
      <w:pPr>
        <w:ind w:left="1429" w:hanging="360"/>
      </w:pPr>
      <w:rPr>
        <w:rFonts w:hint="default"/>
        <w:b/>
        <w:i w:val="0"/>
      </w:rPr>
    </w:lvl>
    <w:lvl w:ilvl="1" w:tplc="080A0019" w:tentative="1">
      <w:start w:val="1"/>
      <w:numFmt w:val="lowerLetter"/>
      <w:lvlText w:val="%2."/>
      <w:lvlJc w:val="left"/>
      <w:pPr>
        <w:ind w:left="2149" w:hanging="360"/>
      </w:pPr>
    </w:lvl>
    <w:lvl w:ilvl="2" w:tplc="46A6BC60">
      <w:start w:val="1"/>
      <w:numFmt w:val="lowerLetter"/>
      <w:lvlText w:val="%3)"/>
      <w:lvlJc w:val="left"/>
      <w:pPr>
        <w:ind w:left="2869" w:hanging="180"/>
      </w:pPr>
      <w:rPr>
        <w:rFonts w:hint="default"/>
        <w:b/>
        <w:i w:val="0"/>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16160225"/>
    <w:multiLevelType w:val="hybridMultilevel"/>
    <w:tmpl w:val="FF6EAEA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162710F3"/>
    <w:multiLevelType w:val="hybridMultilevel"/>
    <w:tmpl w:val="E31A0BFE"/>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163528B7"/>
    <w:multiLevelType w:val="hybridMultilevel"/>
    <w:tmpl w:val="4B9C17EA"/>
    <w:lvl w:ilvl="0" w:tplc="9686303A">
      <w:start w:val="1"/>
      <w:numFmt w:val="upperRoman"/>
      <w:lvlText w:val="%1."/>
      <w:lvlJc w:val="left"/>
      <w:pPr>
        <w:ind w:left="720" w:hanging="360"/>
      </w:pPr>
      <w:rPr>
        <w:rFonts w:hint="default" w:ascii="Verdana" w:hAnsi="Verdana" w:cs="Tahoma"/>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B12E01"/>
    <w:multiLevelType w:val="hybridMultilevel"/>
    <w:tmpl w:val="19F63698"/>
    <w:lvl w:ilvl="0" w:tplc="46A6BC60">
      <w:start w:val="1"/>
      <w:numFmt w:val="lowerLetter"/>
      <w:lvlText w:val="%1)"/>
      <w:lvlJc w:val="left"/>
      <w:pPr>
        <w:ind w:left="720" w:hanging="360"/>
      </w:pPr>
      <w:rPr>
        <w:rFonts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185F11"/>
    <w:multiLevelType w:val="hybridMultilevel"/>
    <w:tmpl w:val="2AB6E15C"/>
    <w:lvl w:ilvl="0" w:tplc="361C525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1A990695"/>
    <w:multiLevelType w:val="hybridMultilevel"/>
    <w:tmpl w:val="8ADECB52"/>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1E223CFD"/>
    <w:multiLevelType w:val="hybridMultilevel"/>
    <w:tmpl w:val="FAC88A9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1F845181"/>
    <w:multiLevelType w:val="hybridMultilevel"/>
    <w:tmpl w:val="19CAA53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223D2D51"/>
    <w:multiLevelType w:val="hybridMultilevel"/>
    <w:tmpl w:val="6C78C662"/>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2262317A"/>
    <w:multiLevelType w:val="hybridMultilevel"/>
    <w:tmpl w:val="853E25F2"/>
    <w:lvl w:ilvl="0" w:tplc="307A0A38">
      <w:start w:val="5"/>
      <w:numFmt w:val="upperRoman"/>
      <w:lvlText w:val="%1."/>
      <w:lvlJc w:val="left"/>
      <w:pPr>
        <w:ind w:left="720"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FC4E91"/>
    <w:multiLevelType w:val="hybridMultilevel"/>
    <w:tmpl w:val="AB649BC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28F617A7"/>
    <w:multiLevelType w:val="hybridMultilevel"/>
    <w:tmpl w:val="26F870D0"/>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2A4D7E1A"/>
    <w:multiLevelType w:val="hybridMultilevel"/>
    <w:tmpl w:val="13364AD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2B075FCF"/>
    <w:multiLevelType w:val="hybridMultilevel"/>
    <w:tmpl w:val="8DC8A7C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2BBB5697"/>
    <w:multiLevelType w:val="hybridMultilevel"/>
    <w:tmpl w:val="6270E88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2C0A2FBF"/>
    <w:multiLevelType w:val="hybridMultilevel"/>
    <w:tmpl w:val="E304A6C0"/>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2C6B4575"/>
    <w:multiLevelType w:val="hybridMultilevel"/>
    <w:tmpl w:val="C7AA5C6C"/>
    <w:lvl w:ilvl="0" w:tplc="BB0EBE3A">
      <w:start w:val="5"/>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D0A2638"/>
    <w:multiLevelType w:val="multilevel"/>
    <w:tmpl w:val="CFBCDFD6"/>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D5965CA"/>
    <w:multiLevelType w:val="hybridMultilevel"/>
    <w:tmpl w:val="ABFED43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2EE1262F"/>
    <w:multiLevelType w:val="hybridMultilevel"/>
    <w:tmpl w:val="1FA2EE84"/>
    <w:lvl w:ilvl="0" w:tplc="29C60D72">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2EE419D5"/>
    <w:multiLevelType w:val="hybridMultilevel"/>
    <w:tmpl w:val="469AE446"/>
    <w:lvl w:ilvl="0" w:tplc="173A6026">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2F0C1ABE"/>
    <w:multiLevelType w:val="hybridMultilevel"/>
    <w:tmpl w:val="1E6A2F9C"/>
    <w:lvl w:ilvl="0" w:tplc="46A6BC60">
      <w:start w:val="1"/>
      <w:numFmt w:val="lowerLetter"/>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30C9472D"/>
    <w:multiLevelType w:val="hybridMultilevel"/>
    <w:tmpl w:val="83362A5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32E068CE"/>
    <w:multiLevelType w:val="hybridMultilevel"/>
    <w:tmpl w:val="D8F81C5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330E6E7A"/>
    <w:multiLevelType w:val="hybridMultilevel"/>
    <w:tmpl w:val="05C4A890"/>
    <w:lvl w:ilvl="0" w:tplc="9686303A">
      <w:start w:val="1"/>
      <w:numFmt w:val="upperRoman"/>
      <w:lvlText w:val="%1."/>
      <w:lvlJc w:val="left"/>
      <w:pPr>
        <w:ind w:left="720"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30F1065"/>
    <w:multiLevelType w:val="hybridMultilevel"/>
    <w:tmpl w:val="6C3EE5A6"/>
    <w:lvl w:ilvl="0" w:tplc="9AFAD644">
      <w:start w:val="1"/>
      <w:numFmt w:val="upperRoman"/>
      <w:lvlText w:val="%1."/>
      <w:lvlJc w:val="left"/>
      <w:pPr>
        <w:ind w:left="1429" w:hanging="360"/>
      </w:pPr>
      <w:rPr>
        <w:rFonts w:hint="default"/>
        <w:b/>
        <w:i w:val="0"/>
      </w:rPr>
    </w:lvl>
    <w:lvl w:ilvl="1" w:tplc="9686303A">
      <w:start w:val="1"/>
      <w:numFmt w:val="upperRoman"/>
      <w:lvlText w:val="%2."/>
      <w:lvlJc w:val="left"/>
      <w:pPr>
        <w:ind w:left="2149" w:hanging="360"/>
      </w:pPr>
      <w:rPr>
        <w:rFonts w:hint="default" w:ascii="Verdana" w:hAnsi="Verdana" w:cs="Tahoma"/>
        <w:b/>
        <w:bCs/>
        <w:i w:val="0"/>
        <w:snapToGrid/>
        <w:spacing w:val="-5"/>
        <w:sz w:val="22"/>
        <w:szCs w:val="22"/>
      </w:rPr>
    </w:lvl>
    <w:lvl w:ilvl="2" w:tplc="C4FC6DD0">
      <w:start w:val="1"/>
      <w:numFmt w:val="lowerLetter"/>
      <w:lvlText w:val="%3)"/>
      <w:lvlJc w:val="left"/>
      <w:pPr>
        <w:ind w:left="3049" w:hanging="36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3397528C"/>
    <w:multiLevelType w:val="hybridMultilevel"/>
    <w:tmpl w:val="3992219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348060CC"/>
    <w:multiLevelType w:val="hybridMultilevel"/>
    <w:tmpl w:val="7C8EDBCC"/>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15:restartNumberingAfterBreak="0">
    <w:nsid w:val="34A27829"/>
    <w:multiLevelType w:val="hybridMultilevel"/>
    <w:tmpl w:val="09CC24F6"/>
    <w:lvl w:ilvl="0" w:tplc="9EDA9EBC">
      <w:start w:val="6"/>
      <w:numFmt w:val="upperRoman"/>
      <w:lvlText w:val="%1."/>
      <w:lvlJc w:val="right"/>
      <w:pPr>
        <w:ind w:left="1429" w:hanging="360"/>
      </w:pPr>
      <w:rPr>
        <w:rFonts w:hint="default"/>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15:restartNumberingAfterBreak="0">
    <w:nsid w:val="351222EB"/>
    <w:multiLevelType w:val="hybridMultilevel"/>
    <w:tmpl w:val="ADCC1410"/>
    <w:lvl w:ilvl="0" w:tplc="E6F27DA4">
      <w:start w:val="2"/>
      <w:numFmt w:val="upperRoman"/>
      <w:lvlText w:val="%1."/>
      <w:lvlJc w:val="left"/>
      <w:pPr>
        <w:ind w:left="214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6104AC2"/>
    <w:multiLevelType w:val="hybridMultilevel"/>
    <w:tmpl w:val="E84C3DB8"/>
    <w:lvl w:ilvl="0" w:tplc="2592C45E">
      <w:start w:val="1"/>
      <w:numFmt w:val="upperRoman"/>
      <w:lvlText w:val="%1."/>
      <w:lvlJc w:val="left"/>
      <w:pPr>
        <w:ind w:left="2149" w:hanging="360"/>
      </w:pPr>
      <w:rPr>
        <w:rFonts w:hint="default"/>
        <w:b/>
        <w:bCs/>
        <w:i w:val="0"/>
        <w:snapToGrid/>
        <w:spacing w:val="-5"/>
        <w:sz w:val="22"/>
        <w:szCs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1" w15:restartNumberingAfterBreak="0">
    <w:nsid w:val="37D400CB"/>
    <w:multiLevelType w:val="hybridMultilevel"/>
    <w:tmpl w:val="5468880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15:restartNumberingAfterBreak="0">
    <w:nsid w:val="382C353A"/>
    <w:multiLevelType w:val="hybridMultilevel"/>
    <w:tmpl w:val="55925C1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3" w15:restartNumberingAfterBreak="0">
    <w:nsid w:val="3D650B74"/>
    <w:multiLevelType w:val="hybridMultilevel"/>
    <w:tmpl w:val="2320FBA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4" w15:restartNumberingAfterBreak="0">
    <w:nsid w:val="3E5A3B35"/>
    <w:multiLevelType w:val="hybridMultilevel"/>
    <w:tmpl w:val="602CD6D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5" w15:restartNumberingAfterBreak="0">
    <w:nsid w:val="3E656A91"/>
    <w:multiLevelType w:val="hybridMultilevel"/>
    <w:tmpl w:val="0404806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15:restartNumberingAfterBreak="0">
    <w:nsid w:val="3F636E5E"/>
    <w:multiLevelType w:val="hybridMultilevel"/>
    <w:tmpl w:val="BA109782"/>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7" w15:restartNumberingAfterBreak="0">
    <w:nsid w:val="3FC815FF"/>
    <w:multiLevelType w:val="hybridMultilevel"/>
    <w:tmpl w:val="1DD869E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8" w15:restartNumberingAfterBreak="0">
    <w:nsid w:val="40A37C84"/>
    <w:multiLevelType w:val="hybridMultilevel"/>
    <w:tmpl w:val="4D7C1F92"/>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1627CE1"/>
    <w:multiLevelType w:val="hybridMultilevel"/>
    <w:tmpl w:val="D0B2FD48"/>
    <w:lvl w:ilvl="0" w:tplc="24C61318">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0" w15:restartNumberingAfterBreak="0">
    <w:nsid w:val="43002011"/>
    <w:multiLevelType w:val="hybridMultilevel"/>
    <w:tmpl w:val="D2941774"/>
    <w:lvl w:ilvl="0" w:tplc="46A6BC60">
      <w:start w:val="1"/>
      <w:numFmt w:val="lowerLetter"/>
      <w:lvlText w:val="%1)"/>
      <w:lvlJc w:val="left"/>
      <w:pPr>
        <w:ind w:left="720" w:hanging="360"/>
      </w:pPr>
      <w:rPr>
        <w:rFonts w:hint="default"/>
        <w:b/>
        <w:i w:val="0"/>
      </w:rPr>
    </w:lvl>
    <w:lvl w:ilvl="1" w:tplc="FCA4C23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60D1D79"/>
    <w:multiLevelType w:val="hybridMultilevel"/>
    <w:tmpl w:val="E20C90C0"/>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15:restartNumberingAfterBreak="0">
    <w:nsid w:val="47AB36E4"/>
    <w:multiLevelType w:val="hybridMultilevel"/>
    <w:tmpl w:val="87624490"/>
    <w:lvl w:ilvl="0" w:tplc="0A0EF528">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3" w15:restartNumberingAfterBreak="0">
    <w:nsid w:val="48203302"/>
    <w:multiLevelType w:val="hybridMultilevel"/>
    <w:tmpl w:val="0CB0F76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4" w15:restartNumberingAfterBreak="0">
    <w:nsid w:val="48442E65"/>
    <w:multiLevelType w:val="hybridMultilevel"/>
    <w:tmpl w:val="22428918"/>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87A29C6"/>
    <w:multiLevelType w:val="hybridMultilevel"/>
    <w:tmpl w:val="8962071C"/>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6" w15:restartNumberingAfterBreak="0">
    <w:nsid w:val="48EE0C05"/>
    <w:multiLevelType w:val="hybridMultilevel"/>
    <w:tmpl w:val="B8703948"/>
    <w:lvl w:ilvl="0" w:tplc="CBA29BCE">
      <w:start w:val="1"/>
      <w:numFmt w:val="upperRoman"/>
      <w:lvlText w:val="%1."/>
      <w:lvlJc w:val="left"/>
      <w:pPr>
        <w:ind w:left="1429" w:hanging="360"/>
      </w:pPr>
      <w:rPr>
        <w:rFonts w:hint="default" w:ascii="Verdana" w:hAnsi="Verdana" w:cs="Tahoma"/>
        <w:b/>
        <w:bCs/>
        <w:i w:val="0"/>
        <w:snapToGrid/>
        <w:color w:val="auto"/>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15:restartNumberingAfterBreak="0">
    <w:nsid w:val="496E4337"/>
    <w:multiLevelType w:val="hybridMultilevel"/>
    <w:tmpl w:val="CDD03EC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8" w15:restartNumberingAfterBreak="0">
    <w:nsid w:val="49951376"/>
    <w:multiLevelType w:val="hybridMultilevel"/>
    <w:tmpl w:val="71C6441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9" w15:restartNumberingAfterBreak="0">
    <w:nsid w:val="4A810E83"/>
    <w:multiLevelType w:val="hybridMultilevel"/>
    <w:tmpl w:val="5E184E08"/>
    <w:lvl w:ilvl="0" w:tplc="A4167106">
      <w:start w:val="1"/>
      <w:numFmt w:val="upperRoman"/>
      <w:lvlText w:val="%1."/>
      <w:lvlJc w:val="left"/>
      <w:pPr>
        <w:ind w:left="720" w:hanging="360"/>
      </w:pPr>
      <w:rPr>
        <w:rFonts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AB371F8"/>
    <w:multiLevelType w:val="hybridMultilevel"/>
    <w:tmpl w:val="0758194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1" w15:restartNumberingAfterBreak="0">
    <w:nsid w:val="4B095D10"/>
    <w:multiLevelType w:val="hybridMultilevel"/>
    <w:tmpl w:val="D5F8485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2" w15:restartNumberingAfterBreak="0">
    <w:nsid w:val="4B912F49"/>
    <w:multiLevelType w:val="hybridMultilevel"/>
    <w:tmpl w:val="6E78716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3" w15:restartNumberingAfterBreak="0">
    <w:nsid w:val="4BA259AE"/>
    <w:multiLevelType w:val="hybridMultilevel"/>
    <w:tmpl w:val="87962E1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4" w15:restartNumberingAfterBreak="0">
    <w:nsid w:val="4CE542BE"/>
    <w:multiLevelType w:val="hybridMultilevel"/>
    <w:tmpl w:val="82A8D0FC"/>
    <w:lvl w:ilvl="0" w:tplc="D4E269EA">
      <w:start w:val="6"/>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DEA5941"/>
    <w:multiLevelType w:val="hybridMultilevel"/>
    <w:tmpl w:val="AAE2156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6" w15:restartNumberingAfterBreak="0">
    <w:nsid w:val="506A2D27"/>
    <w:multiLevelType w:val="hybridMultilevel"/>
    <w:tmpl w:val="CDE0AE9A"/>
    <w:lvl w:ilvl="0" w:tplc="9686303A">
      <w:start w:val="1"/>
      <w:numFmt w:val="upperRoman"/>
      <w:lvlText w:val="%1."/>
      <w:lvlJc w:val="left"/>
      <w:pPr>
        <w:ind w:left="720" w:hanging="720"/>
      </w:pPr>
      <w:rPr>
        <w:rFonts w:hint="default" w:ascii="Verdana" w:hAnsi="Verdana" w:cs="Tahoma"/>
        <w:b/>
        <w:bCs/>
        <w:i w:val="0"/>
        <w:snapToGrid/>
        <w:spacing w:val="-5"/>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1C77ED2"/>
    <w:multiLevelType w:val="hybridMultilevel"/>
    <w:tmpl w:val="3D846BBE"/>
    <w:lvl w:ilvl="0" w:tplc="1DB62B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328762D"/>
    <w:multiLevelType w:val="hybridMultilevel"/>
    <w:tmpl w:val="D32AAAB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9" w15:restartNumberingAfterBreak="0">
    <w:nsid w:val="54D35D8A"/>
    <w:multiLevelType w:val="hybridMultilevel"/>
    <w:tmpl w:val="7436CE24"/>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0" w15:restartNumberingAfterBreak="0">
    <w:nsid w:val="55097E9C"/>
    <w:multiLevelType w:val="hybridMultilevel"/>
    <w:tmpl w:val="D9BCB610"/>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1" w15:restartNumberingAfterBreak="0">
    <w:nsid w:val="556F398D"/>
    <w:multiLevelType w:val="hybridMultilevel"/>
    <w:tmpl w:val="41ACBDE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2" w15:restartNumberingAfterBreak="0">
    <w:nsid w:val="569268A2"/>
    <w:multiLevelType w:val="hybridMultilevel"/>
    <w:tmpl w:val="A2529274"/>
    <w:lvl w:ilvl="0" w:tplc="9686303A">
      <w:start w:val="1"/>
      <w:numFmt w:val="upperRoman"/>
      <w:lvlText w:val="%1."/>
      <w:lvlJc w:val="left"/>
      <w:pPr>
        <w:ind w:left="1080" w:hanging="72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7BF0EC6"/>
    <w:multiLevelType w:val="hybridMultilevel"/>
    <w:tmpl w:val="CF14C69C"/>
    <w:lvl w:ilvl="0" w:tplc="B7E44260">
      <w:start w:val="3"/>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9BA7AB1"/>
    <w:multiLevelType w:val="hybridMultilevel"/>
    <w:tmpl w:val="EC644510"/>
    <w:lvl w:ilvl="0" w:tplc="E74E1E26">
      <w:start w:val="1"/>
      <w:numFmt w:val="upperRoman"/>
      <w:lvlText w:val="%1."/>
      <w:lvlJc w:val="left"/>
      <w:pPr>
        <w:ind w:left="720" w:hanging="360"/>
      </w:pPr>
      <w:rPr>
        <w:rFonts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A3B5F61"/>
    <w:multiLevelType w:val="hybridMultilevel"/>
    <w:tmpl w:val="AB464B10"/>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6" w15:restartNumberingAfterBreak="0">
    <w:nsid w:val="5A677682"/>
    <w:multiLevelType w:val="hybridMultilevel"/>
    <w:tmpl w:val="5BD694AE"/>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15:restartNumberingAfterBreak="0">
    <w:nsid w:val="5BE65673"/>
    <w:multiLevelType w:val="hybridMultilevel"/>
    <w:tmpl w:val="A31E67F4"/>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CC375A5"/>
    <w:multiLevelType w:val="hybridMultilevel"/>
    <w:tmpl w:val="16180A8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9" w15:restartNumberingAfterBreak="0">
    <w:nsid w:val="5E193581"/>
    <w:multiLevelType w:val="hybridMultilevel"/>
    <w:tmpl w:val="82CA09A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0" w15:restartNumberingAfterBreak="0">
    <w:nsid w:val="5F8C5443"/>
    <w:multiLevelType w:val="hybridMultilevel"/>
    <w:tmpl w:val="AE7C6CB4"/>
    <w:lvl w:ilvl="0" w:tplc="BB7C380E">
      <w:start w:val="1"/>
      <w:numFmt w:val="upperRoman"/>
      <w:lvlText w:val="%1."/>
      <w:lvlJc w:val="left"/>
      <w:pPr>
        <w:ind w:left="1429" w:hanging="360"/>
      </w:pPr>
      <w:rPr>
        <w:rFonts w:hint="default"/>
        <w:b/>
        <w:bCs/>
        <w:i w:val="0"/>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1" w15:restartNumberingAfterBreak="0">
    <w:nsid w:val="5F90717C"/>
    <w:multiLevelType w:val="hybridMultilevel"/>
    <w:tmpl w:val="A13AAFF8"/>
    <w:lvl w:ilvl="0" w:tplc="9AFAD644">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2" w15:restartNumberingAfterBreak="0">
    <w:nsid w:val="60C353FD"/>
    <w:multiLevelType w:val="hybridMultilevel"/>
    <w:tmpl w:val="BB8C6C2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3" w15:restartNumberingAfterBreak="0">
    <w:nsid w:val="611D6422"/>
    <w:multiLevelType w:val="hybridMultilevel"/>
    <w:tmpl w:val="4F7CC500"/>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4" w15:restartNumberingAfterBreak="0">
    <w:nsid w:val="624A7764"/>
    <w:multiLevelType w:val="hybridMultilevel"/>
    <w:tmpl w:val="F28224B8"/>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5" w15:restartNumberingAfterBreak="0">
    <w:nsid w:val="63E64D10"/>
    <w:multiLevelType w:val="hybridMultilevel"/>
    <w:tmpl w:val="50F2C796"/>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6" w15:restartNumberingAfterBreak="0">
    <w:nsid w:val="640C762E"/>
    <w:multiLevelType w:val="hybridMultilevel"/>
    <w:tmpl w:val="4C9A0C62"/>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7" w15:restartNumberingAfterBreak="0">
    <w:nsid w:val="65830CA4"/>
    <w:multiLevelType w:val="hybridMultilevel"/>
    <w:tmpl w:val="54E0AFCE"/>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8" w15:restartNumberingAfterBreak="0">
    <w:nsid w:val="659C4C78"/>
    <w:multiLevelType w:val="hybridMultilevel"/>
    <w:tmpl w:val="93F6C904"/>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65D59CE"/>
    <w:multiLevelType w:val="hybridMultilevel"/>
    <w:tmpl w:val="5D48E9CE"/>
    <w:lvl w:ilvl="0" w:tplc="E40E7364">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0" w15:restartNumberingAfterBreak="0">
    <w:nsid w:val="692B55C8"/>
    <w:multiLevelType w:val="hybridMultilevel"/>
    <w:tmpl w:val="518AAAF8"/>
    <w:lvl w:ilvl="0" w:tplc="92EE380A">
      <w:start w:val="1"/>
      <w:numFmt w:val="upperRoman"/>
      <w:lvlText w:val="%1."/>
      <w:lvlJc w:val="left"/>
      <w:pPr>
        <w:ind w:left="1429" w:hanging="360"/>
      </w:pPr>
      <w:rPr>
        <w:rFonts w:hint="default" w:ascii="Arial" w:hAnsi="Arial" w:cs="Arial"/>
        <w:b/>
        <w:bCs/>
        <w:i w:val="0"/>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1" w15:restartNumberingAfterBreak="0">
    <w:nsid w:val="70262FAD"/>
    <w:multiLevelType w:val="hybridMultilevel"/>
    <w:tmpl w:val="17F443C4"/>
    <w:lvl w:ilvl="0" w:tplc="F5100C52">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2" w15:restartNumberingAfterBreak="0">
    <w:nsid w:val="71023970"/>
    <w:multiLevelType w:val="hybridMultilevel"/>
    <w:tmpl w:val="61047410"/>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15:restartNumberingAfterBreak="0">
    <w:nsid w:val="710E7E92"/>
    <w:multiLevelType w:val="hybridMultilevel"/>
    <w:tmpl w:val="197878B0"/>
    <w:lvl w:ilvl="0" w:tplc="46A6BC60">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71B87808"/>
    <w:multiLevelType w:val="hybridMultilevel"/>
    <w:tmpl w:val="158AA43C"/>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6" w15:restartNumberingAfterBreak="0">
    <w:nsid w:val="724E7CC0"/>
    <w:multiLevelType w:val="hybridMultilevel"/>
    <w:tmpl w:val="63B46D52"/>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7" w15:restartNumberingAfterBreak="0">
    <w:nsid w:val="76804F6D"/>
    <w:multiLevelType w:val="hybridMultilevel"/>
    <w:tmpl w:val="0F465F80"/>
    <w:lvl w:ilvl="0" w:tplc="46A6BC60">
      <w:start w:val="1"/>
      <w:numFmt w:val="lowerLetter"/>
      <w:lvlText w:val="%1)"/>
      <w:lvlJc w:val="left"/>
      <w:pPr>
        <w:ind w:left="720" w:hanging="360"/>
      </w:pPr>
      <w:rPr>
        <w:rFonts w:hint="default"/>
        <w:b/>
        <w:i w:val="0"/>
      </w:rPr>
    </w:lvl>
    <w:lvl w:ilvl="1" w:tplc="4B3CB8FC">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79447A4"/>
    <w:multiLevelType w:val="hybridMultilevel"/>
    <w:tmpl w:val="2CE0E8B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9" w15:restartNumberingAfterBreak="0">
    <w:nsid w:val="789670D7"/>
    <w:multiLevelType w:val="hybridMultilevel"/>
    <w:tmpl w:val="57942262"/>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0" w15:restartNumberingAfterBreak="0">
    <w:nsid w:val="78F11A4B"/>
    <w:multiLevelType w:val="hybridMultilevel"/>
    <w:tmpl w:val="9104BF42"/>
    <w:lvl w:ilvl="0" w:tplc="38265942">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1" w15:restartNumberingAfterBreak="0">
    <w:nsid w:val="7A0C7796"/>
    <w:multiLevelType w:val="hybridMultilevel"/>
    <w:tmpl w:val="EC08B59C"/>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2" w15:restartNumberingAfterBreak="0">
    <w:nsid w:val="7A100166"/>
    <w:multiLevelType w:val="hybridMultilevel"/>
    <w:tmpl w:val="6F188110"/>
    <w:lvl w:ilvl="0" w:tplc="F9E68B24">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3" w15:restartNumberingAfterBreak="0">
    <w:nsid w:val="7B9E3FDA"/>
    <w:multiLevelType w:val="hybridMultilevel"/>
    <w:tmpl w:val="AE6E290A"/>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4" w15:restartNumberingAfterBreak="0">
    <w:nsid w:val="7BE67D97"/>
    <w:multiLevelType w:val="hybridMultilevel"/>
    <w:tmpl w:val="E1B20472"/>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5" w15:restartNumberingAfterBreak="0">
    <w:nsid w:val="7E5568B8"/>
    <w:multiLevelType w:val="hybridMultilevel"/>
    <w:tmpl w:val="3BCED31C"/>
    <w:lvl w:ilvl="0" w:tplc="9686303A">
      <w:start w:val="1"/>
      <w:numFmt w:val="upperRoman"/>
      <w:lvlText w:val="%1."/>
      <w:lvlJc w:val="left"/>
      <w:pPr>
        <w:ind w:left="1429" w:hanging="360"/>
      </w:pPr>
      <w:rPr>
        <w:rFonts w:hint="default" w:ascii="Verdana" w:hAnsi="Verdana" w:cs="Tahoma"/>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04"/>
  </w:num>
  <w:num w:numId="2">
    <w:abstractNumId w:val="78"/>
  </w:num>
  <w:num w:numId="3">
    <w:abstractNumId w:val="70"/>
  </w:num>
  <w:num w:numId="4">
    <w:abstractNumId w:val="114"/>
  </w:num>
  <w:num w:numId="5">
    <w:abstractNumId w:val="43"/>
  </w:num>
  <w:num w:numId="6">
    <w:abstractNumId w:val="113"/>
  </w:num>
  <w:num w:numId="7">
    <w:abstractNumId w:val="81"/>
  </w:num>
  <w:num w:numId="8">
    <w:abstractNumId w:val="26"/>
  </w:num>
  <w:num w:numId="9">
    <w:abstractNumId w:val="108"/>
  </w:num>
  <w:num w:numId="10">
    <w:abstractNumId w:val="102"/>
  </w:num>
  <w:num w:numId="11">
    <w:abstractNumId w:val="79"/>
  </w:num>
  <w:num w:numId="12">
    <w:abstractNumId w:val="56"/>
  </w:num>
  <w:num w:numId="13">
    <w:abstractNumId w:val="101"/>
  </w:num>
  <w:num w:numId="14">
    <w:abstractNumId w:val="15"/>
  </w:num>
  <w:num w:numId="15">
    <w:abstractNumId w:val="103"/>
  </w:num>
  <w:num w:numId="16">
    <w:abstractNumId w:val="58"/>
  </w:num>
  <w:num w:numId="17">
    <w:abstractNumId w:val="83"/>
  </w:num>
  <w:num w:numId="18">
    <w:abstractNumId w:val="87"/>
  </w:num>
  <w:num w:numId="19">
    <w:abstractNumId w:val="98"/>
  </w:num>
  <w:num w:numId="20">
    <w:abstractNumId w:val="36"/>
  </w:num>
  <w:num w:numId="21">
    <w:abstractNumId w:val="60"/>
  </w:num>
  <w:num w:numId="22">
    <w:abstractNumId w:val="74"/>
  </w:num>
  <w:num w:numId="23">
    <w:abstractNumId w:val="91"/>
  </w:num>
  <w:num w:numId="24">
    <w:abstractNumId w:val="59"/>
  </w:num>
  <w:num w:numId="25">
    <w:abstractNumId w:val="11"/>
  </w:num>
  <w:num w:numId="26">
    <w:abstractNumId w:val="39"/>
  </w:num>
  <w:num w:numId="27">
    <w:abstractNumId w:val="62"/>
  </w:num>
  <w:num w:numId="28">
    <w:abstractNumId w:val="9"/>
  </w:num>
  <w:num w:numId="29">
    <w:abstractNumId w:val="45"/>
  </w:num>
  <w:num w:numId="30">
    <w:abstractNumId w:val="19"/>
  </w:num>
  <w:num w:numId="31">
    <w:abstractNumId w:val="49"/>
  </w:num>
  <w:num w:numId="32">
    <w:abstractNumId w:val="41"/>
  </w:num>
  <w:num w:numId="33">
    <w:abstractNumId w:val="14"/>
  </w:num>
  <w:num w:numId="34">
    <w:abstractNumId w:val="50"/>
  </w:num>
  <w:num w:numId="35">
    <w:abstractNumId w:val="24"/>
  </w:num>
  <w:num w:numId="36">
    <w:abstractNumId w:val="44"/>
  </w:num>
  <w:num w:numId="37">
    <w:abstractNumId w:val="23"/>
  </w:num>
  <w:num w:numId="38">
    <w:abstractNumId w:val="99"/>
  </w:num>
  <w:num w:numId="39">
    <w:abstractNumId w:val="69"/>
  </w:num>
  <w:num w:numId="40">
    <w:abstractNumId w:val="84"/>
  </w:num>
  <w:num w:numId="41">
    <w:abstractNumId w:val="5"/>
  </w:num>
  <w:num w:numId="42">
    <w:abstractNumId w:val="16"/>
  </w:num>
  <w:num w:numId="43">
    <w:abstractNumId w:val="110"/>
  </w:num>
  <w:num w:numId="44">
    <w:abstractNumId w:val="18"/>
  </w:num>
  <w:num w:numId="45">
    <w:abstractNumId w:val="82"/>
  </w:num>
  <w:num w:numId="46">
    <w:abstractNumId w:val="17"/>
  </w:num>
  <w:num w:numId="47">
    <w:abstractNumId w:val="76"/>
  </w:num>
  <w:num w:numId="48">
    <w:abstractNumId w:val="12"/>
  </w:num>
  <w:num w:numId="49">
    <w:abstractNumId w:val="40"/>
  </w:num>
  <w:num w:numId="50">
    <w:abstractNumId w:val="105"/>
  </w:num>
  <w:num w:numId="51">
    <w:abstractNumId w:val="68"/>
  </w:num>
  <w:num w:numId="52">
    <w:abstractNumId w:val="52"/>
  </w:num>
  <w:num w:numId="53">
    <w:abstractNumId w:val="31"/>
  </w:num>
  <w:num w:numId="54">
    <w:abstractNumId w:val="47"/>
  </w:num>
  <w:num w:numId="55">
    <w:abstractNumId w:val="33"/>
  </w:num>
  <w:num w:numId="56">
    <w:abstractNumId w:val="51"/>
  </w:num>
  <w:num w:numId="57">
    <w:abstractNumId w:val="71"/>
  </w:num>
  <w:num w:numId="58">
    <w:abstractNumId w:val="25"/>
  </w:num>
  <w:num w:numId="59">
    <w:abstractNumId w:val="77"/>
  </w:num>
  <w:num w:numId="60">
    <w:abstractNumId w:val="7"/>
  </w:num>
  <w:num w:numId="61">
    <w:abstractNumId w:val="3"/>
  </w:num>
  <w:num w:numId="62">
    <w:abstractNumId w:val="37"/>
  </w:num>
  <w:num w:numId="63">
    <w:abstractNumId w:val="93"/>
  </w:num>
  <w:num w:numId="64">
    <w:abstractNumId w:val="72"/>
  </w:num>
  <w:num w:numId="65">
    <w:abstractNumId w:val="34"/>
  </w:num>
  <w:num w:numId="66">
    <w:abstractNumId w:val="85"/>
  </w:num>
  <w:num w:numId="67">
    <w:abstractNumId w:val="67"/>
  </w:num>
  <w:num w:numId="68">
    <w:abstractNumId w:val="28"/>
  </w:num>
  <w:num w:numId="69">
    <w:abstractNumId w:val="2"/>
  </w:num>
  <w:num w:numId="70">
    <w:abstractNumId w:val="96"/>
  </w:num>
  <w:num w:numId="71">
    <w:abstractNumId w:val="27"/>
  </w:num>
  <w:num w:numId="72">
    <w:abstractNumId w:val="55"/>
  </w:num>
  <w:num w:numId="73">
    <w:abstractNumId w:val="88"/>
  </w:num>
  <w:num w:numId="74">
    <w:abstractNumId w:val="89"/>
  </w:num>
  <w:num w:numId="75">
    <w:abstractNumId w:val="20"/>
  </w:num>
  <w:num w:numId="76">
    <w:abstractNumId w:val="65"/>
  </w:num>
  <w:num w:numId="77">
    <w:abstractNumId w:val="106"/>
  </w:num>
  <w:num w:numId="78">
    <w:abstractNumId w:val="0"/>
  </w:num>
  <w:num w:numId="79">
    <w:abstractNumId w:val="38"/>
  </w:num>
  <w:num w:numId="80">
    <w:abstractNumId w:val="54"/>
  </w:num>
  <w:num w:numId="81">
    <w:abstractNumId w:val="95"/>
  </w:num>
  <w:num w:numId="82">
    <w:abstractNumId w:val="4"/>
  </w:num>
  <w:num w:numId="83">
    <w:abstractNumId w:val="111"/>
  </w:num>
  <w:num w:numId="84">
    <w:abstractNumId w:val="32"/>
  </w:num>
  <w:num w:numId="85">
    <w:abstractNumId w:val="8"/>
  </w:num>
  <w:num w:numId="86">
    <w:abstractNumId w:val="112"/>
  </w:num>
  <w:num w:numId="87">
    <w:abstractNumId w:val="80"/>
  </w:num>
  <w:num w:numId="88">
    <w:abstractNumId w:val="30"/>
  </w:num>
  <w:num w:numId="89">
    <w:abstractNumId w:val="75"/>
  </w:num>
  <w:num w:numId="90">
    <w:abstractNumId w:val="109"/>
  </w:num>
  <w:num w:numId="91">
    <w:abstractNumId w:val="61"/>
  </w:num>
  <w:num w:numId="92">
    <w:abstractNumId w:val="35"/>
  </w:num>
  <w:num w:numId="93">
    <w:abstractNumId w:val="86"/>
  </w:num>
  <w:num w:numId="94">
    <w:abstractNumId w:val="57"/>
  </w:num>
  <w:num w:numId="95">
    <w:abstractNumId w:val="97"/>
  </w:num>
  <w:num w:numId="96">
    <w:abstractNumId w:val="92"/>
  </w:num>
  <w:num w:numId="97">
    <w:abstractNumId w:val="13"/>
  </w:num>
  <w:num w:numId="98">
    <w:abstractNumId w:val="46"/>
  </w:num>
  <w:num w:numId="99">
    <w:abstractNumId w:val="115"/>
  </w:num>
  <w:num w:numId="100">
    <w:abstractNumId w:val="73"/>
  </w:num>
  <w:num w:numId="101">
    <w:abstractNumId w:val="94"/>
  </w:num>
  <w:num w:numId="102">
    <w:abstractNumId w:val="66"/>
  </w:num>
  <w:num w:numId="103">
    <w:abstractNumId w:val="64"/>
  </w:num>
  <w:num w:numId="104">
    <w:abstractNumId w:val="107"/>
  </w:num>
  <w:num w:numId="105">
    <w:abstractNumId w:val="53"/>
  </w:num>
  <w:num w:numId="106">
    <w:abstractNumId w:val="1"/>
  </w:num>
  <w:num w:numId="107">
    <w:abstractNumId w:val="42"/>
  </w:num>
  <w:num w:numId="108">
    <w:abstractNumId w:val="63"/>
  </w:num>
  <w:num w:numId="109">
    <w:abstractNumId w:val="6"/>
  </w:num>
  <w:num w:numId="110">
    <w:abstractNumId w:val="10"/>
  </w:num>
  <w:num w:numId="111">
    <w:abstractNumId w:val="22"/>
  </w:num>
  <w:num w:numId="112">
    <w:abstractNumId w:val="21"/>
  </w:num>
  <w:num w:numId="113">
    <w:abstractNumId w:val="48"/>
  </w:num>
  <w:num w:numId="114">
    <w:abstractNumId w:val="100"/>
  </w:num>
  <w:num w:numId="115">
    <w:abstractNumId w:val="90"/>
  </w:num>
  <w:num w:numId="116">
    <w:abstractNumId w:val="29"/>
  </w:num>
  <w:numIdMacAtCleanup w:val="1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val="bestFit" w:percent="159"/>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ADB"/>
    <w:rsid w:val="00003793"/>
    <w:rsid w:val="00003B9E"/>
    <w:rsid w:val="00004404"/>
    <w:rsid w:val="00005063"/>
    <w:rsid w:val="0000666A"/>
    <w:rsid w:val="00006E1A"/>
    <w:rsid w:val="0000707C"/>
    <w:rsid w:val="00010236"/>
    <w:rsid w:val="00010F16"/>
    <w:rsid w:val="00011EA9"/>
    <w:rsid w:val="00012ACF"/>
    <w:rsid w:val="00014023"/>
    <w:rsid w:val="0001430F"/>
    <w:rsid w:val="00016088"/>
    <w:rsid w:val="0001748F"/>
    <w:rsid w:val="00017C84"/>
    <w:rsid w:val="000201EB"/>
    <w:rsid w:val="00020971"/>
    <w:rsid w:val="00021654"/>
    <w:rsid w:val="000226A4"/>
    <w:rsid w:val="000237C2"/>
    <w:rsid w:val="00025059"/>
    <w:rsid w:val="000311C4"/>
    <w:rsid w:val="00031AD4"/>
    <w:rsid w:val="00032F5E"/>
    <w:rsid w:val="0003304B"/>
    <w:rsid w:val="00034233"/>
    <w:rsid w:val="00035835"/>
    <w:rsid w:val="00036456"/>
    <w:rsid w:val="00036881"/>
    <w:rsid w:val="00037599"/>
    <w:rsid w:val="00037624"/>
    <w:rsid w:val="00037E62"/>
    <w:rsid w:val="00041045"/>
    <w:rsid w:val="00042D67"/>
    <w:rsid w:val="00044C49"/>
    <w:rsid w:val="00044FD8"/>
    <w:rsid w:val="00046DC4"/>
    <w:rsid w:val="000476E2"/>
    <w:rsid w:val="000515C7"/>
    <w:rsid w:val="00052799"/>
    <w:rsid w:val="00053071"/>
    <w:rsid w:val="00053278"/>
    <w:rsid w:val="00053729"/>
    <w:rsid w:val="00054658"/>
    <w:rsid w:val="0005486B"/>
    <w:rsid w:val="0005559F"/>
    <w:rsid w:val="00055D29"/>
    <w:rsid w:val="000568D0"/>
    <w:rsid w:val="00057518"/>
    <w:rsid w:val="000630F0"/>
    <w:rsid w:val="00070D4A"/>
    <w:rsid w:val="000720AC"/>
    <w:rsid w:val="0007263A"/>
    <w:rsid w:val="0007460F"/>
    <w:rsid w:val="0007777F"/>
    <w:rsid w:val="0008050E"/>
    <w:rsid w:val="00081C12"/>
    <w:rsid w:val="00081C8E"/>
    <w:rsid w:val="000821CD"/>
    <w:rsid w:val="00082310"/>
    <w:rsid w:val="00083620"/>
    <w:rsid w:val="000841AE"/>
    <w:rsid w:val="00084734"/>
    <w:rsid w:val="000879C5"/>
    <w:rsid w:val="00092DD6"/>
    <w:rsid w:val="000966F4"/>
    <w:rsid w:val="000978D6"/>
    <w:rsid w:val="000A00E2"/>
    <w:rsid w:val="000A29E4"/>
    <w:rsid w:val="000A3AFA"/>
    <w:rsid w:val="000A3DA1"/>
    <w:rsid w:val="000A4A85"/>
    <w:rsid w:val="000A5E80"/>
    <w:rsid w:val="000A6D94"/>
    <w:rsid w:val="000B03AC"/>
    <w:rsid w:val="000B0961"/>
    <w:rsid w:val="000B1ADB"/>
    <w:rsid w:val="000B276B"/>
    <w:rsid w:val="000B2CD7"/>
    <w:rsid w:val="000B2D06"/>
    <w:rsid w:val="000B3CD1"/>
    <w:rsid w:val="000B42C2"/>
    <w:rsid w:val="000C202C"/>
    <w:rsid w:val="000C25F8"/>
    <w:rsid w:val="000C3A0E"/>
    <w:rsid w:val="000C3E19"/>
    <w:rsid w:val="000C49B8"/>
    <w:rsid w:val="000C76B5"/>
    <w:rsid w:val="000C7EE4"/>
    <w:rsid w:val="000D06AB"/>
    <w:rsid w:val="000D5E79"/>
    <w:rsid w:val="000D6614"/>
    <w:rsid w:val="000D6E24"/>
    <w:rsid w:val="000D7280"/>
    <w:rsid w:val="000E0266"/>
    <w:rsid w:val="000E17A0"/>
    <w:rsid w:val="000E44C5"/>
    <w:rsid w:val="000E5B6E"/>
    <w:rsid w:val="000E5E5D"/>
    <w:rsid w:val="000E6009"/>
    <w:rsid w:val="000E7457"/>
    <w:rsid w:val="000F4842"/>
    <w:rsid w:val="000F68EA"/>
    <w:rsid w:val="001027A9"/>
    <w:rsid w:val="00104B7F"/>
    <w:rsid w:val="00104F19"/>
    <w:rsid w:val="00106B7D"/>
    <w:rsid w:val="00107ABA"/>
    <w:rsid w:val="00107BAA"/>
    <w:rsid w:val="00111C80"/>
    <w:rsid w:val="00112537"/>
    <w:rsid w:val="00112BC7"/>
    <w:rsid w:val="00115806"/>
    <w:rsid w:val="00115E6F"/>
    <w:rsid w:val="00123509"/>
    <w:rsid w:val="00123758"/>
    <w:rsid w:val="00125627"/>
    <w:rsid w:val="001312EA"/>
    <w:rsid w:val="0013229D"/>
    <w:rsid w:val="00134A32"/>
    <w:rsid w:val="00134E21"/>
    <w:rsid w:val="00135407"/>
    <w:rsid w:val="00135DAA"/>
    <w:rsid w:val="001370CC"/>
    <w:rsid w:val="00137E10"/>
    <w:rsid w:val="00140405"/>
    <w:rsid w:val="001404B3"/>
    <w:rsid w:val="00144392"/>
    <w:rsid w:val="00145B04"/>
    <w:rsid w:val="001469EC"/>
    <w:rsid w:val="00146FF0"/>
    <w:rsid w:val="00152D84"/>
    <w:rsid w:val="00155071"/>
    <w:rsid w:val="001553CF"/>
    <w:rsid w:val="001567C7"/>
    <w:rsid w:val="001579DB"/>
    <w:rsid w:val="001606EC"/>
    <w:rsid w:val="00165B56"/>
    <w:rsid w:val="00170097"/>
    <w:rsid w:val="0017428C"/>
    <w:rsid w:val="00176F4C"/>
    <w:rsid w:val="00181706"/>
    <w:rsid w:val="00182EA6"/>
    <w:rsid w:val="001836C5"/>
    <w:rsid w:val="00183C6B"/>
    <w:rsid w:val="001854D1"/>
    <w:rsid w:val="00185A94"/>
    <w:rsid w:val="00186B67"/>
    <w:rsid w:val="001900A4"/>
    <w:rsid w:val="001903F4"/>
    <w:rsid w:val="00190F14"/>
    <w:rsid w:val="00191F5B"/>
    <w:rsid w:val="00192413"/>
    <w:rsid w:val="001A10FA"/>
    <w:rsid w:val="001A21EC"/>
    <w:rsid w:val="001A5C4D"/>
    <w:rsid w:val="001A75DC"/>
    <w:rsid w:val="001A7D21"/>
    <w:rsid w:val="001B4DBA"/>
    <w:rsid w:val="001B5475"/>
    <w:rsid w:val="001B6B6A"/>
    <w:rsid w:val="001B78BB"/>
    <w:rsid w:val="001C073B"/>
    <w:rsid w:val="001C6E19"/>
    <w:rsid w:val="001C78D8"/>
    <w:rsid w:val="001D155C"/>
    <w:rsid w:val="001D4D14"/>
    <w:rsid w:val="001D660F"/>
    <w:rsid w:val="001D6B43"/>
    <w:rsid w:val="001E06FB"/>
    <w:rsid w:val="001E08E1"/>
    <w:rsid w:val="001E477E"/>
    <w:rsid w:val="001E55F1"/>
    <w:rsid w:val="001E5A03"/>
    <w:rsid w:val="001E7548"/>
    <w:rsid w:val="001F2B45"/>
    <w:rsid w:val="001F3DB0"/>
    <w:rsid w:val="001F4619"/>
    <w:rsid w:val="001F5E41"/>
    <w:rsid w:val="001F60FD"/>
    <w:rsid w:val="001F642F"/>
    <w:rsid w:val="001F7A2D"/>
    <w:rsid w:val="002002E3"/>
    <w:rsid w:val="002045EC"/>
    <w:rsid w:val="00204E74"/>
    <w:rsid w:val="002117F5"/>
    <w:rsid w:val="00213E24"/>
    <w:rsid w:val="00214D3C"/>
    <w:rsid w:val="00216C2E"/>
    <w:rsid w:val="00217B46"/>
    <w:rsid w:val="002215A9"/>
    <w:rsid w:val="00222781"/>
    <w:rsid w:val="00222C0F"/>
    <w:rsid w:val="00225373"/>
    <w:rsid w:val="0022771F"/>
    <w:rsid w:val="00232BC7"/>
    <w:rsid w:val="00234EF2"/>
    <w:rsid w:val="002366E8"/>
    <w:rsid w:val="00236785"/>
    <w:rsid w:val="00236F6A"/>
    <w:rsid w:val="002378BD"/>
    <w:rsid w:val="002416BD"/>
    <w:rsid w:val="00243D02"/>
    <w:rsid w:val="00243D46"/>
    <w:rsid w:val="00244849"/>
    <w:rsid w:val="00244B09"/>
    <w:rsid w:val="00245054"/>
    <w:rsid w:val="0024569D"/>
    <w:rsid w:val="0024668F"/>
    <w:rsid w:val="0024686A"/>
    <w:rsid w:val="00250941"/>
    <w:rsid w:val="00251529"/>
    <w:rsid w:val="002517A9"/>
    <w:rsid w:val="00252F32"/>
    <w:rsid w:val="002542D1"/>
    <w:rsid w:val="00256BB8"/>
    <w:rsid w:val="00256EA6"/>
    <w:rsid w:val="00257CF3"/>
    <w:rsid w:val="002602E7"/>
    <w:rsid w:val="00260A46"/>
    <w:rsid w:val="00261960"/>
    <w:rsid w:val="00262AF9"/>
    <w:rsid w:val="00263019"/>
    <w:rsid w:val="00265BAA"/>
    <w:rsid w:val="002702D3"/>
    <w:rsid w:val="00270CAD"/>
    <w:rsid w:val="00270F69"/>
    <w:rsid w:val="00271228"/>
    <w:rsid w:val="002715AB"/>
    <w:rsid w:val="002718C4"/>
    <w:rsid w:val="00271E80"/>
    <w:rsid w:val="0027236D"/>
    <w:rsid w:val="0027411B"/>
    <w:rsid w:val="002749AD"/>
    <w:rsid w:val="002750AF"/>
    <w:rsid w:val="00275A31"/>
    <w:rsid w:val="00276D49"/>
    <w:rsid w:val="002771C0"/>
    <w:rsid w:val="00277F89"/>
    <w:rsid w:val="002807F6"/>
    <w:rsid w:val="00280F4F"/>
    <w:rsid w:val="0028155A"/>
    <w:rsid w:val="00285E6B"/>
    <w:rsid w:val="0028627A"/>
    <w:rsid w:val="00292322"/>
    <w:rsid w:val="00295CAC"/>
    <w:rsid w:val="0029770A"/>
    <w:rsid w:val="002A08F7"/>
    <w:rsid w:val="002A17B9"/>
    <w:rsid w:val="002A4F2C"/>
    <w:rsid w:val="002A6127"/>
    <w:rsid w:val="002B03F5"/>
    <w:rsid w:val="002B0453"/>
    <w:rsid w:val="002B0D1C"/>
    <w:rsid w:val="002B75F4"/>
    <w:rsid w:val="002B7812"/>
    <w:rsid w:val="002C24F7"/>
    <w:rsid w:val="002C2DB0"/>
    <w:rsid w:val="002C4FF6"/>
    <w:rsid w:val="002C5A35"/>
    <w:rsid w:val="002C5A5A"/>
    <w:rsid w:val="002C5E19"/>
    <w:rsid w:val="002D04E4"/>
    <w:rsid w:val="002D3702"/>
    <w:rsid w:val="002D37DD"/>
    <w:rsid w:val="002D3B45"/>
    <w:rsid w:val="002E1E69"/>
    <w:rsid w:val="002E62D8"/>
    <w:rsid w:val="002E7DDA"/>
    <w:rsid w:val="002F47F8"/>
    <w:rsid w:val="002F4DEB"/>
    <w:rsid w:val="002F4F1C"/>
    <w:rsid w:val="002F5304"/>
    <w:rsid w:val="002F6092"/>
    <w:rsid w:val="002F7E91"/>
    <w:rsid w:val="0030142A"/>
    <w:rsid w:val="00302842"/>
    <w:rsid w:val="00302D93"/>
    <w:rsid w:val="00303346"/>
    <w:rsid w:val="003052F8"/>
    <w:rsid w:val="003131B0"/>
    <w:rsid w:val="0031425F"/>
    <w:rsid w:val="003161E1"/>
    <w:rsid w:val="00316546"/>
    <w:rsid w:val="0031701C"/>
    <w:rsid w:val="00317C5E"/>
    <w:rsid w:val="00321734"/>
    <w:rsid w:val="00322B27"/>
    <w:rsid w:val="00323F47"/>
    <w:rsid w:val="00324A57"/>
    <w:rsid w:val="00325860"/>
    <w:rsid w:val="003260DA"/>
    <w:rsid w:val="00326C67"/>
    <w:rsid w:val="00326D74"/>
    <w:rsid w:val="00326FDC"/>
    <w:rsid w:val="0033063D"/>
    <w:rsid w:val="00332739"/>
    <w:rsid w:val="00340188"/>
    <w:rsid w:val="00341689"/>
    <w:rsid w:val="00341FF2"/>
    <w:rsid w:val="0034600E"/>
    <w:rsid w:val="003461EB"/>
    <w:rsid w:val="00346BE9"/>
    <w:rsid w:val="00346EA8"/>
    <w:rsid w:val="0035061C"/>
    <w:rsid w:val="00350E41"/>
    <w:rsid w:val="003517FB"/>
    <w:rsid w:val="00353F66"/>
    <w:rsid w:val="00355671"/>
    <w:rsid w:val="003562C1"/>
    <w:rsid w:val="003568C9"/>
    <w:rsid w:val="00362556"/>
    <w:rsid w:val="003635A9"/>
    <w:rsid w:val="00363896"/>
    <w:rsid w:val="00364839"/>
    <w:rsid w:val="00366C33"/>
    <w:rsid w:val="00366F4B"/>
    <w:rsid w:val="00367E62"/>
    <w:rsid w:val="00373557"/>
    <w:rsid w:val="00373E4A"/>
    <w:rsid w:val="003740E7"/>
    <w:rsid w:val="00374DEF"/>
    <w:rsid w:val="00376A61"/>
    <w:rsid w:val="003829C6"/>
    <w:rsid w:val="0038335E"/>
    <w:rsid w:val="003857E5"/>
    <w:rsid w:val="00385B6D"/>
    <w:rsid w:val="003922AD"/>
    <w:rsid w:val="00394EDC"/>
    <w:rsid w:val="003A07CD"/>
    <w:rsid w:val="003A1624"/>
    <w:rsid w:val="003A411D"/>
    <w:rsid w:val="003A5F5F"/>
    <w:rsid w:val="003A674E"/>
    <w:rsid w:val="003B1B06"/>
    <w:rsid w:val="003B3C26"/>
    <w:rsid w:val="003B48D0"/>
    <w:rsid w:val="003B771E"/>
    <w:rsid w:val="003C0FD6"/>
    <w:rsid w:val="003C1A93"/>
    <w:rsid w:val="003C3205"/>
    <w:rsid w:val="003C5394"/>
    <w:rsid w:val="003C5EC5"/>
    <w:rsid w:val="003D3166"/>
    <w:rsid w:val="003D3B03"/>
    <w:rsid w:val="003D4691"/>
    <w:rsid w:val="003D7D96"/>
    <w:rsid w:val="003E0EBD"/>
    <w:rsid w:val="003E3B56"/>
    <w:rsid w:val="003E7A1E"/>
    <w:rsid w:val="003F2E0F"/>
    <w:rsid w:val="003F39AF"/>
    <w:rsid w:val="003F52D7"/>
    <w:rsid w:val="003F53FA"/>
    <w:rsid w:val="003F6154"/>
    <w:rsid w:val="003F6C80"/>
    <w:rsid w:val="00401581"/>
    <w:rsid w:val="00401656"/>
    <w:rsid w:val="00402459"/>
    <w:rsid w:val="00402DC7"/>
    <w:rsid w:val="00411286"/>
    <w:rsid w:val="00414CD0"/>
    <w:rsid w:val="004175B9"/>
    <w:rsid w:val="004211C1"/>
    <w:rsid w:val="00422476"/>
    <w:rsid w:val="00424162"/>
    <w:rsid w:val="0043078C"/>
    <w:rsid w:val="0043145B"/>
    <w:rsid w:val="004314D7"/>
    <w:rsid w:val="004315DB"/>
    <w:rsid w:val="0043299E"/>
    <w:rsid w:val="00433D72"/>
    <w:rsid w:val="00436E03"/>
    <w:rsid w:val="00437DD2"/>
    <w:rsid w:val="0044026E"/>
    <w:rsid w:val="00442BAE"/>
    <w:rsid w:val="004448F9"/>
    <w:rsid w:val="004459C0"/>
    <w:rsid w:val="00447199"/>
    <w:rsid w:val="00451107"/>
    <w:rsid w:val="0045148A"/>
    <w:rsid w:val="00462574"/>
    <w:rsid w:val="004639C8"/>
    <w:rsid w:val="00464169"/>
    <w:rsid w:val="00464700"/>
    <w:rsid w:val="00465ED6"/>
    <w:rsid w:val="004665A1"/>
    <w:rsid w:val="0046681E"/>
    <w:rsid w:val="004708B4"/>
    <w:rsid w:val="0047195B"/>
    <w:rsid w:val="0047370F"/>
    <w:rsid w:val="004747E4"/>
    <w:rsid w:val="00476803"/>
    <w:rsid w:val="00477B1B"/>
    <w:rsid w:val="00480E88"/>
    <w:rsid w:val="00481B2C"/>
    <w:rsid w:val="00481CCB"/>
    <w:rsid w:val="004835CB"/>
    <w:rsid w:val="00483652"/>
    <w:rsid w:val="00485170"/>
    <w:rsid w:val="00487396"/>
    <w:rsid w:val="0049138F"/>
    <w:rsid w:val="00494EA5"/>
    <w:rsid w:val="00496FC3"/>
    <w:rsid w:val="00497039"/>
    <w:rsid w:val="004A0403"/>
    <w:rsid w:val="004A26B3"/>
    <w:rsid w:val="004A36EF"/>
    <w:rsid w:val="004A5CAF"/>
    <w:rsid w:val="004B3BDE"/>
    <w:rsid w:val="004B69F9"/>
    <w:rsid w:val="004C10DB"/>
    <w:rsid w:val="004C278F"/>
    <w:rsid w:val="004C29C8"/>
    <w:rsid w:val="004C2E83"/>
    <w:rsid w:val="004C35CD"/>
    <w:rsid w:val="004C42DF"/>
    <w:rsid w:val="004C485F"/>
    <w:rsid w:val="004C5E62"/>
    <w:rsid w:val="004C654B"/>
    <w:rsid w:val="004C7E2C"/>
    <w:rsid w:val="004D0B0B"/>
    <w:rsid w:val="004D10B8"/>
    <w:rsid w:val="004D1DA8"/>
    <w:rsid w:val="004D6AA6"/>
    <w:rsid w:val="004E0513"/>
    <w:rsid w:val="004E6370"/>
    <w:rsid w:val="004F00AE"/>
    <w:rsid w:val="004F5FBC"/>
    <w:rsid w:val="004F69E1"/>
    <w:rsid w:val="004F6F93"/>
    <w:rsid w:val="00500645"/>
    <w:rsid w:val="00500692"/>
    <w:rsid w:val="005016FA"/>
    <w:rsid w:val="00503F10"/>
    <w:rsid w:val="00506640"/>
    <w:rsid w:val="00507616"/>
    <w:rsid w:val="00511C2F"/>
    <w:rsid w:val="005124C8"/>
    <w:rsid w:val="0051287C"/>
    <w:rsid w:val="00513C91"/>
    <w:rsid w:val="00515BC9"/>
    <w:rsid w:val="00517C68"/>
    <w:rsid w:val="00520D82"/>
    <w:rsid w:val="00521B16"/>
    <w:rsid w:val="00522C81"/>
    <w:rsid w:val="00526530"/>
    <w:rsid w:val="00530194"/>
    <w:rsid w:val="0053035E"/>
    <w:rsid w:val="00530AB9"/>
    <w:rsid w:val="00533036"/>
    <w:rsid w:val="00533396"/>
    <w:rsid w:val="00533F8D"/>
    <w:rsid w:val="005342A8"/>
    <w:rsid w:val="0053510E"/>
    <w:rsid w:val="005357BA"/>
    <w:rsid w:val="00535FC8"/>
    <w:rsid w:val="0054107A"/>
    <w:rsid w:val="005445A8"/>
    <w:rsid w:val="00544629"/>
    <w:rsid w:val="0054579B"/>
    <w:rsid w:val="005469C7"/>
    <w:rsid w:val="005506FD"/>
    <w:rsid w:val="005528FB"/>
    <w:rsid w:val="00552C6F"/>
    <w:rsid w:val="00557C95"/>
    <w:rsid w:val="00557DD0"/>
    <w:rsid w:val="00560477"/>
    <w:rsid w:val="00562C41"/>
    <w:rsid w:val="00563C55"/>
    <w:rsid w:val="00564314"/>
    <w:rsid w:val="00565304"/>
    <w:rsid w:val="005674D9"/>
    <w:rsid w:val="00571BCB"/>
    <w:rsid w:val="00572C8C"/>
    <w:rsid w:val="00573837"/>
    <w:rsid w:val="00574771"/>
    <w:rsid w:val="00575A0D"/>
    <w:rsid w:val="00580192"/>
    <w:rsid w:val="0058149F"/>
    <w:rsid w:val="00581893"/>
    <w:rsid w:val="00585744"/>
    <w:rsid w:val="005870E6"/>
    <w:rsid w:val="00594C83"/>
    <w:rsid w:val="00595CBA"/>
    <w:rsid w:val="00595DC3"/>
    <w:rsid w:val="005A11F1"/>
    <w:rsid w:val="005A1DE8"/>
    <w:rsid w:val="005A518D"/>
    <w:rsid w:val="005A735E"/>
    <w:rsid w:val="005A7AF7"/>
    <w:rsid w:val="005A7DC2"/>
    <w:rsid w:val="005B053C"/>
    <w:rsid w:val="005B0996"/>
    <w:rsid w:val="005B5F91"/>
    <w:rsid w:val="005B627B"/>
    <w:rsid w:val="005C2E3C"/>
    <w:rsid w:val="005C6AE4"/>
    <w:rsid w:val="005C6DD8"/>
    <w:rsid w:val="005C7004"/>
    <w:rsid w:val="005C7D37"/>
    <w:rsid w:val="005D459E"/>
    <w:rsid w:val="005D7F6A"/>
    <w:rsid w:val="005E025C"/>
    <w:rsid w:val="005E05A1"/>
    <w:rsid w:val="005E16EE"/>
    <w:rsid w:val="005E21D4"/>
    <w:rsid w:val="005E3933"/>
    <w:rsid w:val="005E4A2C"/>
    <w:rsid w:val="005E638B"/>
    <w:rsid w:val="005F05A4"/>
    <w:rsid w:val="005F0B89"/>
    <w:rsid w:val="005F30BB"/>
    <w:rsid w:val="005F4EA4"/>
    <w:rsid w:val="005F64C0"/>
    <w:rsid w:val="005F72A0"/>
    <w:rsid w:val="00600A2E"/>
    <w:rsid w:val="006013B0"/>
    <w:rsid w:val="006017E7"/>
    <w:rsid w:val="0060250A"/>
    <w:rsid w:val="00605B6A"/>
    <w:rsid w:val="00611051"/>
    <w:rsid w:val="00613584"/>
    <w:rsid w:val="0061368C"/>
    <w:rsid w:val="00616E2C"/>
    <w:rsid w:val="006174D7"/>
    <w:rsid w:val="00622893"/>
    <w:rsid w:val="00630AE3"/>
    <w:rsid w:val="006310FF"/>
    <w:rsid w:val="00634D65"/>
    <w:rsid w:val="00637118"/>
    <w:rsid w:val="006406EB"/>
    <w:rsid w:val="00641991"/>
    <w:rsid w:val="0064486A"/>
    <w:rsid w:val="00645235"/>
    <w:rsid w:val="00645B7C"/>
    <w:rsid w:val="00646FAB"/>
    <w:rsid w:val="00650703"/>
    <w:rsid w:val="006517CE"/>
    <w:rsid w:val="00654846"/>
    <w:rsid w:val="00654CAD"/>
    <w:rsid w:val="00656BD1"/>
    <w:rsid w:val="00657652"/>
    <w:rsid w:val="0066067C"/>
    <w:rsid w:val="00661E6B"/>
    <w:rsid w:val="0066310A"/>
    <w:rsid w:val="00664D24"/>
    <w:rsid w:val="00666AE2"/>
    <w:rsid w:val="00666F74"/>
    <w:rsid w:val="00667F7C"/>
    <w:rsid w:val="0067208F"/>
    <w:rsid w:val="006747AF"/>
    <w:rsid w:val="00675EE7"/>
    <w:rsid w:val="006769A9"/>
    <w:rsid w:val="00676F5F"/>
    <w:rsid w:val="00677B36"/>
    <w:rsid w:val="00682AB7"/>
    <w:rsid w:val="00685FF0"/>
    <w:rsid w:val="00687401"/>
    <w:rsid w:val="00687DD5"/>
    <w:rsid w:val="00690992"/>
    <w:rsid w:val="0069471A"/>
    <w:rsid w:val="006962CA"/>
    <w:rsid w:val="006968C7"/>
    <w:rsid w:val="00697A73"/>
    <w:rsid w:val="006A2643"/>
    <w:rsid w:val="006A277C"/>
    <w:rsid w:val="006A3F52"/>
    <w:rsid w:val="006A42D6"/>
    <w:rsid w:val="006A5F51"/>
    <w:rsid w:val="006A7B14"/>
    <w:rsid w:val="006B15B9"/>
    <w:rsid w:val="006B478A"/>
    <w:rsid w:val="006B76B0"/>
    <w:rsid w:val="006C171E"/>
    <w:rsid w:val="006C38EB"/>
    <w:rsid w:val="006C6042"/>
    <w:rsid w:val="006D112D"/>
    <w:rsid w:val="006D1C82"/>
    <w:rsid w:val="006D1D62"/>
    <w:rsid w:val="006D271C"/>
    <w:rsid w:val="006D297F"/>
    <w:rsid w:val="006D32C8"/>
    <w:rsid w:val="006D3E33"/>
    <w:rsid w:val="006D5337"/>
    <w:rsid w:val="006E231D"/>
    <w:rsid w:val="006E51AA"/>
    <w:rsid w:val="006F2D6A"/>
    <w:rsid w:val="006F6242"/>
    <w:rsid w:val="006F6632"/>
    <w:rsid w:val="006F733A"/>
    <w:rsid w:val="006F7A4F"/>
    <w:rsid w:val="006F7B84"/>
    <w:rsid w:val="007003DE"/>
    <w:rsid w:val="007023B6"/>
    <w:rsid w:val="00702F7E"/>
    <w:rsid w:val="00705C2C"/>
    <w:rsid w:val="00710059"/>
    <w:rsid w:val="00712108"/>
    <w:rsid w:val="00713185"/>
    <w:rsid w:val="0071430A"/>
    <w:rsid w:val="00714DF8"/>
    <w:rsid w:val="00716593"/>
    <w:rsid w:val="007225E5"/>
    <w:rsid w:val="00722B92"/>
    <w:rsid w:val="00725687"/>
    <w:rsid w:val="00726672"/>
    <w:rsid w:val="00726682"/>
    <w:rsid w:val="00727828"/>
    <w:rsid w:val="00731447"/>
    <w:rsid w:val="00733FED"/>
    <w:rsid w:val="00733FF2"/>
    <w:rsid w:val="00735A70"/>
    <w:rsid w:val="00736AFC"/>
    <w:rsid w:val="00737436"/>
    <w:rsid w:val="00740ACC"/>
    <w:rsid w:val="00741A37"/>
    <w:rsid w:val="00742B55"/>
    <w:rsid w:val="00743E73"/>
    <w:rsid w:val="007455EA"/>
    <w:rsid w:val="00745711"/>
    <w:rsid w:val="007539D5"/>
    <w:rsid w:val="007559CD"/>
    <w:rsid w:val="00757CCA"/>
    <w:rsid w:val="00761327"/>
    <w:rsid w:val="00762D30"/>
    <w:rsid w:val="00766D51"/>
    <w:rsid w:val="007703E1"/>
    <w:rsid w:val="00772B97"/>
    <w:rsid w:val="0077405F"/>
    <w:rsid w:val="0077528D"/>
    <w:rsid w:val="00775A7E"/>
    <w:rsid w:val="00776ED5"/>
    <w:rsid w:val="007778DB"/>
    <w:rsid w:val="00780035"/>
    <w:rsid w:val="00782FD8"/>
    <w:rsid w:val="0078626E"/>
    <w:rsid w:val="00792AFF"/>
    <w:rsid w:val="00797552"/>
    <w:rsid w:val="007A02AB"/>
    <w:rsid w:val="007A3A03"/>
    <w:rsid w:val="007A3B5D"/>
    <w:rsid w:val="007A4EC1"/>
    <w:rsid w:val="007A515F"/>
    <w:rsid w:val="007A6334"/>
    <w:rsid w:val="007A77D9"/>
    <w:rsid w:val="007A7893"/>
    <w:rsid w:val="007B3775"/>
    <w:rsid w:val="007B478E"/>
    <w:rsid w:val="007B4A18"/>
    <w:rsid w:val="007B51A3"/>
    <w:rsid w:val="007B6325"/>
    <w:rsid w:val="007C0C27"/>
    <w:rsid w:val="007C1C36"/>
    <w:rsid w:val="007C21E2"/>
    <w:rsid w:val="007C2604"/>
    <w:rsid w:val="007C74BF"/>
    <w:rsid w:val="007D0B26"/>
    <w:rsid w:val="007D1563"/>
    <w:rsid w:val="007D2C98"/>
    <w:rsid w:val="007D3609"/>
    <w:rsid w:val="007D3BA0"/>
    <w:rsid w:val="007D6808"/>
    <w:rsid w:val="007E0C6E"/>
    <w:rsid w:val="007E210D"/>
    <w:rsid w:val="007E4D2C"/>
    <w:rsid w:val="007F07BB"/>
    <w:rsid w:val="007F3E04"/>
    <w:rsid w:val="007F5CAD"/>
    <w:rsid w:val="007F5D62"/>
    <w:rsid w:val="007F6816"/>
    <w:rsid w:val="007F7B34"/>
    <w:rsid w:val="0080204E"/>
    <w:rsid w:val="0080322F"/>
    <w:rsid w:val="00805587"/>
    <w:rsid w:val="00806DD5"/>
    <w:rsid w:val="00807E48"/>
    <w:rsid w:val="00811FA7"/>
    <w:rsid w:val="00812872"/>
    <w:rsid w:val="00812A00"/>
    <w:rsid w:val="008132D0"/>
    <w:rsid w:val="00814222"/>
    <w:rsid w:val="00814881"/>
    <w:rsid w:val="00814E2D"/>
    <w:rsid w:val="0082085D"/>
    <w:rsid w:val="008219F9"/>
    <w:rsid w:val="00841084"/>
    <w:rsid w:val="00843534"/>
    <w:rsid w:val="00843B0B"/>
    <w:rsid w:val="00843DD3"/>
    <w:rsid w:val="0084486D"/>
    <w:rsid w:val="00845EDB"/>
    <w:rsid w:val="00847562"/>
    <w:rsid w:val="00850B01"/>
    <w:rsid w:val="00853E78"/>
    <w:rsid w:val="00855FD2"/>
    <w:rsid w:val="008578EC"/>
    <w:rsid w:val="00862E58"/>
    <w:rsid w:val="00863749"/>
    <w:rsid w:val="0086402B"/>
    <w:rsid w:val="008707F9"/>
    <w:rsid w:val="008728D1"/>
    <w:rsid w:val="008747A9"/>
    <w:rsid w:val="00874B63"/>
    <w:rsid w:val="008779ED"/>
    <w:rsid w:val="008827BB"/>
    <w:rsid w:val="00883396"/>
    <w:rsid w:val="0088385C"/>
    <w:rsid w:val="00884102"/>
    <w:rsid w:val="00886B5F"/>
    <w:rsid w:val="00891FCF"/>
    <w:rsid w:val="008936B1"/>
    <w:rsid w:val="008972D7"/>
    <w:rsid w:val="008976BB"/>
    <w:rsid w:val="008A2D58"/>
    <w:rsid w:val="008A2E0B"/>
    <w:rsid w:val="008A447F"/>
    <w:rsid w:val="008A57C3"/>
    <w:rsid w:val="008A66B1"/>
    <w:rsid w:val="008B06A1"/>
    <w:rsid w:val="008B1504"/>
    <w:rsid w:val="008B22A9"/>
    <w:rsid w:val="008B420F"/>
    <w:rsid w:val="008B4524"/>
    <w:rsid w:val="008B4C9F"/>
    <w:rsid w:val="008B4FD2"/>
    <w:rsid w:val="008B71C7"/>
    <w:rsid w:val="008C0991"/>
    <w:rsid w:val="008C0E36"/>
    <w:rsid w:val="008C64EB"/>
    <w:rsid w:val="008C6ADC"/>
    <w:rsid w:val="008C6BC8"/>
    <w:rsid w:val="008C6F96"/>
    <w:rsid w:val="008D4B1D"/>
    <w:rsid w:val="008D53C1"/>
    <w:rsid w:val="008D5647"/>
    <w:rsid w:val="008D56F2"/>
    <w:rsid w:val="008D6AC1"/>
    <w:rsid w:val="008D6FF1"/>
    <w:rsid w:val="008D7AC3"/>
    <w:rsid w:val="008D7D49"/>
    <w:rsid w:val="008E0B9E"/>
    <w:rsid w:val="008E1823"/>
    <w:rsid w:val="008E59DD"/>
    <w:rsid w:val="008E6799"/>
    <w:rsid w:val="008E730F"/>
    <w:rsid w:val="008F5778"/>
    <w:rsid w:val="008F5DA6"/>
    <w:rsid w:val="00900D0F"/>
    <w:rsid w:val="009012E3"/>
    <w:rsid w:val="00901BFF"/>
    <w:rsid w:val="00902239"/>
    <w:rsid w:val="009058F9"/>
    <w:rsid w:val="009061C9"/>
    <w:rsid w:val="00907F14"/>
    <w:rsid w:val="0091481B"/>
    <w:rsid w:val="0091616B"/>
    <w:rsid w:val="00916370"/>
    <w:rsid w:val="00916B55"/>
    <w:rsid w:val="00921AEB"/>
    <w:rsid w:val="00924DFA"/>
    <w:rsid w:val="00926487"/>
    <w:rsid w:val="00926AD6"/>
    <w:rsid w:val="009314F2"/>
    <w:rsid w:val="009319FB"/>
    <w:rsid w:val="00932578"/>
    <w:rsid w:val="00932765"/>
    <w:rsid w:val="00935F65"/>
    <w:rsid w:val="00941437"/>
    <w:rsid w:val="009442E8"/>
    <w:rsid w:val="00945D28"/>
    <w:rsid w:val="009506B0"/>
    <w:rsid w:val="00950733"/>
    <w:rsid w:val="00951F92"/>
    <w:rsid w:val="009541A6"/>
    <w:rsid w:val="009572E1"/>
    <w:rsid w:val="00962C1A"/>
    <w:rsid w:val="009658F6"/>
    <w:rsid w:val="00967061"/>
    <w:rsid w:val="0097052E"/>
    <w:rsid w:val="00970F4C"/>
    <w:rsid w:val="00972EA1"/>
    <w:rsid w:val="0097588E"/>
    <w:rsid w:val="0098016B"/>
    <w:rsid w:val="00982368"/>
    <w:rsid w:val="00982AE4"/>
    <w:rsid w:val="009855D2"/>
    <w:rsid w:val="009862DF"/>
    <w:rsid w:val="00986CCD"/>
    <w:rsid w:val="00987499"/>
    <w:rsid w:val="00987D0B"/>
    <w:rsid w:val="00991211"/>
    <w:rsid w:val="009929D9"/>
    <w:rsid w:val="00992EDC"/>
    <w:rsid w:val="009943D3"/>
    <w:rsid w:val="009946AC"/>
    <w:rsid w:val="00994B0B"/>
    <w:rsid w:val="00994DAC"/>
    <w:rsid w:val="009975EB"/>
    <w:rsid w:val="009A12E2"/>
    <w:rsid w:val="009A65A0"/>
    <w:rsid w:val="009B018A"/>
    <w:rsid w:val="009B0D0D"/>
    <w:rsid w:val="009B18BB"/>
    <w:rsid w:val="009B322B"/>
    <w:rsid w:val="009B3426"/>
    <w:rsid w:val="009B4CFC"/>
    <w:rsid w:val="009B599A"/>
    <w:rsid w:val="009B6FB4"/>
    <w:rsid w:val="009C1A17"/>
    <w:rsid w:val="009C4973"/>
    <w:rsid w:val="009C4FD8"/>
    <w:rsid w:val="009C5CF5"/>
    <w:rsid w:val="009D2386"/>
    <w:rsid w:val="009D3222"/>
    <w:rsid w:val="009D67E0"/>
    <w:rsid w:val="009E6EF3"/>
    <w:rsid w:val="009F00E9"/>
    <w:rsid w:val="009F18EF"/>
    <w:rsid w:val="009F20BF"/>
    <w:rsid w:val="009F4DDA"/>
    <w:rsid w:val="009F500E"/>
    <w:rsid w:val="009F611A"/>
    <w:rsid w:val="009F6E0A"/>
    <w:rsid w:val="009F7B9D"/>
    <w:rsid w:val="00A0042F"/>
    <w:rsid w:val="00A045C7"/>
    <w:rsid w:val="00A04A06"/>
    <w:rsid w:val="00A04F86"/>
    <w:rsid w:val="00A05204"/>
    <w:rsid w:val="00A11093"/>
    <w:rsid w:val="00A22D01"/>
    <w:rsid w:val="00A232FC"/>
    <w:rsid w:val="00A255C6"/>
    <w:rsid w:val="00A30C91"/>
    <w:rsid w:val="00A33567"/>
    <w:rsid w:val="00A34C40"/>
    <w:rsid w:val="00A35071"/>
    <w:rsid w:val="00A35086"/>
    <w:rsid w:val="00A364F7"/>
    <w:rsid w:val="00A4365A"/>
    <w:rsid w:val="00A44159"/>
    <w:rsid w:val="00A4777F"/>
    <w:rsid w:val="00A5068F"/>
    <w:rsid w:val="00A50792"/>
    <w:rsid w:val="00A5107F"/>
    <w:rsid w:val="00A51C42"/>
    <w:rsid w:val="00A522F8"/>
    <w:rsid w:val="00A52DC9"/>
    <w:rsid w:val="00A52E49"/>
    <w:rsid w:val="00A53584"/>
    <w:rsid w:val="00A53641"/>
    <w:rsid w:val="00A53AEB"/>
    <w:rsid w:val="00A551B3"/>
    <w:rsid w:val="00A55AC0"/>
    <w:rsid w:val="00A60B0A"/>
    <w:rsid w:val="00A612EB"/>
    <w:rsid w:val="00A678D6"/>
    <w:rsid w:val="00A708AB"/>
    <w:rsid w:val="00A709D7"/>
    <w:rsid w:val="00A71095"/>
    <w:rsid w:val="00A72B5E"/>
    <w:rsid w:val="00A8115A"/>
    <w:rsid w:val="00A8119D"/>
    <w:rsid w:val="00A81C1A"/>
    <w:rsid w:val="00A832BD"/>
    <w:rsid w:val="00A8459A"/>
    <w:rsid w:val="00A84B28"/>
    <w:rsid w:val="00A859BA"/>
    <w:rsid w:val="00A86D26"/>
    <w:rsid w:val="00A86EB1"/>
    <w:rsid w:val="00A9021A"/>
    <w:rsid w:val="00A90D55"/>
    <w:rsid w:val="00A9401B"/>
    <w:rsid w:val="00A946C6"/>
    <w:rsid w:val="00A947E4"/>
    <w:rsid w:val="00A94FBE"/>
    <w:rsid w:val="00A95456"/>
    <w:rsid w:val="00A95BFA"/>
    <w:rsid w:val="00A9603B"/>
    <w:rsid w:val="00AA0862"/>
    <w:rsid w:val="00AA127F"/>
    <w:rsid w:val="00AA4A0E"/>
    <w:rsid w:val="00AA4C98"/>
    <w:rsid w:val="00AB1322"/>
    <w:rsid w:val="00AB1D3C"/>
    <w:rsid w:val="00AB3BE4"/>
    <w:rsid w:val="00AB4DBB"/>
    <w:rsid w:val="00AB5E82"/>
    <w:rsid w:val="00AB7561"/>
    <w:rsid w:val="00AC187A"/>
    <w:rsid w:val="00AC279C"/>
    <w:rsid w:val="00AC2CA8"/>
    <w:rsid w:val="00AD1B6C"/>
    <w:rsid w:val="00AD1BAB"/>
    <w:rsid w:val="00AE0BBE"/>
    <w:rsid w:val="00AE1169"/>
    <w:rsid w:val="00AE30FB"/>
    <w:rsid w:val="00AE5333"/>
    <w:rsid w:val="00AE6791"/>
    <w:rsid w:val="00AE6CD8"/>
    <w:rsid w:val="00AF0AB8"/>
    <w:rsid w:val="00AF0FEB"/>
    <w:rsid w:val="00AF14B2"/>
    <w:rsid w:val="00AF2EC5"/>
    <w:rsid w:val="00AF30E3"/>
    <w:rsid w:val="00AF4A71"/>
    <w:rsid w:val="00AF5314"/>
    <w:rsid w:val="00AF5E1F"/>
    <w:rsid w:val="00AF6F64"/>
    <w:rsid w:val="00AF7AD4"/>
    <w:rsid w:val="00B01E6C"/>
    <w:rsid w:val="00B02541"/>
    <w:rsid w:val="00B0300D"/>
    <w:rsid w:val="00B07FF5"/>
    <w:rsid w:val="00B1092C"/>
    <w:rsid w:val="00B11788"/>
    <w:rsid w:val="00B11F53"/>
    <w:rsid w:val="00B12AD3"/>
    <w:rsid w:val="00B175FC"/>
    <w:rsid w:val="00B22819"/>
    <w:rsid w:val="00B245D6"/>
    <w:rsid w:val="00B25DD7"/>
    <w:rsid w:val="00B26F31"/>
    <w:rsid w:val="00B27E0C"/>
    <w:rsid w:val="00B317E1"/>
    <w:rsid w:val="00B343B5"/>
    <w:rsid w:val="00B35920"/>
    <w:rsid w:val="00B37249"/>
    <w:rsid w:val="00B4031F"/>
    <w:rsid w:val="00B409D0"/>
    <w:rsid w:val="00B42CA9"/>
    <w:rsid w:val="00B477C5"/>
    <w:rsid w:val="00B50509"/>
    <w:rsid w:val="00B50F4D"/>
    <w:rsid w:val="00B51656"/>
    <w:rsid w:val="00B52BAF"/>
    <w:rsid w:val="00B53FB9"/>
    <w:rsid w:val="00B604E7"/>
    <w:rsid w:val="00B627F1"/>
    <w:rsid w:val="00B65CBE"/>
    <w:rsid w:val="00B66C51"/>
    <w:rsid w:val="00B712D1"/>
    <w:rsid w:val="00B7359E"/>
    <w:rsid w:val="00B73C8E"/>
    <w:rsid w:val="00B76A8E"/>
    <w:rsid w:val="00B77C85"/>
    <w:rsid w:val="00B800A4"/>
    <w:rsid w:val="00B82F2C"/>
    <w:rsid w:val="00B83481"/>
    <w:rsid w:val="00B856E1"/>
    <w:rsid w:val="00B85BE0"/>
    <w:rsid w:val="00B86837"/>
    <w:rsid w:val="00B87875"/>
    <w:rsid w:val="00B9163F"/>
    <w:rsid w:val="00B975B8"/>
    <w:rsid w:val="00B97D89"/>
    <w:rsid w:val="00BA2E72"/>
    <w:rsid w:val="00BA3253"/>
    <w:rsid w:val="00BA33E7"/>
    <w:rsid w:val="00BA7E55"/>
    <w:rsid w:val="00BB1E9C"/>
    <w:rsid w:val="00BB208C"/>
    <w:rsid w:val="00BB3299"/>
    <w:rsid w:val="00BB3F2F"/>
    <w:rsid w:val="00BB4ECD"/>
    <w:rsid w:val="00BB4FF6"/>
    <w:rsid w:val="00BB57B7"/>
    <w:rsid w:val="00BB6672"/>
    <w:rsid w:val="00BC1374"/>
    <w:rsid w:val="00BC1938"/>
    <w:rsid w:val="00BC3E3B"/>
    <w:rsid w:val="00BC43A1"/>
    <w:rsid w:val="00BC47D1"/>
    <w:rsid w:val="00BC5039"/>
    <w:rsid w:val="00BC51A1"/>
    <w:rsid w:val="00BD025C"/>
    <w:rsid w:val="00BD0CE6"/>
    <w:rsid w:val="00BD1782"/>
    <w:rsid w:val="00BD21D9"/>
    <w:rsid w:val="00BD4921"/>
    <w:rsid w:val="00BD4C39"/>
    <w:rsid w:val="00BD58C1"/>
    <w:rsid w:val="00BD72A4"/>
    <w:rsid w:val="00BD7589"/>
    <w:rsid w:val="00BE23E3"/>
    <w:rsid w:val="00BE2AE9"/>
    <w:rsid w:val="00BE4E00"/>
    <w:rsid w:val="00BF03D3"/>
    <w:rsid w:val="00BF2E93"/>
    <w:rsid w:val="00BF683B"/>
    <w:rsid w:val="00C005FE"/>
    <w:rsid w:val="00C02543"/>
    <w:rsid w:val="00C06122"/>
    <w:rsid w:val="00C06324"/>
    <w:rsid w:val="00C07E09"/>
    <w:rsid w:val="00C10029"/>
    <w:rsid w:val="00C10A2B"/>
    <w:rsid w:val="00C1303B"/>
    <w:rsid w:val="00C13F62"/>
    <w:rsid w:val="00C14D52"/>
    <w:rsid w:val="00C204E1"/>
    <w:rsid w:val="00C2318D"/>
    <w:rsid w:val="00C238A2"/>
    <w:rsid w:val="00C2539F"/>
    <w:rsid w:val="00C25455"/>
    <w:rsid w:val="00C31299"/>
    <w:rsid w:val="00C32002"/>
    <w:rsid w:val="00C32D52"/>
    <w:rsid w:val="00C34A03"/>
    <w:rsid w:val="00C368FB"/>
    <w:rsid w:val="00C4348A"/>
    <w:rsid w:val="00C440D8"/>
    <w:rsid w:val="00C44524"/>
    <w:rsid w:val="00C45649"/>
    <w:rsid w:val="00C52D84"/>
    <w:rsid w:val="00C52FB5"/>
    <w:rsid w:val="00C542AC"/>
    <w:rsid w:val="00C62818"/>
    <w:rsid w:val="00C64309"/>
    <w:rsid w:val="00C67AFC"/>
    <w:rsid w:val="00C72F15"/>
    <w:rsid w:val="00C7520D"/>
    <w:rsid w:val="00C76819"/>
    <w:rsid w:val="00C76D9E"/>
    <w:rsid w:val="00C77F48"/>
    <w:rsid w:val="00C8034E"/>
    <w:rsid w:val="00C80762"/>
    <w:rsid w:val="00C83212"/>
    <w:rsid w:val="00C8518F"/>
    <w:rsid w:val="00C87E58"/>
    <w:rsid w:val="00C91272"/>
    <w:rsid w:val="00C933B6"/>
    <w:rsid w:val="00C973C6"/>
    <w:rsid w:val="00CA116D"/>
    <w:rsid w:val="00CA33CE"/>
    <w:rsid w:val="00CA4F6A"/>
    <w:rsid w:val="00CA6484"/>
    <w:rsid w:val="00CA6B73"/>
    <w:rsid w:val="00CA7CA1"/>
    <w:rsid w:val="00CB01F1"/>
    <w:rsid w:val="00CB10C4"/>
    <w:rsid w:val="00CB2717"/>
    <w:rsid w:val="00CB2928"/>
    <w:rsid w:val="00CB4176"/>
    <w:rsid w:val="00CB5440"/>
    <w:rsid w:val="00CB63B9"/>
    <w:rsid w:val="00CB69B8"/>
    <w:rsid w:val="00CB69D3"/>
    <w:rsid w:val="00CC02D8"/>
    <w:rsid w:val="00CC2C2A"/>
    <w:rsid w:val="00CC6747"/>
    <w:rsid w:val="00CC7994"/>
    <w:rsid w:val="00CD3ED1"/>
    <w:rsid w:val="00CD5503"/>
    <w:rsid w:val="00CD626F"/>
    <w:rsid w:val="00CE0315"/>
    <w:rsid w:val="00CE0439"/>
    <w:rsid w:val="00CE0F37"/>
    <w:rsid w:val="00CE168E"/>
    <w:rsid w:val="00CE1771"/>
    <w:rsid w:val="00CE1989"/>
    <w:rsid w:val="00CE3302"/>
    <w:rsid w:val="00CE78EA"/>
    <w:rsid w:val="00CF2B12"/>
    <w:rsid w:val="00CF2F1F"/>
    <w:rsid w:val="00CF3241"/>
    <w:rsid w:val="00CF4E62"/>
    <w:rsid w:val="00CF684F"/>
    <w:rsid w:val="00CF7FD6"/>
    <w:rsid w:val="00D0203B"/>
    <w:rsid w:val="00D04296"/>
    <w:rsid w:val="00D06D6A"/>
    <w:rsid w:val="00D0780E"/>
    <w:rsid w:val="00D07BF9"/>
    <w:rsid w:val="00D10C5B"/>
    <w:rsid w:val="00D11BE6"/>
    <w:rsid w:val="00D13F00"/>
    <w:rsid w:val="00D151CC"/>
    <w:rsid w:val="00D15F8A"/>
    <w:rsid w:val="00D17FA2"/>
    <w:rsid w:val="00D21985"/>
    <w:rsid w:val="00D21DCD"/>
    <w:rsid w:val="00D3031F"/>
    <w:rsid w:val="00D30801"/>
    <w:rsid w:val="00D321FC"/>
    <w:rsid w:val="00D325C3"/>
    <w:rsid w:val="00D3416E"/>
    <w:rsid w:val="00D367B7"/>
    <w:rsid w:val="00D41330"/>
    <w:rsid w:val="00D438B6"/>
    <w:rsid w:val="00D446AE"/>
    <w:rsid w:val="00D45928"/>
    <w:rsid w:val="00D5089B"/>
    <w:rsid w:val="00D513F7"/>
    <w:rsid w:val="00D52E58"/>
    <w:rsid w:val="00D53B28"/>
    <w:rsid w:val="00D53F55"/>
    <w:rsid w:val="00D60775"/>
    <w:rsid w:val="00D64AEC"/>
    <w:rsid w:val="00D67C87"/>
    <w:rsid w:val="00D73077"/>
    <w:rsid w:val="00D73F5A"/>
    <w:rsid w:val="00D800C2"/>
    <w:rsid w:val="00D82F3D"/>
    <w:rsid w:val="00D83C24"/>
    <w:rsid w:val="00D85791"/>
    <w:rsid w:val="00D86E02"/>
    <w:rsid w:val="00D87FB7"/>
    <w:rsid w:val="00D9237D"/>
    <w:rsid w:val="00D93044"/>
    <w:rsid w:val="00D94584"/>
    <w:rsid w:val="00D9477F"/>
    <w:rsid w:val="00D9682A"/>
    <w:rsid w:val="00D96EDB"/>
    <w:rsid w:val="00DA0013"/>
    <w:rsid w:val="00DA0A23"/>
    <w:rsid w:val="00DA2553"/>
    <w:rsid w:val="00DA354A"/>
    <w:rsid w:val="00DA42A1"/>
    <w:rsid w:val="00DA4A67"/>
    <w:rsid w:val="00DA5792"/>
    <w:rsid w:val="00DA64C9"/>
    <w:rsid w:val="00DA754F"/>
    <w:rsid w:val="00DA7D51"/>
    <w:rsid w:val="00DB062A"/>
    <w:rsid w:val="00DB07FE"/>
    <w:rsid w:val="00DC428F"/>
    <w:rsid w:val="00DC55FA"/>
    <w:rsid w:val="00DC7433"/>
    <w:rsid w:val="00DD1951"/>
    <w:rsid w:val="00DD24BC"/>
    <w:rsid w:val="00DD2CD3"/>
    <w:rsid w:val="00DD35E4"/>
    <w:rsid w:val="00DD4374"/>
    <w:rsid w:val="00DD584F"/>
    <w:rsid w:val="00DD61E4"/>
    <w:rsid w:val="00DE1218"/>
    <w:rsid w:val="00DF2615"/>
    <w:rsid w:val="00DF336A"/>
    <w:rsid w:val="00DF47FF"/>
    <w:rsid w:val="00DF5959"/>
    <w:rsid w:val="00DF62D9"/>
    <w:rsid w:val="00DF692B"/>
    <w:rsid w:val="00DF7FF8"/>
    <w:rsid w:val="00E01D09"/>
    <w:rsid w:val="00E02414"/>
    <w:rsid w:val="00E05820"/>
    <w:rsid w:val="00E06E4F"/>
    <w:rsid w:val="00E1064F"/>
    <w:rsid w:val="00E10A45"/>
    <w:rsid w:val="00E1246B"/>
    <w:rsid w:val="00E13381"/>
    <w:rsid w:val="00E13CB2"/>
    <w:rsid w:val="00E152B8"/>
    <w:rsid w:val="00E153DF"/>
    <w:rsid w:val="00E15CF1"/>
    <w:rsid w:val="00E20C0D"/>
    <w:rsid w:val="00E24A9C"/>
    <w:rsid w:val="00E27EFC"/>
    <w:rsid w:val="00E32FB5"/>
    <w:rsid w:val="00E33C1F"/>
    <w:rsid w:val="00E340AE"/>
    <w:rsid w:val="00E34704"/>
    <w:rsid w:val="00E34E50"/>
    <w:rsid w:val="00E35508"/>
    <w:rsid w:val="00E3553A"/>
    <w:rsid w:val="00E3591D"/>
    <w:rsid w:val="00E35B32"/>
    <w:rsid w:val="00E36A41"/>
    <w:rsid w:val="00E37D15"/>
    <w:rsid w:val="00E43909"/>
    <w:rsid w:val="00E43AB4"/>
    <w:rsid w:val="00E45248"/>
    <w:rsid w:val="00E45A22"/>
    <w:rsid w:val="00E45A2B"/>
    <w:rsid w:val="00E45B25"/>
    <w:rsid w:val="00E4757D"/>
    <w:rsid w:val="00E532F6"/>
    <w:rsid w:val="00E53DA3"/>
    <w:rsid w:val="00E5592C"/>
    <w:rsid w:val="00E56802"/>
    <w:rsid w:val="00E63968"/>
    <w:rsid w:val="00E652A3"/>
    <w:rsid w:val="00E66134"/>
    <w:rsid w:val="00E66278"/>
    <w:rsid w:val="00E711DB"/>
    <w:rsid w:val="00E72C74"/>
    <w:rsid w:val="00E75F2D"/>
    <w:rsid w:val="00E7732D"/>
    <w:rsid w:val="00E8130C"/>
    <w:rsid w:val="00E81B64"/>
    <w:rsid w:val="00E81DB5"/>
    <w:rsid w:val="00E8320E"/>
    <w:rsid w:val="00E83CF9"/>
    <w:rsid w:val="00E84B25"/>
    <w:rsid w:val="00E8580D"/>
    <w:rsid w:val="00E87380"/>
    <w:rsid w:val="00E87EE3"/>
    <w:rsid w:val="00E9010E"/>
    <w:rsid w:val="00E9208C"/>
    <w:rsid w:val="00E932F0"/>
    <w:rsid w:val="00E939DD"/>
    <w:rsid w:val="00E96CE9"/>
    <w:rsid w:val="00EA0759"/>
    <w:rsid w:val="00EA2ED7"/>
    <w:rsid w:val="00EA347E"/>
    <w:rsid w:val="00EA41AF"/>
    <w:rsid w:val="00EA4FD1"/>
    <w:rsid w:val="00EA51CC"/>
    <w:rsid w:val="00EB1041"/>
    <w:rsid w:val="00EB316D"/>
    <w:rsid w:val="00EB3541"/>
    <w:rsid w:val="00EB6DBE"/>
    <w:rsid w:val="00EC21B0"/>
    <w:rsid w:val="00EC2CEA"/>
    <w:rsid w:val="00EC6105"/>
    <w:rsid w:val="00EC74EE"/>
    <w:rsid w:val="00EC7EF2"/>
    <w:rsid w:val="00ED0756"/>
    <w:rsid w:val="00ED3868"/>
    <w:rsid w:val="00ED4813"/>
    <w:rsid w:val="00EE09FC"/>
    <w:rsid w:val="00EE0A4F"/>
    <w:rsid w:val="00EE59D2"/>
    <w:rsid w:val="00EE6DB3"/>
    <w:rsid w:val="00EF0A70"/>
    <w:rsid w:val="00EF36C0"/>
    <w:rsid w:val="00EF5E7F"/>
    <w:rsid w:val="00F00201"/>
    <w:rsid w:val="00F00874"/>
    <w:rsid w:val="00F01DDD"/>
    <w:rsid w:val="00F03C0E"/>
    <w:rsid w:val="00F0459C"/>
    <w:rsid w:val="00F049BC"/>
    <w:rsid w:val="00F06AD6"/>
    <w:rsid w:val="00F06B6D"/>
    <w:rsid w:val="00F070F6"/>
    <w:rsid w:val="00F07639"/>
    <w:rsid w:val="00F10664"/>
    <w:rsid w:val="00F10E9A"/>
    <w:rsid w:val="00F11925"/>
    <w:rsid w:val="00F12274"/>
    <w:rsid w:val="00F152BD"/>
    <w:rsid w:val="00F15704"/>
    <w:rsid w:val="00F167E0"/>
    <w:rsid w:val="00F16FAE"/>
    <w:rsid w:val="00F20638"/>
    <w:rsid w:val="00F226A2"/>
    <w:rsid w:val="00F27C8B"/>
    <w:rsid w:val="00F33FE9"/>
    <w:rsid w:val="00F356CA"/>
    <w:rsid w:val="00F369DE"/>
    <w:rsid w:val="00F36D33"/>
    <w:rsid w:val="00F36E78"/>
    <w:rsid w:val="00F40D68"/>
    <w:rsid w:val="00F42894"/>
    <w:rsid w:val="00F46A5E"/>
    <w:rsid w:val="00F47517"/>
    <w:rsid w:val="00F47A9C"/>
    <w:rsid w:val="00F50316"/>
    <w:rsid w:val="00F50A4D"/>
    <w:rsid w:val="00F52F96"/>
    <w:rsid w:val="00F53505"/>
    <w:rsid w:val="00F54C2E"/>
    <w:rsid w:val="00F56AFB"/>
    <w:rsid w:val="00F613D0"/>
    <w:rsid w:val="00F61645"/>
    <w:rsid w:val="00F61C08"/>
    <w:rsid w:val="00F70226"/>
    <w:rsid w:val="00F70533"/>
    <w:rsid w:val="00F7207F"/>
    <w:rsid w:val="00F72447"/>
    <w:rsid w:val="00F724A7"/>
    <w:rsid w:val="00F734FE"/>
    <w:rsid w:val="00F74E9B"/>
    <w:rsid w:val="00F77650"/>
    <w:rsid w:val="00F849DD"/>
    <w:rsid w:val="00F861CE"/>
    <w:rsid w:val="00F864B1"/>
    <w:rsid w:val="00F866BE"/>
    <w:rsid w:val="00F9033C"/>
    <w:rsid w:val="00F91BFF"/>
    <w:rsid w:val="00F92482"/>
    <w:rsid w:val="00F9392B"/>
    <w:rsid w:val="00F95169"/>
    <w:rsid w:val="00F970A0"/>
    <w:rsid w:val="00FA152F"/>
    <w:rsid w:val="00FA2835"/>
    <w:rsid w:val="00FA32E5"/>
    <w:rsid w:val="00FA44B1"/>
    <w:rsid w:val="00FA6903"/>
    <w:rsid w:val="00FB0BDD"/>
    <w:rsid w:val="00FB3A93"/>
    <w:rsid w:val="00FC1AED"/>
    <w:rsid w:val="00FC5793"/>
    <w:rsid w:val="00FC58C2"/>
    <w:rsid w:val="00FC7FE1"/>
    <w:rsid w:val="00FD064B"/>
    <w:rsid w:val="00FD1ACB"/>
    <w:rsid w:val="00FD1DD5"/>
    <w:rsid w:val="00FD29A4"/>
    <w:rsid w:val="00FD2EE1"/>
    <w:rsid w:val="00FD3820"/>
    <w:rsid w:val="00FD5E0E"/>
    <w:rsid w:val="00FD5E20"/>
    <w:rsid w:val="00FD7A30"/>
    <w:rsid w:val="00FD7DAE"/>
    <w:rsid w:val="00FE494B"/>
    <w:rsid w:val="00FE5337"/>
    <w:rsid w:val="00FE5643"/>
    <w:rsid w:val="00FF2542"/>
    <w:rsid w:val="00FF352C"/>
    <w:rsid w:val="00FF3744"/>
    <w:rsid w:val="00FF50BC"/>
    <w:rsid w:val="2C48A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561F2C35"/>
  <w15:chartTrackingRefBased/>
  <w15:docId w15:val="{7EBBDCF9-8439-4D43-A716-840635D810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MX" w:eastAsia="es-MX"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semiHidden="1" w:unhideWhenUsed="1" w:qFormat="1"/>
    <w:lsdException w:name="heading 3" w:locked="1" w:uiPriority="9" w:qFormat="1"/>
    <w:lsdException w:name="heading 4" w:locked="1" w:semiHidden="1" w:unhideWhenUsed="1" w:qFormat="1"/>
    <w:lsdException w:name="heading 5" w:locked="1" w:uiPriority="9" w:semiHidden="1" w:unhideWhenUsed="1" w:qFormat="1"/>
    <w:lsdException w:name="heading 6" w:locked="1" w:uiPriority="9" w:qFormat="1"/>
    <w:lsdException w:name="heading 7" w:locked="1" w:qFormat="1"/>
    <w:lsdException w:name="heading 8" w:locked="1" w:semiHidden="1" w:unhideWhenUsed="1" w:qFormat="1"/>
    <w:lsdException w:name="heading 9" w:locked="1" w:semiHidden="1" w:unhideWhenUsed="1" w:qFormat="1"/>
    <w:lsdException w:name="footnote text" w:locked="1"/>
    <w:lsdException w:name="annotation text" w:locked="1"/>
    <w:lsdException w:name="header" w:locked="1" w:uiPriority="99"/>
    <w:lsdException w:name="footer" w:locked="1" w:uiPriority="99"/>
    <w:lsdException w:name="caption" w:locked="1" w:semiHidden="1" w:unhideWhenUsed="1" w:qFormat="1"/>
    <w:lsdException w:name="annotation reference" w:locked="1"/>
    <w:lsdException w:name="Title" w:locked="1" w:uiPriority="10" w:qFormat="1"/>
    <w:lsdException w:name="Subtitle" w:locked="1" w:qFormat="1"/>
    <w:lsdException w:name="Body Text 2" w:uiPriority="99"/>
    <w:lsdException w:name="Body Text Indent 3" w:locked="1"/>
    <w:lsdException w:name="Strong" w:locked="1" w:qFormat="1"/>
    <w:lsdException w:name="Emphasis" w:locked="1" w:uiPriority="20" w:qFormat="1"/>
    <w:lsdException w:name="Normal (Web)" w:locked="1" w:uiPriority="99"/>
    <w:lsdException w:name="Normal Table" w:semiHidden="1" w:unhideWhenUsed="1"/>
    <w:lsdException w:name="annotation subject" w:lock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1ADB"/>
    <w:rPr>
      <w:rFonts w:ascii="CG Times" w:hAnsi="CG Times"/>
      <w:sz w:val="24"/>
      <w:szCs w:val="24"/>
      <w:lang w:eastAsia="en-US"/>
    </w:rPr>
  </w:style>
  <w:style w:type="paragraph" w:styleId="Ttulo1">
    <w:name w:val="heading 1"/>
    <w:basedOn w:val="Normal"/>
    <w:next w:val="Normal"/>
    <w:link w:val="Ttulo1Car"/>
    <w:uiPriority w:val="9"/>
    <w:qFormat/>
    <w:rsid w:val="000B1ADB"/>
    <w:pPr>
      <w:keepNext/>
      <w:jc w:val="both"/>
      <w:outlineLvl w:val="0"/>
    </w:pPr>
    <w:rPr>
      <w:rFonts w:ascii="Book Antiqua" w:hAnsi="Book Antiqua"/>
      <w:b/>
      <w:sz w:val="28"/>
      <w:szCs w:val="20"/>
      <w:lang w:val="es-ES_tradnl" w:eastAsia="es-ES"/>
    </w:rPr>
  </w:style>
  <w:style w:type="paragraph" w:styleId="Ttulo2">
    <w:name w:val="heading 2"/>
    <w:basedOn w:val="Normal"/>
    <w:next w:val="Normal"/>
    <w:link w:val="Ttulo2Car"/>
    <w:uiPriority w:val="9"/>
    <w:unhideWhenUsed/>
    <w:qFormat/>
    <w:locked/>
    <w:rsid w:val="00243D46"/>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qFormat/>
    <w:locked/>
    <w:rsid w:val="0024668F"/>
    <w:pPr>
      <w:keepNext/>
      <w:suppressAutoHyphens/>
      <w:spacing w:before="240" w:after="60"/>
      <w:ind w:left="2880" w:hanging="360"/>
      <w:outlineLvl w:val="3"/>
    </w:pPr>
    <w:rPr>
      <w:rFonts w:ascii="Arial" w:hAnsi="Arial"/>
      <w:b/>
      <w:sz w:val="20"/>
      <w:szCs w:val="20"/>
      <w:lang w:val="es-ES" w:eastAsia="ar-SA"/>
    </w:rPr>
  </w:style>
  <w:style w:type="paragraph" w:styleId="Ttulo5">
    <w:name w:val="heading 5"/>
    <w:basedOn w:val="Normal"/>
    <w:next w:val="Normal"/>
    <w:link w:val="Ttulo5Car"/>
    <w:uiPriority w:val="9"/>
    <w:semiHidden/>
    <w:unhideWhenUsed/>
    <w:qFormat/>
    <w:locked/>
    <w:rsid w:val="0024668F"/>
    <w:pPr>
      <w:suppressAutoHyphens/>
      <w:spacing w:before="240" w:after="60"/>
      <w:outlineLvl w:val="4"/>
    </w:pPr>
    <w:rPr>
      <w:rFonts w:ascii="Calibri" w:hAnsi="Calibri"/>
      <w:b/>
      <w:bCs/>
      <w:i/>
      <w:iCs/>
      <w:sz w:val="26"/>
      <w:szCs w:val="26"/>
      <w:lang w:val="es-ES" w:eastAsia="ar-SA"/>
    </w:rPr>
  </w:style>
  <w:style w:type="paragraph" w:styleId="Ttulo6">
    <w:name w:val="heading 6"/>
    <w:basedOn w:val="Normal"/>
    <w:next w:val="Normal"/>
    <w:link w:val="Ttulo6Car"/>
    <w:uiPriority w:val="9"/>
    <w:qFormat/>
    <w:rsid w:val="000B1ADB"/>
    <w:pPr>
      <w:keepNext/>
      <w:ind w:firstLine="709"/>
      <w:jc w:val="center"/>
      <w:outlineLvl w:val="5"/>
    </w:pPr>
    <w:rPr>
      <w:rFonts w:ascii="AvantGarde" w:hAnsi="AvantGarde" w:eastAsia="Batang" w:cs="Arial"/>
      <w:b/>
      <w:bCs/>
      <w:sz w:val="22"/>
    </w:rPr>
  </w:style>
  <w:style w:type="paragraph" w:styleId="Ttulo7">
    <w:name w:val="heading 7"/>
    <w:basedOn w:val="Normal"/>
    <w:next w:val="Normal"/>
    <w:qFormat/>
    <w:rsid w:val="000B1ADB"/>
    <w:pPr>
      <w:keepNext/>
      <w:jc w:val="center"/>
      <w:outlineLvl w:val="6"/>
    </w:pPr>
    <w:rPr>
      <w:rFonts w:ascii="AvantGarde" w:hAnsi="AvantGarde" w:eastAsia="Batang" w:cs="Arial"/>
      <w:b/>
      <w:bCs/>
      <w:sz w:val="22"/>
    </w:rPr>
  </w:style>
  <w:style w:type="paragraph" w:styleId="Ttulo8">
    <w:name w:val="heading 8"/>
    <w:aliases w:val=" Car"/>
    <w:basedOn w:val="Normal"/>
    <w:next w:val="Normal"/>
    <w:link w:val="Ttulo8Car"/>
    <w:qFormat/>
    <w:locked/>
    <w:rsid w:val="0024668F"/>
    <w:pPr>
      <w:spacing w:before="240" w:after="60"/>
      <w:outlineLvl w:val="7"/>
    </w:pPr>
    <w:rPr>
      <w:rFonts w:ascii="Calibri" w:hAnsi="Calibri"/>
      <w:i/>
      <w:iCs/>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3">
    <w:name w:val="Body Text 3"/>
    <w:basedOn w:val="Normal"/>
    <w:link w:val="Textoindependiente3Car"/>
    <w:rsid w:val="000B1ADB"/>
    <w:rPr>
      <w:rFonts w:ascii="Book Antiqua" w:hAnsi="Book Antiqua"/>
      <w:sz w:val="28"/>
      <w:szCs w:val="20"/>
      <w:lang w:val="es-ES_tradnl" w:eastAsia="es-ES"/>
    </w:rPr>
  </w:style>
  <w:style w:type="paragraph" w:styleId="Textoindependiente2">
    <w:name w:val="Body Text 2"/>
    <w:basedOn w:val="Normal"/>
    <w:link w:val="Textoindependiente2Car"/>
    <w:uiPriority w:val="99"/>
    <w:rsid w:val="000B1ADB"/>
    <w:pPr>
      <w:jc w:val="both"/>
    </w:pPr>
    <w:rPr>
      <w:rFonts w:ascii="Tahoma" w:hAnsi="Tahoma" w:cs="Tahoma"/>
      <w:b/>
      <w:sz w:val="22"/>
      <w:szCs w:val="20"/>
      <w:lang w:eastAsia="es-ES"/>
    </w:rPr>
  </w:style>
  <w:style w:type="paragraph" w:styleId="Textoindependiente">
    <w:name w:val="Body Text"/>
    <w:basedOn w:val="Normal"/>
    <w:link w:val="TextoindependienteCar"/>
    <w:rsid w:val="000B1ADB"/>
    <w:pPr>
      <w:ind w:right="-522"/>
      <w:jc w:val="both"/>
    </w:pPr>
    <w:rPr>
      <w:rFonts w:ascii="Times New Roman" w:hAnsi="Times New Roman"/>
      <w:sz w:val="28"/>
      <w:lang w:val="es-ES" w:eastAsia="es-ES"/>
    </w:rPr>
  </w:style>
  <w:style w:type="paragraph" w:styleId="Encabezado">
    <w:name w:val="header"/>
    <w:basedOn w:val="Normal"/>
    <w:link w:val="EncabezadoCar"/>
    <w:uiPriority w:val="99"/>
    <w:rsid w:val="000B1ADB"/>
    <w:pPr>
      <w:tabs>
        <w:tab w:val="center" w:pos="4252"/>
        <w:tab w:val="right" w:pos="8504"/>
      </w:tabs>
    </w:pPr>
  </w:style>
  <w:style w:type="character" w:styleId="Nmerodepgina">
    <w:name w:val="page number"/>
    <w:rsid w:val="000B1ADB"/>
    <w:rPr>
      <w:rFonts w:cs="Times New Roman"/>
    </w:rPr>
  </w:style>
  <w:style w:type="paragraph" w:styleId="Sangradetextonormal">
    <w:name w:val="Body Text Indent"/>
    <w:basedOn w:val="Normal"/>
    <w:link w:val="SangradetextonormalCar"/>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styleId="Prrafodelista1" w:customStyle="1">
    <w:name w:val="Párrafo de lista1"/>
    <w:basedOn w:val="Normal"/>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hAnsi="Arial Unicode MS" w:eastAsia="Arial Unicode MS" w:cs="Arial Unicode MS"/>
      <w:color w:val="000000"/>
      <w:lang w:val="es-ES" w:eastAsia="es-ES"/>
    </w:rPr>
  </w:style>
  <w:style w:type="character" w:styleId="nfasis">
    <w:name w:val="Emphasis"/>
    <w:uiPriority w:val="20"/>
    <w:qFormat/>
    <w:rsid w:val="00CF2F1F"/>
    <w:rPr>
      <w:rFonts w:cs="Times New Roman"/>
      <w:i/>
      <w:iCs/>
    </w:rPr>
  </w:style>
  <w:style w:type="character" w:styleId="Refdecomentario">
    <w:name w:val="annotation reference"/>
    <w:rsid w:val="00341FF2"/>
    <w:rPr>
      <w:rFonts w:cs="Times New Roman"/>
      <w:sz w:val="16"/>
      <w:szCs w:val="16"/>
    </w:rPr>
  </w:style>
  <w:style w:type="paragraph" w:styleId="Textocomentario">
    <w:name w:val="annotation text"/>
    <w:basedOn w:val="Normal"/>
    <w:link w:val="TextocomentarioCar"/>
    <w:rsid w:val="00341FF2"/>
    <w:rPr>
      <w:sz w:val="20"/>
      <w:szCs w:val="20"/>
    </w:rPr>
  </w:style>
  <w:style w:type="character" w:styleId="TextocomentarioCar" w:customStyle="1">
    <w:name w:val="Texto comentario Car"/>
    <w:link w:val="Textocomentario"/>
    <w:locked/>
    <w:rsid w:val="00341FF2"/>
    <w:rPr>
      <w:rFonts w:ascii="CG Times" w:hAnsi="CG Times" w:cs="Times New Roman"/>
      <w:lang w:val="x-none" w:eastAsia="en-US"/>
    </w:rPr>
  </w:style>
  <w:style w:type="paragraph" w:styleId="Asuntodelcomentario">
    <w:name w:val="annotation subject"/>
    <w:basedOn w:val="Textocomentario"/>
    <w:next w:val="Textocomentario"/>
    <w:link w:val="AsuntodelcomentarioCar"/>
    <w:semiHidden/>
    <w:rsid w:val="00341FF2"/>
    <w:rPr>
      <w:b/>
      <w:bCs/>
    </w:rPr>
  </w:style>
  <w:style w:type="character" w:styleId="AsuntodelcomentarioCar" w:customStyle="1">
    <w:name w:val="Asunto del comentario Car"/>
    <w:link w:val="Asuntodelcomentario"/>
    <w:locked/>
    <w:rsid w:val="00341FF2"/>
    <w:rPr>
      <w:rFonts w:ascii="CG Times" w:hAnsi="CG Times" w:cs="Times New Roman"/>
      <w:b/>
      <w:bCs/>
      <w:lang w:val="x-none" w:eastAsia="en-US"/>
    </w:rPr>
  </w:style>
  <w:style w:type="paragraph" w:styleId="Textodeglobo">
    <w:name w:val="Balloon Text"/>
    <w:basedOn w:val="Normal"/>
    <w:link w:val="TextodegloboCar"/>
    <w:uiPriority w:val="99"/>
    <w:semiHidden/>
    <w:rsid w:val="00341FF2"/>
    <w:rPr>
      <w:rFonts w:ascii="Tahoma" w:hAnsi="Tahoma" w:cs="Tahoma"/>
      <w:sz w:val="16"/>
      <w:szCs w:val="16"/>
    </w:rPr>
  </w:style>
  <w:style w:type="character" w:styleId="TextodegloboCar" w:customStyle="1">
    <w:name w:val="Texto de globo Car"/>
    <w:link w:val="Textodeglobo"/>
    <w:uiPriority w:val="99"/>
    <w:locked/>
    <w:rsid w:val="00341FF2"/>
    <w:rPr>
      <w:rFonts w:ascii="Tahoma" w:hAnsi="Tahoma" w:cs="Tahoma"/>
      <w:sz w:val="16"/>
      <w:szCs w:val="16"/>
      <w:lang w:val="x-none" w:eastAsia="en-US"/>
    </w:rPr>
  </w:style>
  <w:style w:type="character" w:styleId="PiedepginaCar" w:customStyle="1">
    <w:name w:val="Pie de página Car"/>
    <w:link w:val="Piedepgina"/>
    <w:uiPriority w:val="99"/>
    <w:locked/>
    <w:rsid w:val="00A60B0A"/>
    <w:rPr>
      <w:rFonts w:ascii="CG Times" w:hAnsi="CG Times" w:cs="Times New Roman"/>
      <w:sz w:val="24"/>
      <w:szCs w:val="24"/>
      <w:lang w:val="x-none" w:eastAsia="en-US"/>
    </w:rPr>
  </w:style>
  <w:style w:type="character" w:styleId="Ttulo3Car" w:customStyle="1">
    <w:name w:val="Título 3 Car"/>
    <w:link w:val="Ttulo3"/>
    <w:uiPriority w:val="9"/>
    <w:locked/>
    <w:rsid w:val="00053278"/>
    <w:rPr>
      <w:rFonts w:ascii="Cambria" w:hAnsi="Cambria" w:cs="Times New Roman"/>
      <w:b/>
      <w:bCs/>
      <w:sz w:val="26"/>
      <w:szCs w:val="26"/>
      <w:lang w:val="x-none" w:eastAsia="en-US"/>
    </w:rPr>
  </w:style>
  <w:style w:type="paragraph" w:styleId="Default" w:customStyle="1">
    <w:name w:val="Default"/>
    <w:basedOn w:val="Normal"/>
    <w:rsid w:val="00B65CBE"/>
    <w:pPr>
      <w:autoSpaceDE w:val="0"/>
      <w:autoSpaceDN w:val="0"/>
    </w:pPr>
    <w:rPr>
      <w:rFonts w:ascii="Arial" w:hAnsi="Arial" w:cs="Arial"/>
      <w:color w:val="000000"/>
      <w:lang w:eastAsia="es-MX"/>
    </w:rPr>
  </w:style>
  <w:style w:type="paragraph" w:styleId="Texto" w:customStyle="1">
    <w:name w:val="Texto"/>
    <w:basedOn w:val="Normal"/>
    <w:link w:val="TextoCar"/>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B65CBE"/>
    <w:rPr>
      <w:rFonts w:ascii="Courier New" w:hAnsi="Courier New" w:cs="Courier New"/>
      <w:sz w:val="20"/>
      <w:szCs w:val="20"/>
      <w:lang w:val="es-ES" w:eastAsia="es-ES"/>
    </w:rPr>
  </w:style>
  <w:style w:type="character" w:styleId="TextosinformatoCar" w:customStyle="1">
    <w:name w:val="Texto sin formato Car"/>
    <w:link w:val="Textosinformato"/>
    <w:locked/>
    <w:rsid w:val="00B65CBE"/>
    <w:rPr>
      <w:rFonts w:ascii="Courier New" w:hAnsi="Courier New" w:cs="Courier New"/>
      <w:lang w:val="es-ES" w:eastAsia="es-ES"/>
    </w:rPr>
  </w:style>
  <w:style w:type="paragraph" w:styleId="Textonotapie">
    <w:name w:val="footnote text"/>
    <w:basedOn w:val="Normal"/>
    <w:link w:val="TextonotapieCar"/>
    <w:semiHidden/>
    <w:rsid w:val="005124C8"/>
    <w:rPr>
      <w:sz w:val="20"/>
      <w:szCs w:val="20"/>
    </w:rPr>
  </w:style>
  <w:style w:type="character" w:styleId="TextonotapieCar" w:customStyle="1">
    <w:name w:val="Texto nota pie Car"/>
    <w:link w:val="Textonotapie"/>
    <w:locked/>
    <w:rsid w:val="005124C8"/>
    <w:rPr>
      <w:rFonts w:ascii="CG Times" w:hAnsi="CG Times" w:cs="Times New Roman"/>
      <w:lang w:val="x-none" w:eastAsia="en-US"/>
    </w:rPr>
  </w:style>
  <w:style w:type="character" w:styleId="Refdenotaalpie">
    <w:name w:val="footnote reference"/>
    <w:semiHidden/>
    <w:rsid w:val="005124C8"/>
    <w:rPr>
      <w:rFonts w:cs="Times New Roman"/>
      <w:vertAlign w:val="superscript"/>
    </w:rPr>
  </w:style>
  <w:style w:type="character" w:styleId="EncabezadoCar" w:customStyle="1">
    <w:name w:val="Encabezado Car"/>
    <w:link w:val="Encabezado"/>
    <w:uiPriority w:val="99"/>
    <w:locked/>
    <w:rsid w:val="002749AD"/>
    <w:rPr>
      <w:rFonts w:ascii="CG Times" w:hAnsi="CG Times" w:cs="Times New Roman"/>
      <w:sz w:val="24"/>
      <w:szCs w:val="24"/>
      <w:lang w:val="x-none" w:eastAsia="en-US"/>
    </w:rPr>
  </w:style>
  <w:style w:type="character" w:styleId="Ttulo1Car" w:customStyle="1">
    <w:name w:val="Título 1 Car"/>
    <w:link w:val="Ttulo1"/>
    <w:uiPriority w:val="9"/>
    <w:locked/>
    <w:rsid w:val="00CF684F"/>
    <w:rPr>
      <w:rFonts w:ascii="Book Antiqua" w:hAnsi="Book Antiqua" w:cs="Times New Roman"/>
      <w:b/>
      <w:sz w:val="28"/>
      <w:lang w:val="es-ES_tradnl" w:eastAsia="es-ES"/>
    </w:rPr>
  </w:style>
  <w:style w:type="paragraph" w:styleId="Mapadeldocumento">
    <w:name w:val="Document Map"/>
    <w:basedOn w:val="Normal"/>
    <w:link w:val="MapadeldocumentoCar"/>
    <w:semiHidden/>
    <w:rsid w:val="00EE59D2"/>
    <w:rPr>
      <w:rFonts w:ascii="Tahoma" w:hAnsi="Tahoma" w:cs="Tahoma"/>
      <w:sz w:val="16"/>
      <w:szCs w:val="16"/>
    </w:rPr>
  </w:style>
  <w:style w:type="character" w:styleId="MapadeldocumentoCar" w:customStyle="1">
    <w:name w:val="Mapa del documento Car"/>
    <w:link w:val="Mapadeldocumento"/>
    <w:locked/>
    <w:rsid w:val="00EE59D2"/>
    <w:rPr>
      <w:rFonts w:ascii="Tahoma" w:hAnsi="Tahoma" w:cs="Tahoma"/>
      <w:sz w:val="16"/>
      <w:szCs w:val="16"/>
      <w:lang w:val="x-none" w:eastAsia="en-US"/>
    </w:rPr>
  </w:style>
  <w:style w:type="character" w:styleId="TextoindependienteCar" w:customStyle="1">
    <w:name w:val="Texto independiente Car"/>
    <w:link w:val="Textoindependiente"/>
    <w:locked/>
    <w:rsid w:val="00483652"/>
    <w:rPr>
      <w:rFonts w:cs="Times New Roman"/>
      <w:sz w:val="24"/>
      <w:szCs w:val="24"/>
      <w:lang w:val="es-ES" w:eastAsia="es-ES"/>
    </w:rPr>
  </w:style>
  <w:style w:type="paragraph" w:styleId="Sinespaciado1" w:customStyle="1">
    <w:name w:val="Sin espaciado1"/>
    <w:rsid w:val="00613584"/>
    <w:rPr>
      <w:rFonts w:ascii="Calibri" w:hAnsi="Calibri"/>
      <w:sz w:val="22"/>
      <w:szCs w:val="22"/>
      <w:lang w:eastAsia="en-US"/>
    </w:rPr>
  </w:style>
  <w:style w:type="character" w:styleId="Textoennegrita">
    <w:name w:val="Strong"/>
    <w:qFormat/>
    <w:rsid w:val="00613584"/>
    <w:rPr>
      <w:rFonts w:cs="Times New Roman"/>
      <w:b/>
      <w:bCs/>
    </w:rPr>
  </w:style>
  <w:style w:type="paragraph" w:styleId="Subttulo">
    <w:name w:val="Subtitle"/>
    <w:basedOn w:val="Normal"/>
    <w:next w:val="Normal"/>
    <w:link w:val="SubttuloCar"/>
    <w:qFormat/>
    <w:rsid w:val="00986CCD"/>
    <w:pPr>
      <w:numPr>
        <w:ilvl w:val="1"/>
      </w:numPr>
    </w:pPr>
    <w:rPr>
      <w:rFonts w:ascii="Cambria" w:hAnsi="Cambria"/>
      <w:i/>
      <w:iCs/>
      <w:color w:val="4F81BD"/>
      <w:spacing w:val="15"/>
    </w:rPr>
  </w:style>
  <w:style w:type="character" w:styleId="SubttuloCar" w:customStyle="1">
    <w:name w:val="Subtítulo Car"/>
    <w:link w:val="Subttulo"/>
    <w:locked/>
    <w:rsid w:val="00986CCD"/>
    <w:rPr>
      <w:rFonts w:ascii="Cambria" w:hAnsi="Cambria" w:cs="Times New Roman"/>
      <w:i/>
      <w:iCs/>
      <w:color w:val="4F81BD"/>
      <w:spacing w:val="15"/>
      <w:sz w:val="24"/>
      <w:szCs w:val="24"/>
      <w:lang w:val="x-none" w:eastAsia="en-US"/>
    </w:rPr>
  </w:style>
  <w:style w:type="paragraph" w:styleId="Ttulo">
    <w:name w:val="Title"/>
    <w:basedOn w:val="Normal"/>
    <w:next w:val="Normal"/>
    <w:link w:val="TtuloCar"/>
    <w:uiPriority w:val="10"/>
    <w:qFormat/>
    <w:rsid w:val="000D06AB"/>
    <w:pPr>
      <w:pBdr>
        <w:bottom w:val="single" w:color="4F81BD" w:sz="8" w:space="4"/>
      </w:pBdr>
      <w:spacing w:after="300"/>
    </w:pPr>
    <w:rPr>
      <w:rFonts w:ascii="Cambria" w:hAnsi="Cambria"/>
      <w:color w:val="17365D"/>
      <w:spacing w:val="5"/>
      <w:kern w:val="28"/>
      <w:sz w:val="52"/>
      <w:szCs w:val="52"/>
    </w:rPr>
  </w:style>
  <w:style w:type="character" w:styleId="TtuloCar" w:customStyle="1">
    <w:name w:val="Título Car"/>
    <w:link w:val="Ttulo"/>
    <w:uiPriority w:val="10"/>
    <w:locked/>
    <w:rsid w:val="000D06AB"/>
    <w:rPr>
      <w:rFonts w:ascii="Cambria" w:hAnsi="Cambria" w:cs="Times New Roman"/>
      <w:color w:val="17365D"/>
      <w:spacing w:val="5"/>
      <w:kern w:val="28"/>
      <w:sz w:val="52"/>
      <w:szCs w:val="52"/>
      <w:lang w:val="x-none" w:eastAsia="en-US"/>
    </w:rPr>
  </w:style>
  <w:style w:type="paragraph" w:styleId="Sangra3detindependiente">
    <w:name w:val="Body Text Indent 3"/>
    <w:basedOn w:val="Normal"/>
    <w:link w:val="Sangra3detindependienteCar"/>
    <w:rsid w:val="008C0E36"/>
    <w:pPr>
      <w:spacing w:after="120"/>
      <w:ind w:left="283"/>
    </w:pPr>
    <w:rPr>
      <w:sz w:val="16"/>
      <w:szCs w:val="16"/>
    </w:rPr>
  </w:style>
  <w:style w:type="character" w:styleId="Sangra3detindependienteCar" w:customStyle="1">
    <w:name w:val="Sangría 3 de t. independiente Car"/>
    <w:link w:val="Sangra3detindependiente"/>
    <w:locked/>
    <w:rsid w:val="008C0E36"/>
    <w:rPr>
      <w:rFonts w:ascii="CG Times" w:hAnsi="CG Times" w:cs="Times New Roman"/>
      <w:sz w:val="16"/>
      <w:szCs w:val="16"/>
      <w:lang w:val="x-none" w:eastAsia="en-US"/>
    </w:rPr>
  </w:style>
  <w:style w:type="paragraph" w:styleId="Style-4" w:customStyle="1">
    <w:name w:val="Style-4"/>
    <w:rsid w:val="00AA0862"/>
    <w:rPr>
      <w:noProof/>
    </w:rPr>
  </w:style>
  <w:style w:type="paragraph" w:styleId="msonormalcxspmiddle" w:customStyle="1">
    <w:name w:val="msonormalcxspmiddle"/>
    <w:basedOn w:val="Normal"/>
    <w:rsid w:val="00AA0862"/>
    <w:pPr>
      <w:spacing w:before="100" w:beforeAutospacing="1" w:after="100" w:afterAutospacing="1"/>
    </w:pPr>
    <w:rPr>
      <w:rFonts w:ascii="Times New Roman" w:hAnsi="Times New Roman"/>
      <w:lang w:val="es-ES" w:eastAsia="es-ES"/>
    </w:rPr>
  </w:style>
  <w:style w:type="paragraph" w:styleId="msonormalcxsplast" w:customStyle="1">
    <w:name w:val="msonormalcxsplast"/>
    <w:basedOn w:val="Normal"/>
    <w:rsid w:val="00AA0862"/>
    <w:pPr>
      <w:spacing w:before="100" w:beforeAutospacing="1" w:after="100" w:afterAutospacing="1"/>
    </w:pPr>
    <w:rPr>
      <w:rFonts w:ascii="Times New Roman" w:hAnsi="Times New Roman"/>
      <w:lang w:val="es-ES" w:eastAsia="es-ES"/>
    </w:rPr>
  </w:style>
  <w:style w:type="paragraph" w:styleId="Prrafodelista">
    <w:name w:val="List Paragraph"/>
    <w:basedOn w:val="Normal"/>
    <w:uiPriority w:val="34"/>
    <w:qFormat/>
    <w:rsid w:val="00E3591D"/>
    <w:pPr>
      <w:ind w:left="708"/>
    </w:pPr>
  </w:style>
  <w:style w:type="character" w:styleId="Ttulo2Car" w:customStyle="1">
    <w:name w:val="Título 2 Car"/>
    <w:link w:val="Ttulo2"/>
    <w:uiPriority w:val="9"/>
    <w:rsid w:val="00243D46"/>
    <w:rPr>
      <w:rFonts w:ascii="Cambria" w:hAnsi="Cambria" w:eastAsia="Times New Roman" w:cs="Times New Roman"/>
      <w:b/>
      <w:bCs/>
      <w:i/>
      <w:iCs/>
      <w:sz w:val="28"/>
      <w:szCs w:val="28"/>
      <w:lang w:eastAsia="en-US"/>
    </w:rPr>
  </w:style>
  <w:style w:type="paragraph" w:styleId="Body1" w:customStyle="1">
    <w:name w:val="Body 1"/>
    <w:rsid w:val="000E0266"/>
    <w:rPr>
      <w:rFonts w:ascii="Helvetica" w:hAnsi="Helvetica" w:eastAsia="ヒラギノ角ゴ Pro W3"/>
      <w:color w:val="000000"/>
      <w:sz w:val="24"/>
      <w:lang w:val="en-US"/>
    </w:rPr>
  </w:style>
  <w:style w:type="paragraph" w:styleId="Sinespaciado">
    <w:name w:val="No Spacing"/>
    <w:link w:val="SinespaciadoCar"/>
    <w:uiPriority w:val="1"/>
    <w:qFormat/>
    <w:rsid w:val="000E0266"/>
    <w:rPr>
      <w:rFonts w:ascii="Calibri" w:hAnsi="Calibri" w:eastAsia="Calibri"/>
      <w:sz w:val="22"/>
      <w:szCs w:val="22"/>
      <w:lang w:eastAsia="en-US"/>
    </w:rPr>
  </w:style>
  <w:style w:type="character" w:styleId="SinespaciadoCar" w:customStyle="1">
    <w:name w:val="Sin espaciado Car"/>
    <w:link w:val="Sinespaciado"/>
    <w:uiPriority w:val="1"/>
    <w:locked/>
    <w:rsid w:val="000E0266"/>
    <w:rPr>
      <w:rFonts w:ascii="Calibri" w:hAnsi="Calibri" w:eastAsia="Calibri"/>
      <w:sz w:val="22"/>
      <w:szCs w:val="22"/>
      <w:lang w:eastAsia="en-US"/>
    </w:rPr>
  </w:style>
  <w:style w:type="paragraph" w:styleId="Sinespaciado4" w:customStyle="1">
    <w:name w:val="Sin espaciado4"/>
    <w:rsid w:val="00C32D52"/>
    <w:rPr>
      <w:rFonts w:ascii="Calibri" w:hAnsi="Calibri"/>
      <w:sz w:val="22"/>
      <w:szCs w:val="22"/>
      <w:lang w:eastAsia="en-US"/>
    </w:rPr>
  </w:style>
  <w:style w:type="paragraph" w:styleId="Sinespaciado10" w:customStyle="1">
    <w:name w:val="Sin espaciado10"/>
    <w:rsid w:val="000966F4"/>
    <w:rPr>
      <w:rFonts w:ascii="Calibri" w:hAnsi="Calibri"/>
      <w:sz w:val="22"/>
      <w:szCs w:val="22"/>
      <w:lang w:eastAsia="en-US"/>
    </w:rPr>
  </w:style>
  <w:style w:type="character" w:styleId="TextoCar" w:customStyle="1">
    <w:name w:val="Texto Car"/>
    <w:link w:val="Texto"/>
    <w:rsid w:val="00FF50BC"/>
    <w:rPr>
      <w:rFonts w:ascii="Arial" w:hAnsi="Arial" w:cs="Arial"/>
      <w:sz w:val="18"/>
      <w:lang w:val="es-ES" w:eastAsia="es-ES"/>
    </w:rPr>
  </w:style>
  <w:style w:type="paragraph" w:styleId="Sinespaciado2" w:customStyle="1">
    <w:name w:val="Sin espaciado2"/>
    <w:rsid w:val="009B4CFC"/>
    <w:rPr>
      <w:rFonts w:ascii="Calibri" w:hAnsi="Calibri"/>
      <w:sz w:val="22"/>
      <w:szCs w:val="22"/>
    </w:rPr>
  </w:style>
  <w:style w:type="paragraph" w:styleId="NoSpacing1" w:customStyle="1">
    <w:name w:val="No Spacing1"/>
    <w:rsid w:val="0080322F"/>
    <w:rPr>
      <w:rFonts w:ascii="Calibri" w:hAnsi="Calibri"/>
      <w:sz w:val="22"/>
      <w:szCs w:val="22"/>
      <w:lang w:eastAsia="en-US"/>
    </w:rPr>
  </w:style>
  <w:style w:type="character" w:styleId="Ttulo4Car" w:customStyle="1">
    <w:name w:val="Título 4 Car"/>
    <w:link w:val="Ttulo4"/>
    <w:rsid w:val="0024668F"/>
    <w:rPr>
      <w:rFonts w:ascii="Arial" w:hAnsi="Arial"/>
      <w:b/>
      <w:lang w:val="es-ES" w:eastAsia="ar-SA"/>
    </w:rPr>
  </w:style>
  <w:style w:type="character" w:styleId="Ttulo5Car" w:customStyle="1">
    <w:name w:val="Título 5 Car"/>
    <w:link w:val="Ttulo5"/>
    <w:uiPriority w:val="9"/>
    <w:semiHidden/>
    <w:rsid w:val="0024668F"/>
    <w:rPr>
      <w:rFonts w:ascii="Calibri" w:hAnsi="Calibri"/>
      <w:b/>
      <w:bCs/>
      <w:i/>
      <w:iCs/>
      <w:sz w:val="26"/>
      <w:szCs w:val="26"/>
      <w:lang w:val="es-ES" w:eastAsia="ar-SA"/>
    </w:rPr>
  </w:style>
  <w:style w:type="character" w:styleId="Ttulo8Car" w:customStyle="1">
    <w:name w:val="Título 8 Car"/>
    <w:aliases w:val=" Car Car"/>
    <w:link w:val="Ttulo8"/>
    <w:rsid w:val="0024668F"/>
    <w:rPr>
      <w:rFonts w:ascii="Calibri" w:hAnsi="Calibri"/>
      <w:i/>
      <w:iCs/>
      <w:sz w:val="24"/>
      <w:szCs w:val="24"/>
      <w:lang w:eastAsia="es-ES"/>
    </w:rPr>
  </w:style>
  <w:style w:type="character" w:styleId="Ttulo6Car" w:customStyle="1">
    <w:name w:val="Título 6 Car"/>
    <w:link w:val="Ttulo6"/>
    <w:uiPriority w:val="9"/>
    <w:rsid w:val="0024668F"/>
    <w:rPr>
      <w:rFonts w:ascii="AvantGarde" w:hAnsi="AvantGarde" w:eastAsia="Batang" w:cs="Arial"/>
      <w:b/>
      <w:bCs/>
      <w:sz w:val="22"/>
      <w:szCs w:val="24"/>
      <w:lang w:eastAsia="en-US"/>
    </w:rPr>
  </w:style>
  <w:style w:type="character" w:styleId="Textoindependiente3Car" w:customStyle="1">
    <w:name w:val="Texto independiente 3 Car"/>
    <w:link w:val="Textoindependiente3"/>
    <w:rsid w:val="0024668F"/>
    <w:rPr>
      <w:rFonts w:ascii="Book Antiqua" w:hAnsi="Book Antiqua"/>
      <w:sz w:val="28"/>
      <w:lang w:val="es-ES_tradnl" w:eastAsia="es-ES"/>
    </w:rPr>
  </w:style>
  <w:style w:type="numbering" w:styleId="Estilo2" w:customStyle="1">
    <w:name w:val="Estilo2"/>
    <w:rsid w:val="0024668F"/>
    <w:pPr>
      <w:numPr>
        <w:numId w:val="1"/>
      </w:numPr>
    </w:pPr>
  </w:style>
  <w:style w:type="character" w:styleId="Textoindependiente2Car" w:customStyle="1">
    <w:name w:val="Texto independiente 2 Car"/>
    <w:link w:val="Textoindependiente2"/>
    <w:uiPriority w:val="99"/>
    <w:rsid w:val="0024668F"/>
    <w:rPr>
      <w:rFonts w:ascii="Tahoma" w:hAnsi="Tahoma" w:cs="Tahoma"/>
      <w:b/>
      <w:sz w:val="22"/>
      <w:lang w:eastAsia="es-ES"/>
    </w:rPr>
  </w:style>
  <w:style w:type="paragraph" w:styleId="ROMANOS" w:customStyle="1">
    <w:name w:val="ROMANOS"/>
    <w:basedOn w:val="Normal"/>
    <w:rsid w:val="0024668F"/>
    <w:pPr>
      <w:tabs>
        <w:tab w:val="left" w:pos="720"/>
      </w:tabs>
      <w:spacing w:after="101" w:line="216" w:lineRule="atLeast"/>
      <w:ind w:left="720" w:hanging="432"/>
      <w:jc w:val="both"/>
    </w:pPr>
    <w:rPr>
      <w:rFonts w:ascii="Arial" w:hAnsi="Arial"/>
      <w:sz w:val="18"/>
      <w:szCs w:val="20"/>
      <w:lang w:val="es-ES_tradnl" w:eastAsia="es-ES"/>
    </w:rPr>
  </w:style>
  <w:style w:type="paragraph" w:styleId="ANOTACION" w:customStyle="1">
    <w:name w:val="ANOTACION"/>
    <w:basedOn w:val="Normal"/>
    <w:rsid w:val="0024668F"/>
    <w:pPr>
      <w:spacing w:before="101" w:after="101" w:line="216" w:lineRule="atLeast"/>
      <w:jc w:val="center"/>
    </w:pPr>
    <w:rPr>
      <w:rFonts w:ascii="CG Palacio (WN)" w:hAnsi="CG Palacio (WN)"/>
      <w:b/>
      <w:sz w:val="18"/>
      <w:szCs w:val="20"/>
      <w:lang w:val="es-ES_tradnl" w:eastAsia="es-ES"/>
    </w:rPr>
  </w:style>
  <w:style w:type="paragraph" w:styleId="texto0" w:customStyle="1">
    <w:name w:val="texto"/>
    <w:basedOn w:val="Normal"/>
    <w:link w:val="textoCar0"/>
    <w:rsid w:val="0024668F"/>
    <w:pPr>
      <w:spacing w:after="101" w:line="216" w:lineRule="atLeast"/>
      <w:ind w:firstLine="288"/>
      <w:jc w:val="both"/>
    </w:pPr>
    <w:rPr>
      <w:rFonts w:ascii="Arial" w:hAnsi="Arial"/>
      <w:sz w:val="18"/>
      <w:szCs w:val="20"/>
      <w:lang w:val="es-ES_tradnl" w:eastAsia="es-ES"/>
    </w:rPr>
  </w:style>
  <w:style w:type="character" w:styleId="textoCar0" w:customStyle="1">
    <w:name w:val="texto Car"/>
    <w:link w:val="texto0"/>
    <w:rsid w:val="0024668F"/>
    <w:rPr>
      <w:rFonts w:ascii="Arial" w:hAnsi="Arial"/>
      <w:sz w:val="18"/>
      <w:lang w:val="es-ES_tradnl" w:eastAsia="es-ES"/>
    </w:rPr>
  </w:style>
  <w:style w:type="numbering" w:styleId="Sinlista1" w:customStyle="1">
    <w:name w:val="Sin lista1"/>
    <w:next w:val="Sinlista"/>
    <w:uiPriority w:val="99"/>
    <w:semiHidden/>
    <w:unhideWhenUsed/>
    <w:rsid w:val="0024668F"/>
  </w:style>
  <w:style w:type="character" w:styleId="WW8Num4z0" w:customStyle="1">
    <w:name w:val="WW8Num4z0"/>
    <w:rsid w:val="0024668F"/>
    <w:rPr>
      <w:rFonts w:ascii="Symbol" w:hAnsi="Symbol"/>
    </w:rPr>
  </w:style>
  <w:style w:type="character" w:styleId="WW8Num10z0" w:customStyle="1">
    <w:name w:val="WW8Num10z0"/>
    <w:rsid w:val="0024668F"/>
    <w:rPr>
      <w:rFonts w:ascii="Symbol" w:hAnsi="Symbol"/>
    </w:rPr>
  </w:style>
  <w:style w:type="character" w:styleId="WW8Num11z0" w:customStyle="1">
    <w:name w:val="WW8Num11z0"/>
    <w:rsid w:val="0024668F"/>
    <w:rPr>
      <w:rFonts w:ascii="Symbol" w:hAnsi="Symbol"/>
    </w:rPr>
  </w:style>
  <w:style w:type="character" w:styleId="WW8Num20z0" w:customStyle="1">
    <w:name w:val="WW8Num20z0"/>
    <w:rsid w:val="0024668F"/>
    <w:rPr>
      <w:rFonts w:ascii="Wingdings" w:hAnsi="Wingdings"/>
    </w:rPr>
  </w:style>
  <w:style w:type="character" w:styleId="WW8Num26z0" w:customStyle="1">
    <w:name w:val="WW8Num26z0"/>
    <w:rsid w:val="0024668F"/>
    <w:rPr>
      <w:rFonts w:ascii="Symbol" w:hAnsi="Symbol"/>
    </w:rPr>
  </w:style>
  <w:style w:type="character" w:styleId="WW8Num32z0" w:customStyle="1">
    <w:name w:val="WW8Num32z0"/>
    <w:rsid w:val="0024668F"/>
    <w:rPr>
      <w:rFonts w:ascii="Symbol" w:hAnsi="Symbol"/>
    </w:rPr>
  </w:style>
  <w:style w:type="character" w:styleId="WW8Num33z0" w:customStyle="1">
    <w:name w:val="WW8Num33z0"/>
    <w:rsid w:val="0024668F"/>
    <w:rPr>
      <w:rFonts w:ascii="Symbol" w:hAnsi="Symbol"/>
    </w:rPr>
  </w:style>
  <w:style w:type="character" w:styleId="WW8Num35z0" w:customStyle="1">
    <w:name w:val="WW8Num35z0"/>
    <w:rsid w:val="0024668F"/>
    <w:rPr>
      <w:rFonts w:ascii="Wingdings" w:hAnsi="Wingdings"/>
    </w:rPr>
  </w:style>
  <w:style w:type="character" w:styleId="WW8Num37z0" w:customStyle="1">
    <w:name w:val="WW8Num37z0"/>
    <w:rsid w:val="0024668F"/>
    <w:rPr>
      <w:rFonts w:ascii="Symbol" w:hAnsi="Symbol"/>
    </w:rPr>
  </w:style>
  <w:style w:type="character" w:styleId="WW8Num40z0" w:customStyle="1">
    <w:name w:val="WW8Num40z0"/>
    <w:rsid w:val="0024668F"/>
    <w:rPr>
      <w:rFonts w:ascii="Symbol" w:hAnsi="Symbol"/>
    </w:rPr>
  </w:style>
  <w:style w:type="character" w:styleId="WW8Num42z0" w:customStyle="1">
    <w:name w:val="WW8Num42z0"/>
    <w:rsid w:val="0024668F"/>
    <w:rPr>
      <w:rFonts w:ascii="Symbol" w:hAnsi="Symbol"/>
    </w:rPr>
  </w:style>
  <w:style w:type="character" w:styleId="WW8Num43z0" w:customStyle="1">
    <w:name w:val="WW8Num43z0"/>
    <w:rsid w:val="0024668F"/>
    <w:rPr>
      <w:rFonts w:ascii="Symbol" w:hAnsi="Symbol"/>
    </w:rPr>
  </w:style>
  <w:style w:type="character" w:styleId="WW8Num43z1" w:customStyle="1">
    <w:name w:val="WW8Num43z1"/>
    <w:rsid w:val="0024668F"/>
    <w:rPr>
      <w:rFonts w:ascii="OpenSymbol" w:hAnsi="OpenSymbol" w:cs="OpenSymbol"/>
    </w:rPr>
  </w:style>
  <w:style w:type="character" w:styleId="Absatz-Standardschriftart" w:customStyle="1">
    <w:name w:val="Absatz-Standardschriftart"/>
    <w:rsid w:val="0024668F"/>
  </w:style>
  <w:style w:type="character" w:styleId="WW-Absatz-Standardschriftart" w:customStyle="1">
    <w:name w:val="WW-Absatz-Standardschriftart"/>
    <w:rsid w:val="0024668F"/>
  </w:style>
  <w:style w:type="character" w:styleId="WW-Absatz-Standardschriftart1" w:customStyle="1">
    <w:name w:val="WW-Absatz-Standardschriftart1"/>
    <w:rsid w:val="0024668F"/>
  </w:style>
  <w:style w:type="character" w:styleId="WW-Absatz-Standardschriftart11" w:customStyle="1">
    <w:name w:val="WW-Absatz-Standardschriftart11"/>
    <w:rsid w:val="0024668F"/>
  </w:style>
  <w:style w:type="character" w:styleId="WW8Num12z0" w:customStyle="1">
    <w:name w:val="WW8Num12z0"/>
    <w:rsid w:val="0024668F"/>
    <w:rPr>
      <w:rFonts w:ascii="Symbol" w:hAnsi="Symbol"/>
    </w:rPr>
  </w:style>
  <w:style w:type="character" w:styleId="WW8Num21z0" w:customStyle="1">
    <w:name w:val="WW8Num21z0"/>
    <w:rsid w:val="0024668F"/>
    <w:rPr>
      <w:rFonts w:ascii="Symbol" w:hAnsi="Symbol"/>
    </w:rPr>
  </w:style>
  <w:style w:type="character" w:styleId="WW8Num27z0" w:customStyle="1">
    <w:name w:val="WW8Num27z0"/>
    <w:rsid w:val="0024668F"/>
    <w:rPr>
      <w:rFonts w:ascii="Symbol" w:hAnsi="Symbol"/>
    </w:rPr>
  </w:style>
  <w:style w:type="character" w:styleId="WW8Num29z0" w:customStyle="1">
    <w:name w:val="WW8Num29z0"/>
    <w:rsid w:val="0024668F"/>
    <w:rPr>
      <w:rFonts w:ascii="Symbol" w:hAnsi="Symbol"/>
    </w:rPr>
  </w:style>
  <w:style w:type="character" w:styleId="WW8Num34z0" w:customStyle="1">
    <w:name w:val="WW8Num34z0"/>
    <w:rsid w:val="0024668F"/>
    <w:rPr>
      <w:rFonts w:ascii="Symbol" w:hAnsi="Symbol"/>
    </w:rPr>
  </w:style>
  <w:style w:type="character" w:styleId="WW8Num39z0" w:customStyle="1">
    <w:name w:val="WW8Num39z0"/>
    <w:rsid w:val="0024668F"/>
    <w:rPr>
      <w:rFonts w:ascii="Symbol" w:hAnsi="Symbol"/>
    </w:rPr>
  </w:style>
  <w:style w:type="character" w:styleId="WW8Num42z1" w:customStyle="1">
    <w:name w:val="WW8Num42z1"/>
    <w:rsid w:val="0024668F"/>
    <w:rPr>
      <w:rFonts w:ascii="Courier New" w:hAnsi="Courier New" w:cs="Courier New"/>
    </w:rPr>
  </w:style>
  <w:style w:type="character" w:styleId="WW8Num42z2" w:customStyle="1">
    <w:name w:val="WW8Num42z2"/>
    <w:rsid w:val="0024668F"/>
    <w:rPr>
      <w:rFonts w:ascii="Wingdings" w:hAnsi="Wingdings"/>
    </w:rPr>
  </w:style>
  <w:style w:type="character" w:styleId="WW8Num45z0" w:customStyle="1">
    <w:name w:val="WW8Num45z0"/>
    <w:rsid w:val="0024668F"/>
    <w:rPr>
      <w:rFonts w:ascii="Symbol" w:hAnsi="Symbol"/>
    </w:rPr>
  </w:style>
  <w:style w:type="character" w:styleId="WW8Num45z1" w:customStyle="1">
    <w:name w:val="WW8Num45z1"/>
    <w:rsid w:val="0024668F"/>
    <w:rPr>
      <w:rFonts w:ascii="Courier New" w:hAnsi="Courier New" w:cs="Courier New"/>
    </w:rPr>
  </w:style>
  <w:style w:type="character" w:styleId="WW8Num45z2" w:customStyle="1">
    <w:name w:val="WW8Num45z2"/>
    <w:rsid w:val="0024668F"/>
    <w:rPr>
      <w:rFonts w:ascii="Wingdings" w:hAnsi="Wingdings"/>
    </w:rPr>
  </w:style>
  <w:style w:type="character" w:styleId="WW-Fuentedeprrafopredeter" w:customStyle="1">
    <w:name w:val="WW-Fuente de párrafo predeter."/>
    <w:rsid w:val="0024668F"/>
  </w:style>
  <w:style w:type="character" w:styleId="WW8Num3z0" w:customStyle="1">
    <w:name w:val="WW8Num3z0"/>
    <w:rsid w:val="0024668F"/>
    <w:rPr>
      <w:rFonts w:ascii="Symbol" w:hAnsi="Symbol"/>
    </w:rPr>
  </w:style>
  <w:style w:type="character" w:styleId="WW8Num9z0" w:customStyle="1">
    <w:name w:val="WW8Num9z0"/>
    <w:rsid w:val="0024668F"/>
    <w:rPr>
      <w:rFonts w:ascii="Symbol" w:hAnsi="Symbol"/>
    </w:rPr>
  </w:style>
  <w:style w:type="character" w:styleId="WW8Num11z1" w:customStyle="1">
    <w:name w:val="WW8Num11z1"/>
    <w:rsid w:val="0024668F"/>
    <w:rPr>
      <w:rFonts w:ascii="Courier New" w:hAnsi="Courier New" w:cs="Courier New"/>
    </w:rPr>
  </w:style>
  <w:style w:type="character" w:styleId="WW8Num11z2" w:customStyle="1">
    <w:name w:val="WW8Num11z2"/>
    <w:rsid w:val="0024668F"/>
    <w:rPr>
      <w:rFonts w:ascii="Wingdings" w:hAnsi="Wingdings"/>
    </w:rPr>
  </w:style>
  <w:style w:type="character" w:styleId="WW8Num20z1" w:customStyle="1">
    <w:name w:val="WW8Num20z1"/>
    <w:rsid w:val="0024668F"/>
    <w:rPr>
      <w:rFonts w:ascii="Courier New" w:hAnsi="Courier New"/>
    </w:rPr>
  </w:style>
  <w:style w:type="character" w:styleId="WW8Num20z3" w:customStyle="1">
    <w:name w:val="WW8Num20z3"/>
    <w:rsid w:val="0024668F"/>
    <w:rPr>
      <w:rFonts w:ascii="Symbol" w:hAnsi="Symbol"/>
    </w:rPr>
  </w:style>
  <w:style w:type="character" w:styleId="WW8Num22z0" w:customStyle="1">
    <w:name w:val="WW8Num22z0"/>
    <w:rsid w:val="0024668F"/>
    <w:rPr>
      <w:rFonts w:ascii="Symbol" w:hAnsi="Symbol"/>
    </w:rPr>
  </w:style>
  <w:style w:type="character" w:styleId="WW8Num30z0" w:customStyle="1">
    <w:name w:val="WW8Num30z0"/>
    <w:rsid w:val="0024668F"/>
    <w:rPr>
      <w:rFonts w:ascii="Symbol" w:hAnsi="Symbol"/>
    </w:rPr>
  </w:style>
  <w:style w:type="character" w:styleId="WW8Num35z1" w:customStyle="1">
    <w:name w:val="WW8Num35z1"/>
    <w:rsid w:val="0024668F"/>
    <w:rPr>
      <w:rFonts w:ascii="Courier New" w:hAnsi="Courier New"/>
    </w:rPr>
  </w:style>
  <w:style w:type="character" w:styleId="WW8Num35z3" w:customStyle="1">
    <w:name w:val="WW8Num35z3"/>
    <w:rsid w:val="0024668F"/>
    <w:rPr>
      <w:rFonts w:ascii="Symbol" w:hAnsi="Symbol"/>
    </w:rPr>
  </w:style>
  <w:style w:type="character" w:styleId="WW8Num38z0" w:customStyle="1">
    <w:name w:val="WW8Num38z0"/>
    <w:rsid w:val="0024668F"/>
    <w:rPr>
      <w:rFonts w:ascii="Symbol" w:hAnsi="Symbol"/>
    </w:rPr>
  </w:style>
  <w:style w:type="character" w:styleId="WW8Num38z1" w:customStyle="1">
    <w:name w:val="WW8Num38z1"/>
    <w:rsid w:val="0024668F"/>
    <w:rPr>
      <w:rFonts w:ascii="Courier New" w:hAnsi="Courier New" w:cs="Courier New"/>
    </w:rPr>
  </w:style>
  <w:style w:type="character" w:styleId="WW8Num38z2" w:customStyle="1">
    <w:name w:val="WW8Num38z2"/>
    <w:rsid w:val="0024668F"/>
    <w:rPr>
      <w:rFonts w:ascii="Wingdings" w:hAnsi="Wingdings"/>
    </w:rPr>
  </w:style>
  <w:style w:type="character" w:styleId="WW8Num41z0" w:customStyle="1">
    <w:name w:val="WW8Num41z0"/>
    <w:rsid w:val="0024668F"/>
    <w:rPr>
      <w:rFonts w:ascii="Symbol" w:hAnsi="Symbol"/>
    </w:rPr>
  </w:style>
  <w:style w:type="character" w:styleId="WW8Num41z1" w:customStyle="1">
    <w:name w:val="WW8Num41z1"/>
    <w:rsid w:val="0024668F"/>
    <w:rPr>
      <w:rFonts w:ascii="Courier New" w:hAnsi="Courier New" w:cs="Courier New"/>
    </w:rPr>
  </w:style>
  <w:style w:type="character" w:styleId="WW8Num41z2" w:customStyle="1">
    <w:name w:val="WW8Num41z2"/>
    <w:rsid w:val="0024668F"/>
    <w:rPr>
      <w:rFonts w:ascii="Wingdings" w:hAnsi="Wingdings"/>
    </w:rPr>
  </w:style>
  <w:style w:type="character" w:styleId="Fuentedeprrafopredeter1" w:customStyle="1">
    <w:name w:val="Fuente de párrafo predeter.1"/>
    <w:rsid w:val="0024668F"/>
  </w:style>
  <w:style w:type="character" w:styleId="Vietas" w:customStyle="1">
    <w:name w:val="Viñetas"/>
    <w:rsid w:val="0024668F"/>
    <w:rPr>
      <w:rFonts w:ascii="OpenSymbol" w:hAnsi="OpenSymbol" w:eastAsia="OpenSymbol" w:cs="OpenSymbol"/>
    </w:rPr>
  </w:style>
  <w:style w:type="paragraph" w:styleId="Lista">
    <w:name w:val="List"/>
    <w:basedOn w:val="Textoindependiente"/>
    <w:rsid w:val="0024668F"/>
    <w:pPr>
      <w:suppressAutoHyphens/>
      <w:ind w:right="0"/>
      <w:jc w:val="center"/>
    </w:pPr>
    <w:rPr>
      <w:rFonts w:ascii="Arial" w:hAnsi="Arial" w:cs="Tahoma"/>
      <w:b/>
      <w:bCs/>
      <w:sz w:val="24"/>
      <w:lang w:eastAsia="ar-SA"/>
    </w:rPr>
  </w:style>
  <w:style w:type="paragraph" w:styleId="Etiqueta" w:customStyle="1">
    <w:name w:val="Etiqueta"/>
    <w:basedOn w:val="Normal"/>
    <w:rsid w:val="0024668F"/>
    <w:pPr>
      <w:suppressLineNumbers/>
      <w:suppressAutoHyphens/>
      <w:spacing w:before="120" w:after="120"/>
    </w:pPr>
    <w:rPr>
      <w:rFonts w:ascii="Times New Roman" w:hAnsi="Times New Roman" w:cs="Tahoma"/>
      <w:i/>
      <w:iCs/>
      <w:lang w:val="es-ES" w:eastAsia="ar-SA"/>
    </w:rPr>
  </w:style>
  <w:style w:type="paragraph" w:styleId="ndice" w:customStyle="1">
    <w:name w:val="Índice"/>
    <w:basedOn w:val="Normal"/>
    <w:rsid w:val="0024668F"/>
    <w:pPr>
      <w:suppressLineNumbers/>
      <w:suppressAutoHyphens/>
    </w:pPr>
    <w:rPr>
      <w:rFonts w:ascii="Times New Roman" w:hAnsi="Times New Roman" w:cs="Tahoma"/>
      <w:lang w:val="es-ES" w:eastAsia="ar-SA"/>
    </w:rPr>
  </w:style>
  <w:style w:type="paragraph" w:styleId="Encabezado1" w:customStyle="1">
    <w:name w:val="Encabezado1"/>
    <w:basedOn w:val="Normal"/>
    <w:next w:val="Textoindependiente"/>
    <w:rsid w:val="0024668F"/>
    <w:pPr>
      <w:keepNext/>
      <w:suppressAutoHyphens/>
      <w:spacing w:before="240" w:after="120"/>
    </w:pPr>
    <w:rPr>
      <w:rFonts w:ascii="Arial" w:hAnsi="Arial" w:eastAsia="MS Mincho" w:cs="Tahoma"/>
      <w:sz w:val="28"/>
      <w:szCs w:val="28"/>
      <w:lang w:val="es-ES" w:eastAsia="ar-SA"/>
    </w:rPr>
  </w:style>
  <w:style w:type="paragraph" w:styleId="gctsec" w:customStyle="1">
    <w:name w:val="gctsec"/>
    <w:basedOn w:val="Normal"/>
    <w:rsid w:val="0024668F"/>
    <w:pPr>
      <w:suppressAutoHyphens/>
      <w:spacing w:before="100" w:after="100"/>
    </w:pPr>
    <w:rPr>
      <w:rFonts w:ascii="Arial" w:hAnsi="Arial" w:cs="Arial"/>
      <w:b/>
      <w:bCs/>
      <w:caps/>
      <w:color w:val="066969"/>
      <w:sz w:val="22"/>
      <w:szCs w:val="22"/>
      <w:lang w:val="es-ES" w:eastAsia="ar-SA"/>
    </w:rPr>
  </w:style>
  <w:style w:type="paragraph" w:styleId="Textoindependiente21" w:customStyle="1">
    <w:name w:val="Texto independiente 21"/>
    <w:basedOn w:val="Normal"/>
    <w:rsid w:val="0024668F"/>
    <w:pPr>
      <w:suppressAutoHyphens/>
      <w:jc w:val="both"/>
    </w:pPr>
    <w:rPr>
      <w:rFonts w:ascii="Arial" w:hAnsi="Arial" w:cs="Arial"/>
      <w:sz w:val="20"/>
      <w:lang w:val="es-ES" w:eastAsia="ar-SA"/>
    </w:rPr>
  </w:style>
  <w:style w:type="paragraph" w:styleId="Textoindependiente31" w:customStyle="1">
    <w:name w:val="Texto independiente 31"/>
    <w:basedOn w:val="Normal"/>
    <w:rsid w:val="0024668F"/>
    <w:pPr>
      <w:suppressAutoHyphens/>
    </w:pPr>
    <w:rPr>
      <w:rFonts w:ascii="Arial" w:hAnsi="Arial" w:cs="Arial"/>
      <w:sz w:val="20"/>
      <w:lang w:val="es-ES" w:eastAsia="ar-SA"/>
    </w:rPr>
  </w:style>
  <w:style w:type="paragraph" w:styleId="Mapadeldocumento1" w:customStyle="1">
    <w:name w:val="Mapa del documento1"/>
    <w:basedOn w:val="Normal"/>
    <w:rsid w:val="0024668F"/>
    <w:pPr>
      <w:shd w:val="clear" w:color="auto" w:fill="000080"/>
      <w:suppressAutoHyphens/>
    </w:pPr>
    <w:rPr>
      <w:rFonts w:ascii="Tahoma" w:hAnsi="Tahoma" w:cs="Tahoma"/>
      <w:sz w:val="20"/>
      <w:szCs w:val="20"/>
      <w:lang w:val="es-ES" w:eastAsia="ar-SA"/>
    </w:rPr>
  </w:style>
  <w:style w:type="paragraph" w:styleId="Contenidodelmarco" w:customStyle="1">
    <w:name w:val="Contenido del marco"/>
    <w:basedOn w:val="Textoindependiente"/>
    <w:rsid w:val="0024668F"/>
    <w:pPr>
      <w:suppressAutoHyphens/>
      <w:ind w:right="0"/>
      <w:jc w:val="center"/>
    </w:pPr>
    <w:rPr>
      <w:rFonts w:ascii="Arial" w:hAnsi="Arial" w:cs="Arial"/>
      <w:b/>
      <w:bCs/>
      <w:sz w:val="24"/>
      <w:lang w:eastAsia="ar-SA"/>
    </w:rPr>
  </w:style>
  <w:style w:type="paragraph" w:styleId="Contenidodelatabla" w:customStyle="1">
    <w:name w:val="Contenido de la tabla"/>
    <w:basedOn w:val="Normal"/>
    <w:rsid w:val="0024668F"/>
    <w:pPr>
      <w:suppressLineNumbers/>
      <w:suppressAutoHyphens/>
    </w:pPr>
    <w:rPr>
      <w:rFonts w:ascii="Times New Roman" w:hAnsi="Times New Roman"/>
      <w:lang w:val="es-ES" w:eastAsia="ar-SA"/>
    </w:rPr>
  </w:style>
  <w:style w:type="paragraph" w:styleId="Encabezadodelatabla" w:customStyle="1">
    <w:name w:val="Encabezado de la tabla"/>
    <w:basedOn w:val="Contenidodelatabla"/>
    <w:rsid w:val="0024668F"/>
    <w:pPr>
      <w:jc w:val="center"/>
    </w:pPr>
    <w:rPr>
      <w:b/>
      <w:bCs/>
    </w:rPr>
  </w:style>
  <w:style w:type="paragraph" w:styleId="Titulo1" w:customStyle="1">
    <w:name w:val="Titulo 1"/>
    <w:basedOn w:val="Normal"/>
    <w:rsid w:val="0024668F"/>
    <w:pPr>
      <w:pBdr>
        <w:bottom w:val="single" w:color="auto" w:sz="12" w:space="1"/>
      </w:pBdr>
      <w:spacing w:before="120"/>
      <w:jc w:val="both"/>
      <w:outlineLvl w:val="0"/>
    </w:pPr>
    <w:rPr>
      <w:rFonts w:ascii="Times New Roman" w:hAnsi="Times New Roman" w:cs="Arial"/>
      <w:b/>
      <w:sz w:val="18"/>
      <w:szCs w:val="18"/>
      <w:lang w:eastAsia="es-MX"/>
    </w:rPr>
  </w:style>
  <w:style w:type="paragraph" w:styleId="p17" w:customStyle="1">
    <w:name w:val="p17"/>
    <w:basedOn w:val="Normal"/>
    <w:uiPriority w:val="99"/>
    <w:rsid w:val="00204E74"/>
    <w:pPr>
      <w:widowControl w:val="0"/>
      <w:tabs>
        <w:tab w:val="left" w:pos="900"/>
      </w:tabs>
      <w:autoSpaceDE w:val="0"/>
      <w:autoSpaceDN w:val="0"/>
      <w:spacing w:line="420" w:lineRule="atLeast"/>
      <w:ind w:left="540"/>
    </w:pPr>
    <w:rPr>
      <w:rFonts w:ascii="Times New Roman" w:hAnsi="Times New Roman"/>
      <w:lang w:val="es-ES_tradnl" w:eastAsia="es-ES"/>
    </w:rPr>
  </w:style>
  <w:style w:type="paragraph" w:styleId="xmsonormal" w:customStyle="1">
    <w:name w:val="x_msonormal"/>
    <w:basedOn w:val="Normal"/>
    <w:rsid w:val="00401656"/>
    <w:pPr>
      <w:spacing w:before="100" w:beforeAutospacing="1" w:after="100" w:afterAutospacing="1"/>
    </w:pPr>
    <w:rPr>
      <w:rFonts w:ascii="Times New Roman" w:hAnsi="Times New Roman"/>
      <w:lang w:val="es-ES" w:eastAsia="es-ES"/>
    </w:rPr>
  </w:style>
  <w:style w:type="character" w:styleId="Ttulodellibro">
    <w:name w:val="Book Title"/>
    <w:uiPriority w:val="33"/>
    <w:qFormat/>
    <w:rsid w:val="00727828"/>
    <w:rPr>
      <w:b/>
      <w:bCs/>
      <w:i/>
      <w:iCs/>
      <w:spacing w:val="5"/>
    </w:rPr>
  </w:style>
  <w:style w:type="character" w:styleId="SangradetextonormalCar" w:customStyle="1">
    <w:name w:val="Sangría de texto normal Car"/>
    <w:link w:val="Sangradetextonormal"/>
    <w:rsid w:val="00D04296"/>
    <w:rPr>
      <w:rFonts w:ascii="CG Times" w:hAnsi="CG Times"/>
      <w:sz w:val="24"/>
      <w:szCs w:val="24"/>
      <w:lang w:eastAsia="en-US"/>
    </w:rPr>
  </w:style>
  <w:style w:type="table" w:styleId="Tablaconcuadrcula">
    <w:name w:val="Table Grid"/>
    <w:basedOn w:val="Tablanormal"/>
    <w:uiPriority w:val="59"/>
    <w:rsid w:val="00BB208C"/>
    <w:rPr>
      <w:rFonts w:ascii="Calibri" w:hAnsi="Calibri" w:eastAsia="Calibri"/>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Estilo" w:customStyle="1">
    <w:name w:val="Estilo"/>
    <w:basedOn w:val="Sinespaciado"/>
    <w:link w:val="EstiloCar"/>
    <w:qFormat/>
    <w:rsid w:val="00BB208C"/>
    <w:pPr>
      <w:jc w:val="both"/>
    </w:pPr>
    <w:rPr>
      <w:rFonts w:ascii="Arial" w:hAnsi="Arial"/>
      <w:sz w:val="24"/>
    </w:rPr>
  </w:style>
  <w:style w:type="character" w:styleId="EstiloCar" w:customStyle="1">
    <w:name w:val="Estilo Car"/>
    <w:link w:val="Estilo"/>
    <w:rsid w:val="00BB208C"/>
    <w:rPr>
      <w:rFonts w:ascii="Arial" w:hAnsi="Arial" w:eastAsia="Calibri"/>
      <w:sz w:val="24"/>
      <w:szCs w:val="22"/>
      <w:lang w:eastAsia="en-US"/>
    </w:rPr>
  </w:style>
  <w:style w:type="paragraph" w:styleId="Citadestacada">
    <w:name w:val="Intense Quote"/>
    <w:basedOn w:val="Normal"/>
    <w:next w:val="Normal"/>
    <w:link w:val="CitadestacadaCar"/>
    <w:uiPriority w:val="30"/>
    <w:qFormat/>
    <w:rsid w:val="00BB208C"/>
    <w:pPr>
      <w:pBdr>
        <w:bottom w:val="single" w:color="4F81BD" w:sz="4" w:space="4"/>
      </w:pBdr>
      <w:spacing w:before="200" w:after="280" w:line="276" w:lineRule="auto"/>
      <w:ind w:left="936" w:right="936"/>
    </w:pPr>
    <w:rPr>
      <w:rFonts w:ascii="Calibri" w:hAnsi="Calibri" w:eastAsia="Calibri"/>
      <w:b/>
      <w:bCs/>
      <w:i/>
      <w:iCs/>
      <w:color w:val="4F81BD"/>
      <w:sz w:val="22"/>
      <w:szCs w:val="22"/>
    </w:rPr>
  </w:style>
  <w:style w:type="character" w:styleId="CitadestacadaCar" w:customStyle="1">
    <w:name w:val="Cita destacada Car"/>
    <w:link w:val="Citadestacada"/>
    <w:uiPriority w:val="30"/>
    <w:rsid w:val="00BB208C"/>
    <w:rPr>
      <w:rFonts w:ascii="Calibri" w:hAnsi="Calibri" w:eastAsia="Calibri"/>
      <w:b/>
      <w:bCs/>
      <w:i/>
      <w:iCs/>
      <w:color w:val="4F81BD"/>
      <w:sz w:val="22"/>
      <w:szCs w:val="22"/>
      <w:lang w:eastAsia="en-US"/>
    </w:rPr>
  </w:style>
  <w:style w:type="character" w:styleId="Referenciasutil">
    <w:name w:val="Subtle Reference"/>
    <w:uiPriority w:val="31"/>
    <w:qFormat/>
    <w:rsid w:val="00BB208C"/>
    <w:rPr>
      <w:smallCaps/>
      <w:color w:val="C0504D"/>
      <w:u w:val="single"/>
    </w:rPr>
  </w:style>
  <w:style w:type="character" w:styleId="Estilo2Car" w:customStyle="1">
    <w:name w:val="Estilo2 Car"/>
    <w:rsid w:val="00BB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44523056">
      <w:bodyDiv w:val="1"/>
      <w:marLeft w:val="0"/>
      <w:marRight w:val="0"/>
      <w:marTop w:val="0"/>
      <w:marBottom w:val="0"/>
      <w:divBdr>
        <w:top w:val="none" w:sz="0" w:space="0" w:color="auto"/>
        <w:left w:val="none" w:sz="0" w:space="0" w:color="auto"/>
        <w:bottom w:val="none" w:sz="0" w:space="0" w:color="auto"/>
        <w:right w:val="none" w:sz="0" w:space="0" w:color="auto"/>
      </w:divBdr>
    </w:div>
    <w:div w:id="986518192">
      <w:bodyDiv w:val="1"/>
      <w:marLeft w:val="0"/>
      <w:marRight w:val="0"/>
      <w:marTop w:val="0"/>
      <w:marBottom w:val="0"/>
      <w:divBdr>
        <w:top w:val="none" w:sz="0" w:space="0" w:color="auto"/>
        <w:left w:val="none" w:sz="0" w:space="0" w:color="auto"/>
        <w:bottom w:val="none" w:sz="0" w:space="0" w:color="auto"/>
        <w:right w:val="none" w:sz="0" w:space="0" w:color="auto"/>
      </w:divBdr>
    </w:div>
    <w:div w:id="1093207824">
      <w:bodyDiv w:val="1"/>
      <w:marLeft w:val="0"/>
      <w:marRight w:val="0"/>
      <w:marTop w:val="0"/>
      <w:marBottom w:val="0"/>
      <w:divBdr>
        <w:top w:val="none" w:sz="0" w:space="0" w:color="auto"/>
        <w:left w:val="none" w:sz="0" w:space="0" w:color="auto"/>
        <w:bottom w:val="none" w:sz="0" w:space="0" w:color="auto"/>
        <w:right w:val="none" w:sz="0" w:space="0" w:color="auto"/>
      </w:divBdr>
    </w:div>
    <w:div w:id="1222327960">
      <w:bodyDiv w:val="1"/>
      <w:marLeft w:val="0"/>
      <w:marRight w:val="0"/>
      <w:marTop w:val="0"/>
      <w:marBottom w:val="0"/>
      <w:divBdr>
        <w:top w:val="none" w:sz="0" w:space="0" w:color="auto"/>
        <w:left w:val="none" w:sz="0" w:space="0" w:color="auto"/>
        <w:bottom w:val="none" w:sz="0" w:space="0" w:color="auto"/>
        <w:right w:val="none" w:sz="0" w:space="0" w:color="auto"/>
      </w:divBdr>
    </w:div>
    <w:div w:id="1648895333">
      <w:bodyDiv w:val="1"/>
      <w:marLeft w:val="0"/>
      <w:marRight w:val="0"/>
      <w:marTop w:val="0"/>
      <w:marBottom w:val="0"/>
      <w:divBdr>
        <w:top w:val="none" w:sz="0" w:space="0" w:color="auto"/>
        <w:left w:val="none" w:sz="0" w:space="0" w:color="auto"/>
        <w:bottom w:val="none" w:sz="0" w:space="0" w:color="auto"/>
        <w:right w:val="none" w:sz="0" w:space="0" w:color="auto"/>
      </w:divBdr>
    </w:div>
    <w:div w:id="1664813512">
      <w:bodyDiv w:val="1"/>
      <w:marLeft w:val="0"/>
      <w:marRight w:val="0"/>
      <w:marTop w:val="0"/>
      <w:marBottom w:val="0"/>
      <w:divBdr>
        <w:top w:val="none" w:sz="0" w:space="0" w:color="auto"/>
        <w:left w:val="none" w:sz="0" w:space="0" w:color="auto"/>
        <w:bottom w:val="none" w:sz="0" w:space="0" w:color="auto"/>
        <w:right w:val="none" w:sz="0" w:space="0" w:color="auto"/>
      </w:divBdr>
    </w:div>
    <w:div w:id="1674989802">
      <w:bodyDiv w:val="1"/>
      <w:marLeft w:val="0"/>
      <w:marRight w:val="0"/>
      <w:marTop w:val="0"/>
      <w:marBottom w:val="0"/>
      <w:divBdr>
        <w:top w:val="none" w:sz="0" w:space="0" w:color="auto"/>
        <w:left w:val="none" w:sz="0" w:space="0" w:color="auto"/>
        <w:bottom w:val="none" w:sz="0" w:space="0" w:color="auto"/>
        <w:right w:val="none" w:sz="0" w:space="0" w:color="auto"/>
      </w:divBdr>
    </w:div>
    <w:div w:id="1731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FC040DB7D0C543A622B533384A853D" ma:contentTypeVersion="0" ma:contentTypeDescription="Crear nuevo documento." ma:contentTypeScope="" ma:versionID="66dabdd4365a70c36c9dab5b09047d64">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37F7F-F681-40D0-8746-03DD6EAE24B7}">
  <ds:schemaRefs>
    <ds:schemaRef ds:uri="http://schemas.microsoft.com/sharepoint/v3/contenttype/forms"/>
  </ds:schemaRefs>
</ds:datastoreItem>
</file>

<file path=customXml/itemProps2.xml><?xml version="1.0" encoding="utf-8"?>
<ds:datastoreItem xmlns:ds="http://schemas.openxmlformats.org/officeDocument/2006/customXml" ds:itemID="{EF1F3735-E248-4D44-AE14-472CD8AF9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48C05A-E339-48D5-889E-801F5A3D58B3}">
  <ds:schemaRefs>
    <ds:schemaRef ds:uri="http://schemas.openxmlformats.org/officeDocument/2006/bibliography"/>
  </ds:schemaRefs>
</ds:datastoreItem>
</file>

<file path=customXml/itemProps4.xml><?xml version="1.0" encoding="utf-8"?>
<ds:datastoreItem xmlns:ds="http://schemas.openxmlformats.org/officeDocument/2006/customXml" ds:itemID="{BDCA6F39-189F-4C91-8766-E4405EA2A42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Reforma Ley Orgánica</dc:title>
  <dc:subject>Archivo</dc:subject>
  <dc:creator>INSTITUTO DE INVESTIGACIONES LEGISLATIVAS</dc:creator>
  <keywords>D186</keywords>
  <lastModifiedBy>Guest User</lastModifiedBy>
  <revision>6</revision>
  <lastPrinted>2021-03-24T16:46:00.0000000Z</lastPrinted>
  <dcterms:created xsi:type="dcterms:W3CDTF">2021-03-24T16:45:00.0000000Z</dcterms:created>
  <dcterms:modified xsi:type="dcterms:W3CDTF">2021-06-24T17:16:17.2141344Z</dcterms:modified>
</coreProperties>
</file>