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C6" w:rsidRPr="004F64C6" w:rsidRDefault="004F64C6" w:rsidP="004F64C6">
      <w:pPr>
        <w:tabs>
          <w:tab w:val="left" w:pos="1674"/>
        </w:tabs>
        <w:spacing w:after="0" w:line="240" w:lineRule="auto"/>
        <w:jc w:val="center"/>
        <w:rPr>
          <w:rFonts w:ascii="Verdana" w:eastAsia="Times New Roman" w:hAnsi="Verdana" w:cs="Arial"/>
          <w:b/>
          <w:color w:val="CC0066"/>
          <w:sz w:val="20"/>
          <w:szCs w:val="20"/>
        </w:rPr>
      </w:pPr>
      <w:bookmarkStart w:id="0" w:name="_GoBack"/>
      <w:bookmarkEnd w:id="0"/>
      <w:r w:rsidRPr="004F64C6">
        <w:rPr>
          <w:rFonts w:ascii="Verdana" w:eastAsia="Times New Roman" w:hAnsi="Verdana" w:cs="Arial"/>
          <w:b/>
          <w:color w:val="CC0066"/>
          <w:sz w:val="20"/>
          <w:szCs w:val="20"/>
        </w:rPr>
        <w:t>LINEAMIENTOS DE PARLAMENTO ABIERTO</w:t>
      </w:r>
    </w:p>
    <w:p w:rsidR="004F64C6" w:rsidRPr="004F64C6" w:rsidRDefault="004F64C6" w:rsidP="004F64C6">
      <w:pPr>
        <w:tabs>
          <w:tab w:val="left" w:pos="1674"/>
        </w:tabs>
        <w:spacing w:after="0" w:line="240" w:lineRule="auto"/>
        <w:jc w:val="center"/>
        <w:rPr>
          <w:rFonts w:ascii="Verdana" w:eastAsia="Times New Roman" w:hAnsi="Verdana" w:cs="Arial"/>
          <w:b/>
          <w:color w:val="CC0066"/>
          <w:sz w:val="20"/>
          <w:szCs w:val="20"/>
        </w:rPr>
      </w:pPr>
      <w:r w:rsidRPr="004F64C6">
        <w:rPr>
          <w:rFonts w:ascii="Verdana" w:eastAsia="Times New Roman" w:hAnsi="Verdana" w:cs="Arial"/>
          <w:b/>
          <w:color w:val="CC0066"/>
          <w:sz w:val="20"/>
          <w:szCs w:val="20"/>
        </w:rPr>
        <w:t>DEL PODER LEGISLATIVO DEL ESTADO DE GUANAJUATO</w:t>
      </w:r>
    </w:p>
    <w:p w:rsidR="004F64C6" w:rsidRPr="004F64C6" w:rsidRDefault="004F64C6" w:rsidP="004F64C6">
      <w:pPr>
        <w:spacing w:after="0" w:line="240" w:lineRule="auto"/>
        <w:jc w:val="center"/>
        <w:rPr>
          <w:rFonts w:ascii="Arial" w:hAnsi="Arial" w:cs="Arial"/>
          <w:b/>
          <w:sz w:val="20"/>
          <w:szCs w:val="24"/>
        </w:rPr>
      </w:pPr>
    </w:p>
    <w:p w:rsidR="004F64C6" w:rsidRPr="004F64C6" w:rsidRDefault="004F64C6" w:rsidP="004F64C6">
      <w:pPr>
        <w:spacing w:after="0" w:line="240" w:lineRule="auto"/>
        <w:jc w:val="center"/>
        <w:rPr>
          <w:rFonts w:ascii="Verdana" w:eastAsia="Times New Roman" w:hAnsi="Verdana" w:cs="Times New Roman"/>
          <w:b/>
          <w:color w:val="000000" w:themeColor="text1"/>
          <w:sz w:val="18"/>
          <w:szCs w:val="24"/>
        </w:rPr>
      </w:pPr>
      <w:r w:rsidRPr="004F64C6">
        <w:rPr>
          <w:rFonts w:ascii="Verdana" w:eastAsia="Times New Roman" w:hAnsi="Verdana" w:cs="Times New Roman"/>
          <w:b/>
          <w:color w:val="000000" w:themeColor="text1"/>
          <w:sz w:val="18"/>
          <w:szCs w:val="24"/>
        </w:rPr>
        <w:t>A C U E R D O</w:t>
      </w:r>
    </w:p>
    <w:p w:rsidR="003A5950" w:rsidRDefault="003A5950" w:rsidP="004F64C6">
      <w:pPr>
        <w:spacing w:after="0" w:line="240" w:lineRule="auto"/>
        <w:rPr>
          <w:rFonts w:ascii="Verdana" w:hAnsi="Verdana"/>
          <w:sz w:val="20"/>
          <w:szCs w:val="20"/>
        </w:rPr>
      </w:pPr>
    </w:p>
    <w:p w:rsidR="004F64C6" w:rsidRDefault="004F64C6" w:rsidP="004F64C6">
      <w:pPr>
        <w:spacing w:after="0" w:line="240" w:lineRule="auto"/>
        <w:ind w:firstLine="709"/>
        <w:jc w:val="both"/>
        <w:rPr>
          <w:rFonts w:ascii="Verdana" w:hAnsi="Verdana"/>
          <w:b/>
          <w:i/>
          <w:color w:val="000000" w:themeColor="text1"/>
          <w:sz w:val="18"/>
        </w:rPr>
      </w:pPr>
      <w:r w:rsidRPr="004F64C6">
        <w:rPr>
          <w:rFonts w:ascii="Verdana" w:hAnsi="Verdana"/>
          <w:b/>
          <w:i/>
          <w:color w:val="000000" w:themeColor="text1"/>
          <w:sz w:val="18"/>
        </w:rPr>
        <w:t xml:space="preserve">LA SEXAGÉSIMA </w:t>
      </w:r>
      <w:r w:rsidR="00B8293D">
        <w:rPr>
          <w:rFonts w:ascii="Verdana" w:hAnsi="Verdana"/>
          <w:b/>
          <w:i/>
          <w:color w:val="000000" w:themeColor="text1"/>
          <w:sz w:val="18"/>
        </w:rPr>
        <w:t>TERCERA</w:t>
      </w:r>
      <w:r w:rsidRPr="004F64C6">
        <w:rPr>
          <w:rFonts w:ascii="Verdana" w:hAnsi="Verdana"/>
          <w:b/>
          <w:i/>
          <w:color w:val="000000" w:themeColor="text1"/>
          <w:sz w:val="18"/>
        </w:rPr>
        <w:t xml:space="preserve"> LEGISLATURA CONSTITUCIONAL DEL ESTADO LIBRE Y SOBERANO DE GUANAJUATO, </w:t>
      </w:r>
      <w:r>
        <w:rPr>
          <w:rFonts w:ascii="Verdana" w:hAnsi="Verdana"/>
          <w:b/>
          <w:i/>
          <w:color w:val="000000" w:themeColor="text1"/>
          <w:sz w:val="18"/>
        </w:rPr>
        <w:t>A C U E R D A</w:t>
      </w:r>
      <w:r w:rsidRPr="004F64C6">
        <w:rPr>
          <w:rFonts w:ascii="Verdana" w:hAnsi="Verdana"/>
          <w:b/>
          <w:i/>
          <w:color w:val="000000" w:themeColor="text1"/>
          <w:sz w:val="18"/>
        </w:rPr>
        <w:t>:</w:t>
      </w:r>
    </w:p>
    <w:p w:rsidR="004F64C6" w:rsidRPr="004F64C6" w:rsidRDefault="004F64C6" w:rsidP="004F64C6">
      <w:pPr>
        <w:spacing w:after="0" w:line="240" w:lineRule="auto"/>
        <w:ind w:firstLine="709"/>
        <w:jc w:val="both"/>
        <w:rPr>
          <w:rFonts w:ascii="Verdana" w:hAnsi="Verdana" w:cs="Arial"/>
          <w:b/>
          <w:sz w:val="20"/>
          <w:szCs w:val="24"/>
        </w:rPr>
      </w:pPr>
    </w:p>
    <w:p w:rsidR="004F64C6" w:rsidRPr="004F64C6" w:rsidRDefault="004F64C6" w:rsidP="004F64C6">
      <w:pPr>
        <w:spacing w:after="0" w:line="240" w:lineRule="auto"/>
        <w:ind w:firstLine="709"/>
        <w:jc w:val="both"/>
        <w:rPr>
          <w:rFonts w:ascii="Verdana" w:hAnsi="Verdana" w:cs="Arial"/>
          <w:sz w:val="20"/>
          <w:szCs w:val="24"/>
        </w:rPr>
      </w:pPr>
      <w:r w:rsidRPr="004F64C6">
        <w:rPr>
          <w:rFonts w:ascii="Verdana" w:hAnsi="Verdana" w:cs="Arial"/>
          <w:b/>
          <w:sz w:val="20"/>
          <w:szCs w:val="24"/>
        </w:rPr>
        <w:t>Artículo Único</w:t>
      </w:r>
      <w:r w:rsidRPr="004F64C6">
        <w:rPr>
          <w:rFonts w:ascii="Verdana" w:hAnsi="Verdana" w:cs="Arial"/>
          <w:sz w:val="20"/>
          <w:szCs w:val="24"/>
        </w:rPr>
        <w:t>. De conformidad con lo previsto en los artículos 63 fracción I de la Constitución Política para el Estado de Guanajuato y 12 último párrafo y artículo cuarto transitorio de la Ley Orgánica del Poder Legislativo del Estado de Guanajuato, la Sexagésima Tercera Legislatura del Congreso del Estado de Guanajuato expide los Lineamientos de Parlamento Abierto del Poder Legislativo del Estado de Guanajuato, para quedar en los siguientes términos:</w:t>
      </w:r>
    </w:p>
    <w:p w:rsidR="004F64C6" w:rsidRDefault="004F64C6" w:rsidP="004F64C6">
      <w:pPr>
        <w:spacing w:after="0" w:line="240" w:lineRule="auto"/>
        <w:jc w:val="both"/>
        <w:rPr>
          <w:rFonts w:ascii="Arial" w:hAnsi="Arial" w:cs="Arial"/>
          <w:sz w:val="24"/>
          <w:szCs w:val="24"/>
        </w:rPr>
      </w:pPr>
    </w:p>
    <w:p w:rsidR="004F64C6" w:rsidRPr="000770C7" w:rsidRDefault="004F64C6" w:rsidP="004F64C6">
      <w:pPr>
        <w:spacing w:after="0" w:line="240" w:lineRule="auto"/>
        <w:jc w:val="both"/>
        <w:rPr>
          <w:rFonts w:ascii="Arial" w:hAnsi="Arial" w:cs="Arial"/>
          <w:sz w:val="24"/>
          <w:szCs w:val="24"/>
        </w:rPr>
      </w:pPr>
    </w:p>
    <w:p w:rsidR="004F64C6" w:rsidRPr="004F64C6" w:rsidRDefault="004F64C6" w:rsidP="004F64C6">
      <w:pPr>
        <w:spacing w:after="0" w:line="240" w:lineRule="auto"/>
        <w:jc w:val="center"/>
        <w:rPr>
          <w:rFonts w:ascii="Verdana" w:eastAsia="Times New Roman" w:hAnsi="Verdana" w:cs="Arial"/>
          <w:b/>
          <w:color w:val="000000" w:themeColor="text1"/>
          <w:sz w:val="20"/>
          <w:szCs w:val="20"/>
        </w:rPr>
      </w:pPr>
      <w:r w:rsidRPr="004F64C6">
        <w:rPr>
          <w:rFonts w:ascii="Verdana" w:eastAsia="Times New Roman" w:hAnsi="Verdana" w:cs="Arial"/>
          <w:b/>
          <w:color w:val="000000" w:themeColor="text1"/>
          <w:sz w:val="20"/>
          <w:szCs w:val="20"/>
        </w:rPr>
        <w:t>LINEAMIENTOS DE PARLAMENTO ABIERTO</w:t>
      </w:r>
    </w:p>
    <w:p w:rsidR="004F64C6" w:rsidRPr="004F64C6" w:rsidRDefault="004F64C6" w:rsidP="004F64C6">
      <w:pPr>
        <w:spacing w:after="0" w:line="240" w:lineRule="auto"/>
        <w:jc w:val="center"/>
        <w:rPr>
          <w:rFonts w:ascii="Verdana" w:eastAsia="Times New Roman" w:hAnsi="Verdana" w:cs="Arial"/>
          <w:b/>
          <w:color w:val="000000" w:themeColor="text1"/>
          <w:sz w:val="20"/>
          <w:szCs w:val="20"/>
        </w:rPr>
      </w:pPr>
      <w:r w:rsidRPr="004F64C6">
        <w:rPr>
          <w:rFonts w:ascii="Verdana" w:eastAsia="Times New Roman" w:hAnsi="Verdana" w:cs="Arial"/>
          <w:b/>
          <w:color w:val="000000" w:themeColor="text1"/>
          <w:sz w:val="20"/>
          <w:szCs w:val="20"/>
        </w:rPr>
        <w:t>DEL PODER LEGISLATIVO DEL ESTADO DE GUANAJUATO</w:t>
      </w:r>
    </w:p>
    <w:p w:rsidR="004F64C6" w:rsidRPr="004F64C6" w:rsidRDefault="004F64C6" w:rsidP="004F64C6">
      <w:pPr>
        <w:spacing w:after="0" w:line="240" w:lineRule="auto"/>
        <w:jc w:val="both"/>
        <w:rPr>
          <w:rFonts w:ascii="Verdana" w:hAnsi="Verdana"/>
          <w:sz w:val="20"/>
          <w:szCs w:val="20"/>
        </w:rPr>
      </w:pPr>
    </w:p>
    <w:p w:rsidR="004F64C6" w:rsidRPr="004F64C6" w:rsidRDefault="004F64C6" w:rsidP="004F64C6">
      <w:pPr>
        <w:spacing w:after="0" w:line="240" w:lineRule="auto"/>
        <w:jc w:val="both"/>
        <w:rPr>
          <w:rFonts w:ascii="Verdana" w:hAnsi="Verdana"/>
          <w:sz w:val="20"/>
          <w:szCs w:val="20"/>
        </w:rPr>
      </w:pPr>
    </w:p>
    <w:p w:rsidR="004F64C6" w:rsidRPr="004F64C6" w:rsidRDefault="004F64C6" w:rsidP="004F64C6">
      <w:pPr>
        <w:spacing w:after="0" w:line="240" w:lineRule="auto"/>
        <w:jc w:val="center"/>
        <w:rPr>
          <w:rFonts w:ascii="Verdana" w:hAnsi="Verdana" w:cs="Arial"/>
          <w:b/>
          <w:sz w:val="20"/>
          <w:szCs w:val="20"/>
        </w:rPr>
      </w:pPr>
      <w:r w:rsidRPr="004F64C6">
        <w:rPr>
          <w:rFonts w:ascii="Verdana" w:hAnsi="Verdana" w:cs="Arial"/>
          <w:b/>
          <w:sz w:val="20"/>
          <w:szCs w:val="20"/>
        </w:rPr>
        <w:t>Capítulo I</w:t>
      </w:r>
    </w:p>
    <w:p w:rsidR="004F64C6" w:rsidRPr="004F64C6" w:rsidRDefault="004F64C6" w:rsidP="004F64C6">
      <w:pPr>
        <w:spacing w:after="0" w:line="240" w:lineRule="auto"/>
        <w:jc w:val="center"/>
        <w:rPr>
          <w:rFonts w:ascii="Verdana" w:hAnsi="Verdana" w:cs="Arial"/>
          <w:b/>
          <w:sz w:val="20"/>
          <w:szCs w:val="20"/>
        </w:rPr>
      </w:pPr>
      <w:r w:rsidRPr="004F64C6">
        <w:rPr>
          <w:rFonts w:ascii="Verdana" w:hAnsi="Verdana" w:cs="Arial"/>
          <w:b/>
          <w:sz w:val="20"/>
          <w:szCs w:val="20"/>
        </w:rPr>
        <w:t>Disposiciones Generales</w:t>
      </w:r>
    </w:p>
    <w:p w:rsidR="004F64C6" w:rsidRPr="004F64C6" w:rsidRDefault="004F64C6" w:rsidP="004F64C6">
      <w:pPr>
        <w:spacing w:after="0" w:line="240" w:lineRule="auto"/>
        <w:ind w:firstLine="709"/>
        <w:jc w:val="both"/>
        <w:rPr>
          <w:rFonts w:ascii="Verdana" w:hAnsi="Verdana" w:cs="Arial"/>
          <w:b/>
          <w:sz w:val="20"/>
          <w:szCs w:val="20"/>
        </w:rPr>
      </w:pPr>
    </w:p>
    <w:p w:rsidR="004F64C6" w:rsidRPr="004F64C6" w:rsidRDefault="004F64C6" w:rsidP="004F64C6">
      <w:pPr>
        <w:spacing w:after="0" w:line="240" w:lineRule="auto"/>
        <w:jc w:val="right"/>
        <w:rPr>
          <w:rFonts w:ascii="Verdana" w:hAnsi="Verdana" w:cs="Arial"/>
          <w:b/>
          <w:i/>
          <w:sz w:val="20"/>
          <w:szCs w:val="20"/>
        </w:rPr>
      </w:pPr>
      <w:r w:rsidRPr="004F64C6">
        <w:rPr>
          <w:rFonts w:ascii="Verdana" w:hAnsi="Verdana" w:cs="Arial"/>
          <w:b/>
          <w:i/>
          <w:sz w:val="20"/>
          <w:szCs w:val="20"/>
        </w:rPr>
        <w:t>Naturaleza y objeto</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 xml:space="preserve">Artículo 1. </w:t>
      </w:r>
      <w:r w:rsidRPr="004F64C6">
        <w:rPr>
          <w:rFonts w:ascii="Verdana" w:hAnsi="Verdana" w:cs="Arial"/>
          <w:sz w:val="20"/>
          <w:szCs w:val="20"/>
        </w:rPr>
        <w:t>Los presentes lineamientos tienen por objeto establecer las bases para la implementación del Parlamento Abierto en el Congreso del Estado de Guanajuato, de conformidad con lo que dispone la Ley Orgánica para el Estado de Guanajuato la Ley General de Transparencia y Acceso a la Información Pública, la Ley de Transparencia y Acceso a la Información Pública para el Estado de Guanajuato y demás normativa aplicable.</w:t>
      </w:r>
    </w:p>
    <w:p w:rsidR="004F64C6" w:rsidRPr="004F64C6" w:rsidRDefault="004F64C6" w:rsidP="004F64C6">
      <w:pPr>
        <w:spacing w:after="0" w:line="240" w:lineRule="auto"/>
        <w:jc w:val="both"/>
        <w:rPr>
          <w:rFonts w:ascii="Verdana" w:hAnsi="Verdana" w:cs="Arial"/>
          <w:sz w:val="20"/>
          <w:szCs w:val="20"/>
        </w:rPr>
      </w:pPr>
    </w:p>
    <w:p w:rsidR="004F64C6" w:rsidRPr="004F64C6" w:rsidRDefault="004F64C6" w:rsidP="004F64C6">
      <w:pPr>
        <w:spacing w:after="0" w:line="240" w:lineRule="auto"/>
        <w:jc w:val="right"/>
        <w:rPr>
          <w:rFonts w:ascii="Verdana" w:hAnsi="Verdana" w:cs="Arial"/>
          <w:b/>
          <w:i/>
          <w:sz w:val="20"/>
          <w:szCs w:val="20"/>
        </w:rPr>
      </w:pPr>
      <w:r w:rsidRPr="004F64C6">
        <w:rPr>
          <w:rFonts w:ascii="Verdana" w:hAnsi="Verdana" w:cs="Arial"/>
          <w:b/>
          <w:i/>
          <w:sz w:val="20"/>
          <w:szCs w:val="20"/>
        </w:rPr>
        <w:t>Glosario</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Artículo 2.</w:t>
      </w:r>
      <w:r w:rsidRPr="004F64C6">
        <w:rPr>
          <w:rFonts w:ascii="Verdana" w:hAnsi="Verdana" w:cs="Arial"/>
          <w:sz w:val="20"/>
          <w:szCs w:val="20"/>
        </w:rPr>
        <w:t xml:space="preserve"> Para los efectos de los presentes lineamientos se entiende por: </w:t>
      </w:r>
    </w:p>
    <w:p w:rsidR="004F64C6" w:rsidRPr="004F64C6" w:rsidRDefault="004F64C6" w:rsidP="004F64C6">
      <w:pPr>
        <w:spacing w:after="0" w:line="240" w:lineRule="auto"/>
        <w:ind w:firstLine="709"/>
        <w:jc w:val="both"/>
        <w:rPr>
          <w:rFonts w:ascii="Verdana" w:hAnsi="Verdana" w:cs="Arial"/>
          <w:sz w:val="20"/>
          <w:szCs w:val="20"/>
        </w:rPr>
      </w:pPr>
    </w:p>
    <w:p w:rsidR="004F64C6" w:rsidRPr="004F64C6" w:rsidRDefault="004F64C6" w:rsidP="004F64C6">
      <w:pPr>
        <w:pStyle w:val="Prrafodelista"/>
        <w:numPr>
          <w:ilvl w:val="0"/>
          <w:numId w:val="4"/>
        </w:numPr>
        <w:spacing w:after="0" w:line="240" w:lineRule="auto"/>
        <w:ind w:hanging="720"/>
        <w:jc w:val="both"/>
        <w:rPr>
          <w:rFonts w:ascii="Verdana" w:hAnsi="Verdana" w:cs="Arial"/>
          <w:sz w:val="20"/>
          <w:szCs w:val="20"/>
        </w:rPr>
      </w:pPr>
      <w:r w:rsidRPr="004F64C6">
        <w:rPr>
          <w:rFonts w:ascii="Verdana" w:hAnsi="Verdana" w:cs="Arial"/>
          <w:b/>
          <w:sz w:val="20"/>
          <w:szCs w:val="20"/>
        </w:rPr>
        <w:t>Congreso del Estado:</w:t>
      </w:r>
      <w:r w:rsidRPr="004F64C6">
        <w:rPr>
          <w:rFonts w:ascii="Verdana" w:hAnsi="Verdana" w:cs="Arial"/>
          <w:sz w:val="20"/>
          <w:szCs w:val="20"/>
        </w:rPr>
        <w:t xml:space="preserve"> Congreso del Estado de Guanajuato Libre y Soberano de Guanajuato; y</w:t>
      </w:r>
    </w:p>
    <w:p w:rsidR="004F64C6" w:rsidRPr="004F64C6" w:rsidRDefault="004F64C6" w:rsidP="004F64C6">
      <w:pPr>
        <w:spacing w:after="0" w:line="240" w:lineRule="auto"/>
        <w:ind w:left="720" w:hanging="720"/>
        <w:jc w:val="both"/>
        <w:rPr>
          <w:rFonts w:ascii="Verdana" w:hAnsi="Verdana" w:cs="Arial"/>
          <w:sz w:val="20"/>
          <w:szCs w:val="20"/>
        </w:rPr>
      </w:pPr>
    </w:p>
    <w:p w:rsidR="004F64C6" w:rsidRPr="004F64C6" w:rsidRDefault="004F64C6" w:rsidP="004F64C6">
      <w:pPr>
        <w:pStyle w:val="Prrafodelista"/>
        <w:numPr>
          <w:ilvl w:val="0"/>
          <w:numId w:val="4"/>
        </w:numPr>
        <w:spacing w:after="0" w:line="240" w:lineRule="auto"/>
        <w:ind w:hanging="720"/>
        <w:jc w:val="both"/>
        <w:rPr>
          <w:rFonts w:ascii="Verdana" w:hAnsi="Verdana" w:cs="Arial"/>
          <w:sz w:val="20"/>
          <w:szCs w:val="20"/>
        </w:rPr>
      </w:pPr>
      <w:r w:rsidRPr="004F64C6">
        <w:rPr>
          <w:rFonts w:ascii="Verdana" w:hAnsi="Verdana" w:cs="Arial"/>
          <w:b/>
          <w:sz w:val="20"/>
          <w:szCs w:val="20"/>
        </w:rPr>
        <w:t>Lineamientos:</w:t>
      </w:r>
      <w:r w:rsidRPr="004F64C6">
        <w:rPr>
          <w:rFonts w:ascii="Verdana" w:hAnsi="Verdana" w:cs="Arial"/>
          <w:sz w:val="20"/>
          <w:szCs w:val="20"/>
        </w:rPr>
        <w:t xml:space="preserve"> Lineamientos de Parlamento Abierto del Poder Legislativo del Estado de Guanajuato.</w:t>
      </w:r>
    </w:p>
    <w:p w:rsidR="004F64C6" w:rsidRPr="004F64C6" w:rsidRDefault="004F64C6" w:rsidP="004F64C6">
      <w:pPr>
        <w:tabs>
          <w:tab w:val="left" w:pos="285"/>
        </w:tabs>
        <w:spacing w:after="0" w:line="240" w:lineRule="auto"/>
        <w:ind w:firstLine="709"/>
        <w:jc w:val="both"/>
        <w:rPr>
          <w:rFonts w:ascii="Verdana" w:hAnsi="Verdana" w:cs="Arial"/>
          <w:b/>
          <w:i/>
          <w:sz w:val="20"/>
          <w:szCs w:val="20"/>
        </w:rPr>
      </w:pPr>
    </w:p>
    <w:p w:rsidR="004F64C6" w:rsidRPr="004F64C6" w:rsidRDefault="004F64C6" w:rsidP="004F64C6">
      <w:pPr>
        <w:spacing w:after="0" w:line="240" w:lineRule="auto"/>
        <w:jc w:val="right"/>
        <w:rPr>
          <w:rFonts w:ascii="Verdana" w:hAnsi="Verdana" w:cs="Arial"/>
          <w:b/>
          <w:i/>
          <w:sz w:val="20"/>
          <w:szCs w:val="20"/>
        </w:rPr>
      </w:pPr>
      <w:r w:rsidRPr="004F64C6">
        <w:rPr>
          <w:rFonts w:ascii="Verdana" w:hAnsi="Verdana" w:cs="Arial"/>
          <w:b/>
          <w:i/>
          <w:sz w:val="20"/>
          <w:szCs w:val="20"/>
        </w:rPr>
        <w:t>Impulso y promoción del Parlamento Abierto</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eastAsia="Arial Unicode MS" w:hAnsi="Verdana" w:cs="Arial"/>
          <w:b/>
          <w:sz w:val="20"/>
          <w:szCs w:val="20"/>
        </w:rPr>
        <w:t xml:space="preserve">Artículo </w:t>
      </w:r>
      <w:r w:rsidRPr="004F64C6">
        <w:rPr>
          <w:rFonts w:ascii="Verdana" w:hAnsi="Verdana" w:cs="Arial"/>
          <w:b/>
          <w:sz w:val="20"/>
          <w:szCs w:val="20"/>
        </w:rPr>
        <w:t>3.</w:t>
      </w:r>
      <w:r w:rsidRPr="004F64C6">
        <w:rPr>
          <w:rFonts w:ascii="Verdana" w:hAnsi="Verdana" w:cs="Arial"/>
          <w:sz w:val="20"/>
          <w:szCs w:val="20"/>
        </w:rPr>
        <w:t xml:space="preserve"> El Congreso del Estado impulsará el Parlamento Abierto orientado en los principios rectores de transparencia de la información, rendición de cuentas, evaluación del desempeño legislativo, participación ciudadana y uso de tecnologías de la información.</w:t>
      </w:r>
    </w:p>
    <w:p w:rsidR="004F64C6" w:rsidRPr="004F64C6" w:rsidRDefault="004F64C6" w:rsidP="004F64C6">
      <w:pPr>
        <w:spacing w:after="0" w:line="240" w:lineRule="auto"/>
        <w:ind w:firstLine="709"/>
        <w:jc w:val="both"/>
        <w:rPr>
          <w:rFonts w:ascii="Verdana" w:hAnsi="Verdana" w:cs="Arial"/>
          <w:sz w:val="20"/>
          <w:szCs w:val="20"/>
        </w:rPr>
      </w:pP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sz w:val="20"/>
          <w:szCs w:val="20"/>
        </w:rPr>
        <w:t xml:space="preserve">Las dependencias y unidades administrativas a las que se refiere el Título Décimo de la Ley Orgánica del Poder Legislativo, incluida la Auditoría Superior del Estado, en el ámbito de sus atribuciones, y de conformidad con lo que establecen los presentes lineamientos y </w:t>
      </w:r>
      <w:r w:rsidRPr="004F64C6">
        <w:rPr>
          <w:rFonts w:ascii="Verdana" w:hAnsi="Verdana" w:cs="Arial"/>
          <w:sz w:val="20"/>
          <w:szCs w:val="20"/>
        </w:rPr>
        <w:lastRenderedPageBreak/>
        <w:t xml:space="preserve">demás normativa aplicable, deberán realizar las acciones que posibiliten la implementación del Parlamento Abierto en el Congreso del Estado.  </w:t>
      </w:r>
    </w:p>
    <w:p w:rsidR="004F64C6" w:rsidRPr="004F64C6" w:rsidRDefault="004F64C6" w:rsidP="004F64C6">
      <w:pPr>
        <w:pStyle w:val="Prrafodelista"/>
        <w:spacing w:after="0" w:line="240" w:lineRule="auto"/>
        <w:ind w:left="0" w:firstLine="709"/>
        <w:jc w:val="both"/>
        <w:rPr>
          <w:rFonts w:ascii="Verdana" w:hAnsi="Verdana" w:cs="Arial"/>
          <w:b/>
          <w:i/>
          <w:sz w:val="20"/>
          <w:szCs w:val="20"/>
        </w:rPr>
      </w:pPr>
      <w:r w:rsidRPr="004F64C6">
        <w:rPr>
          <w:rFonts w:ascii="Verdana" w:hAnsi="Verdana" w:cs="Arial"/>
          <w:b/>
          <w:i/>
          <w:sz w:val="20"/>
          <w:szCs w:val="20"/>
        </w:rPr>
        <w:t xml:space="preserve"> </w:t>
      </w:r>
    </w:p>
    <w:p w:rsidR="004F64C6" w:rsidRPr="004F64C6" w:rsidRDefault="004F64C6" w:rsidP="004F64C6">
      <w:pPr>
        <w:tabs>
          <w:tab w:val="left" w:pos="285"/>
        </w:tabs>
        <w:spacing w:after="0" w:line="240" w:lineRule="auto"/>
        <w:jc w:val="right"/>
        <w:rPr>
          <w:rFonts w:ascii="Verdana" w:hAnsi="Verdana" w:cs="Arial"/>
          <w:b/>
          <w:sz w:val="20"/>
          <w:szCs w:val="20"/>
        </w:rPr>
      </w:pPr>
      <w:r w:rsidRPr="004F64C6">
        <w:rPr>
          <w:rFonts w:ascii="Verdana" w:hAnsi="Verdana" w:cs="Arial"/>
          <w:b/>
          <w:i/>
          <w:sz w:val="20"/>
          <w:szCs w:val="20"/>
        </w:rPr>
        <w:t>Interpretación</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Artículo 4.</w:t>
      </w:r>
      <w:r w:rsidRPr="004F64C6">
        <w:rPr>
          <w:rFonts w:ascii="Verdana" w:hAnsi="Verdana" w:cs="Arial"/>
          <w:sz w:val="20"/>
          <w:szCs w:val="20"/>
        </w:rPr>
        <w:t xml:space="preserve"> La interpretación de las disposiciones contenidas en los presentes lineamientos, incluidos los de aquellos casos no previstos, corresponde a la Mesa Directiva del Congreso del Estado de Guanajuato.</w:t>
      </w:r>
    </w:p>
    <w:p w:rsidR="004F64C6" w:rsidRPr="004F64C6" w:rsidRDefault="004F64C6" w:rsidP="004F64C6">
      <w:pPr>
        <w:spacing w:after="0" w:line="240" w:lineRule="auto"/>
        <w:jc w:val="both"/>
        <w:rPr>
          <w:rFonts w:ascii="Verdana" w:hAnsi="Verdana" w:cs="Arial"/>
          <w:b/>
          <w:i/>
          <w:sz w:val="20"/>
          <w:szCs w:val="20"/>
        </w:rPr>
      </w:pPr>
    </w:p>
    <w:p w:rsidR="004F64C6" w:rsidRPr="004F64C6" w:rsidRDefault="004F64C6" w:rsidP="004F64C6">
      <w:pPr>
        <w:spacing w:after="0" w:line="240" w:lineRule="auto"/>
        <w:jc w:val="both"/>
        <w:rPr>
          <w:rFonts w:ascii="Verdana" w:hAnsi="Verdana" w:cs="Arial"/>
          <w:b/>
          <w:sz w:val="20"/>
          <w:szCs w:val="20"/>
        </w:rPr>
      </w:pPr>
    </w:p>
    <w:p w:rsidR="004F64C6" w:rsidRPr="004F64C6" w:rsidRDefault="004F64C6" w:rsidP="004F64C6">
      <w:pPr>
        <w:spacing w:after="0" w:line="240" w:lineRule="auto"/>
        <w:jc w:val="center"/>
        <w:rPr>
          <w:rFonts w:ascii="Verdana" w:hAnsi="Verdana" w:cs="Arial"/>
          <w:b/>
          <w:sz w:val="20"/>
          <w:szCs w:val="20"/>
        </w:rPr>
      </w:pPr>
      <w:r w:rsidRPr="004F64C6">
        <w:rPr>
          <w:rFonts w:ascii="Verdana" w:hAnsi="Verdana" w:cs="Arial"/>
          <w:b/>
          <w:sz w:val="20"/>
          <w:szCs w:val="20"/>
        </w:rPr>
        <w:t>Capítulo II</w:t>
      </w:r>
    </w:p>
    <w:p w:rsidR="004F64C6" w:rsidRPr="004F64C6" w:rsidRDefault="004F64C6" w:rsidP="004F64C6">
      <w:pPr>
        <w:spacing w:after="0" w:line="240" w:lineRule="auto"/>
        <w:jc w:val="center"/>
        <w:rPr>
          <w:rFonts w:ascii="Verdana" w:hAnsi="Verdana" w:cs="Arial"/>
          <w:b/>
          <w:sz w:val="20"/>
          <w:szCs w:val="20"/>
        </w:rPr>
      </w:pPr>
      <w:r w:rsidRPr="004F64C6">
        <w:rPr>
          <w:rFonts w:ascii="Verdana" w:hAnsi="Verdana" w:cs="Arial"/>
          <w:b/>
          <w:sz w:val="20"/>
          <w:szCs w:val="20"/>
        </w:rPr>
        <w:t>Indicadores y variables</w:t>
      </w:r>
    </w:p>
    <w:p w:rsidR="004F64C6" w:rsidRPr="004F64C6" w:rsidRDefault="004F64C6" w:rsidP="004F64C6">
      <w:pPr>
        <w:spacing w:after="0" w:line="240" w:lineRule="auto"/>
        <w:ind w:firstLine="709"/>
        <w:jc w:val="both"/>
        <w:rPr>
          <w:rFonts w:ascii="Verdana" w:hAnsi="Verdana" w:cs="Arial"/>
          <w:b/>
          <w:sz w:val="20"/>
          <w:szCs w:val="20"/>
        </w:rPr>
      </w:pPr>
    </w:p>
    <w:p w:rsidR="004F64C6" w:rsidRPr="004F64C6" w:rsidRDefault="004F64C6" w:rsidP="004F64C6">
      <w:pPr>
        <w:spacing w:after="0" w:line="240" w:lineRule="auto"/>
        <w:jc w:val="right"/>
        <w:rPr>
          <w:rFonts w:ascii="Verdana" w:hAnsi="Verdana" w:cs="Arial"/>
          <w:b/>
          <w:i/>
          <w:sz w:val="20"/>
          <w:szCs w:val="20"/>
        </w:rPr>
      </w:pPr>
      <w:r w:rsidRPr="004F64C6">
        <w:rPr>
          <w:rFonts w:ascii="Verdana" w:hAnsi="Verdana" w:cs="Arial"/>
          <w:b/>
          <w:i/>
          <w:sz w:val="20"/>
          <w:szCs w:val="20"/>
        </w:rPr>
        <w:t>Indicadores</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Artículo 5.</w:t>
      </w:r>
      <w:r w:rsidRPr="004F64C6">
        <w:rPr>
          <w:rFonts w:ascii="Verdana" w:hAnsi="Verdana" w:cs="Arial"/>
          <w:sz w:val="20"/>
          <w:szCs w:val="20"/>
        </w:rPr>
        <w:t xml:space="preserve"> En la implementación del Parlamento Abierto en el Congreso del Estado se deberán observar, además de los principios orientadores referidos en el primer párrafo del artículo 3, al menos los siguientes indicadores y sus contenidos:</w:t>
      </w:r>
    </w:p>
    <w:p w:rsidR="004F64C6" w:rsidRPr="004F64C6" w:rsidRDefault="004F64C6" w:rsidP="004F64C6">
      <w:pPr>
        <w:spacing w:after="0" w:line="240" w:lineRule="auto"/>
        <w:ind w:firstLine="709"/>
        <w:jc w:val="both"/>
        <w:rPr>
          <w:rFonts w:ascii="Verdana" w:hAnsi="Verdana" w:cs="Arial"/>
          <w:sz w:val="20"/>
          <w:szCs w:val="20"/>
        </w:rPr>
      </w:pPr>
    </w:p>
    <w:p w:rsidR="004F64C6" w:rsidRPr="004F64C6" w:rsidRDefault="004F64C6" w:rsidP="00E5706A">
      <w:pPr>
        <w:numPr>
          <w:ilvl w:val="0"/>
          <w:numId w:val="5"/>
        </w:numPr>
        <w:spacing w:after="0" w:line="240" w:lineRule="auto"/>
        <w:ind w:hanging="720"/>
        <w:contextualSpacing/>
        <w:jc w:val="both"/>
        <w:rPr>
          <w:rFonts w:ascii="Verdana" w:hAnsi="Verdana" w:cs="Arial"/>
          <w:sz w:val="20"/>
          <w:szCs w:val="20"/>
        </w:rPr>
      </w:pPr>
      <w:r w:rsidRPr="004F64C6">
        <w:rPr>
          <w:rFonts w:ascii="Verdana" w:hAnsi="Verdana" w:cs="Arial"/>
          <w:b/>
          <w:sz w:val="20"/>
          <w:szCs w:val="20"/>
        </w:rPr>
        <w:t>Accesibilidad y difusión:</w:t>
      </w:r>
      <w:r w:rsidRPr="004F64C6">
        <w:rPr>
          <w:rFonts w:ascii="Verdana" w:hAnsi="Verdana" w:cs="Arial"/>
          <w:sz w:val="20"/>
          <w:szCs w:val="20"/>
        </w:rPr>
        <w:t xml:space="preserve"> A través de la certeza de que las instalaciones, las sesiones y reuniones sean accesibles y abiertas al público y en tiempo real, salvo aquellas que por disposición legal o convencional tengan el carácter de privadas;</w:t>
      </w:r>
    </w:p>
    <w:p w:rsidR="004F64C6" w:rsidRPr="004F64C6" w:rsidRDefault="004F64C6" w:rsidP="00E5706A">
      <w:pPr>
        <w:pStyle w:val="Prrafodelista"/>
        <w:numPr>
          <w:ilvl w:val="0"/>
          <w:numId w:val="5"/>
        </w:numPr>
        <w:spacing w:after="0" w:line="240" w:lineRule="auto"/>
        <w:ind w:hanging="720"/>
        <w:jc w:val="both"/>
        <w:rPr>
          <w:rFonts w:ascii="Verdana" w:hAnsi="Verdana" w:cs="Arial"/>
          <w:sz w:val="20"/>
          <w:szCs w:val="20"/>
        </w:rPr>
      </w:pPr>
      <w:r w:rsidRPr="004F64C6">
        <w:rPr>
          <w:rFonts w:ascii="Verdana" w:hAnsi="Verdana" w:cs="Arial"/>
          <w:b/>
          <w:sz w:val="20"/>
          <w:szCs w:val="20"/>
        </w:rPr>
        <w:t>Cabildeo:</w:t>
      </w:r>
      <w:r w:rsidRPr="004F64C6">
        <w:rPr>
          <w:rFonts w:ascii="Verdana" w:hAnsi="Verdana" w:cs="Arial"/>
          <w:sz w:val="20"/>
          <w:szCs w:val="20"/>
        </w:rPr>
        <w:t xml:space="preserve"> A través de la regulación, ordenación y transparencia de las acciones de cabildeo de conformidad con lo que dispone la Ley Orgánica del Poder Legislativo del Estado de Guanajuato y demás normativa aplicable;</w:t>
      </w:r>
    </w:p>
    <w:p w:rsidR="004F64C6" w:rsidRPr="004F64C6" w:rsidRDefault="004F64C6" w:rsidP="00E5706A">
      <w:pPr>
        <w:pStyle w:val="Prrafodelista"/>
        <w:spacing w:after="0" w:line="240" w:lineRule="auto"/>
        <w:ind w:hanging="720"/>
        <w:jc w:val="both"/>
        <w:rPr>
          <w:rFonts w:ascii="Verdana" w:hAnsi="Verdana" w:cs="Arial"/>
          <w:sz w:val="20"/>
          <w:szCs w:val="20"/>
        </w:rPr>
      </w:pPr>
    </w:p>
    <w:p w:rsidR="004F64C6" w:rsidRPr="004F64C6" w:rsidRDefault="004F64C6" w:rsidP="00E5706A">
      <w:pPr>
        <w:pStyle w:val="Prrafodelista"/>
        <w:numPr>
          <w:ilvl w:val="0"/>
          <w:numId w:val="5"/>
        </w:numPr>
        <w:spacing w:after="0" w:line="240" w:lineRule="auto"/>
        <w:ind w:hanging="720"/>
        <w:jc w:val="both"/>
        <w:rPr>
          <w:rFonts w:ascii="Verdana" w:hAnsi="Verdana" w:cs="Arial"/>
          <w:sz w:val="20"/>
          <w:szCs w:val="20"/>
        </w:rPr>
      </w:pPr>
      <w:r w:rsidRPr="004F64C6">
        <w:rPr>
          <w:rFonts w:ascii="Verdana" w:hAnsi="Verdana" w:cs="Arial"/>
          <w:b/>
          <w:sz w:val="20"/>
          <w:szCs w:val="20"/>
        </w:rPr>
        <w:t>Conflicto de intereses:</w:t>
      </w:r>
      <w:r w:rsidRPr="004F64C6">
        <w:rPr>
          <w:rFonts w:ascii="Verdana" w:hAnsi="Verdana" w:cs="Arial"/>
          <w:sz w:val="20"/>
          <w:szCs w:val="20"/>
        </w:rPr>
        <w:t xml:space="preserve"> A través de mecanismos para evitar conflictos de intereses y asegurar la conducta ética de los representantes populares</w:t>
      </w:r>
      <w:r w:rsidRPr="004F64C6">
        <w:rPr>
          <w:rFonts w:ascii="Verdana" w:hAnsi="Verdana"/>
          <w:sz w:val="20"/>
          <w:szCs w:val="20"/>
        </w:rPr>
        <w:t xml:space="preserve"> </w:t>
      </w:r>
      <w:r w:rsidRPr="004F64C6">
        <w:rPr>
          <w:rFonts w:ascii="Verdana" w:hAnsi="Verdana" w:cs="Arial"/>
          <w:sz w:val="20"/>
          <w:szCs w:val="20"/>
        </w:rPr>
        <w:t>de conformidad con lo que dispone la Ley Orgánica del Poder Legislativo del Estado de Guanajuato y demás normativa aplicable;</w:t>
      </w:r>
    </w:p>
    <w:p w:rsidR="004F64C6" w:rsidRPr="004F64C6" w:rsidRDefault="004F64C6" w:rsidP="00E5706A">
      <w:pPr>
        <w:pStyle w:val="Prrafodelista"/>
        <w:spacing w:after="0" w:line="240" w:lineRule="auto"/>
        <w:ind w:hanging="720"/>
        <w:jc w:val="both"/>
        <w:rPr>
          <w:rFonts w:ascii="Verdana" w:hAnsi="Verdana" w:cs="Arial"/>
          <w:sz w:val="20"/>
          <w:szCs w:val="20"/>
        </w:rPr>
      </w:pPr>
    </w:p>
    <w:p w:rsidR="004F64C6" w:rsidRPr="004F64C6" w:rsidRDefault="004F64C6" w:rsidP="00E5706A">
      <w:pPr>
        <w:pStyle w:val="Prrafodelista"/>
        <w:numPr>
          <w:ilvl w:val="0"/>
          <w:numId w:val="5"/>
        </w:numPr>
        <w:spacing w:after="0" w:line="240" w:lineRule="auto"/>
        <w:ind w:hanging="720"/>
        <w:jc w:val="both"/>
        <w:rPr>
          <w:rFonts w:ascii="Verdana" w:hAnsi="Verdana" w:cs="Arial"/>
          <w:sz w:val="20"/>
          <w:szCs w:val="20"/>
        </w:rPr>
      </w:pPr>
      <w:r w:rsidRPr="004F64C6">
        <w:rPr>
          <w:rFonts w:ascii="Verdana" w:hAnsi="Verdana" w:cs="Arial"/>
          <w:b/>
          <w:sz w:val="20"/>
          <w:szCs w:val="20"/>
        </w:rPr>
        <w:t>Datos abiertos:</w:t>
      </w:r>
      <w:r w:rsidRPr="004F64C6">
        <w:rPr>
          <w:rFonts w:ascii="Verdana" w:hAnsi="Verdana" w:cs="Arial"/>
          <w:sz w:val="20"/>
          <w:szCs w:val="20"/>
        </w:rPr>
        <w:t xml:space="preserve"> Mediante la presentar de la información que reúna característica de datos abiertos, interactivos e históricos y con la utilización de software libre y código abierto;</w:t>
      </w:r>
    </w:p>
    <w:p w:rsidR="004F64C6" w:rsidRPr="004F64C6" w:rsidRDefault="004F64C6" w:rsidP="00E5706A">
      <w:pPr>
        <w:numPr>
          <w:ilvl w:val="0"/>
          <w:numId w:val="5"/>
        </w:numPr>
        <w:spacing w:after="0" w:line="240" w:lineRule="auto"/>
        <w:ind w:hanging="720"/>
        <w:contextualSpacing/>
        <w:jc w:val="both"/>
        <w:rPr>
          <w:rFonts w:ascii="Verdana" w:hAnsi="Verdana" w:cs="Arial"/>
          <w:sz w:val="20"/>
          <w:szCs w:val="20"/>
        </w:rPr>
      </w:pPr>
      <w:r w:rsidRPr="004F64C6">
        <w:rPr>
          <w:rFonts w:ascii="Verdana" w:hAnsi="Verdana" w:cs="Arial"/>
          <w:b/>
          <w:sz w:val="20"/>
          <w:szCs w:val="20"/>
        </w:rPr>
        <w:t>Derecho a la información:</w:t>
      </w:r>
      <w:r w:rsidRPr="004F64C6">
        <w:rPr>
          <w:rFonts w:ascii="Verdana" w:hAnsi="Verdana" w:cs="Arial"/>
          <w:sz w:val="20"/>
          <w:szCs w:val="20"/>
        </w:rPr>
        <w:t xml:space="preserve"> Con el empleo de plataformas, mecanismos, sistemas y procedimientos que permitan la obtención de la información de manera  simple, sencilla, verificable, integral y sistematizada;</w:t>
      </w:r>
    </w:p>
    <w:p w:rsidR="004F64C6" w:rsidRPr="004F64C6" w:rsidRDefault="004F64C6" w:rsidP="00E5706A">
      <w:pPr>
        <w:spacing w:after="0" w:line="240" w:lineRule="auto"/>
        <w:ind w:left="720" w:hanging="720"/>
        <w:contextualSpacing/>
        <w:jc w:val="both"/>
        <w:rPr>
          <w:rFonts w:ascii="Verdana" w:hAnsi="Verdana" w:cs="Arial"/>
          <w:sz w:val="20"/>
          <w:szCs w:val="20"/>
        </w:rPr>
      </w:pPr>
    </w:p>
    <w:p w:rsidR="004F64C6" w:rsidRPr="004F64C6" w:rsidRDefault="004F64C6" w:rsidP="00E5706A">
      <w:pPr>
        <w:numPr>
          <w:ilvl w:val="0"/>
          <w:numId w:val="5"/>
        </w:numPr>
        <w:spacing w:after="0" w:line="240" w:lineRule="auto"/>
        <w:ind w:hanging="720"/>
        <w:contextualSpacing/>
        <w:jc w:val="both"/>
        <w:rPr>
          <w:rFonts w:ascii="Verdana" w:hAnsi="Verdana" w:cs="Arial"/>
          <w:sz w:val="20"/>
          <w:szCs w:val="20"/>
        </w:rPr>
      </w:pPr>
      <w:r w:rsidRPr="004F64C6">
        <w:rPr>
          <w:rFonts w:ascii="Verdana" w:hAnsi="Verdana" w:cs="Arial"/>
          <w:b/>
          <w:sz w:val="20"/>
          <w:szCs w:val="20"/>
        </w:rPr>
        <w:t>Información histórica:</w:t>
      </w:r>
      <w:r w:rsidRPr="004F64C6">
        <w:rPr>
          <w:rFonts w:ascii="Verdana" w:hAnsi="Verdana" w:cs="Arial"/>
          <w:sz w:val="20"/>
          <w:szCs w:val="20"/>
        </w:rPr>
        <w:t xml:space="preserve"> Mediante la presentación de la información sobre la actividad legislativa que conforma el archivo histórico, accesible y abierto, en un lugar que se mantenga constante en el tiempo con una URL permanente y con hiperenlaces de referencia de los procesos legislativos;</w:t>
      </w:r>
    </w:p>
    <w:p w:rsidR="004F64C6" w:rsidRPr="004F64C6" w:rsidRDefault="004F64C6" w:rsidP="00E5706A">
      <w:pPr>
        <w:spacing w:after="0" w:line="240" w:lineRule="auto"/>
        <w:ind w:left="720" w:hanging="720"/>
        <w:contextualSpacing/>
        <w:jc w:val="both"/>
        <w:rPr>
          <w:rFonts w:ascii="Verdana" w:hAnsi="Verdana" w:cs="Arial"/>
          <w:sz w:val="20"/>
          <w:szCs w:val="20"/>
        </w:rPr>
      </w:pPr>
    </w:p>
    <w:p w:rsidR="004F64C6" w:rsidRPr="004F64C6" w:rsidRDefault="004F64C6" w:rsidP="00E5706A">
      <w:pPr>
        <w:numPr>
          <w:ilvl w:val="0"/>
          <w:numId w:val="5"/>
        </w:numPr>
        <w:spacing w:after="0" w:line="240" w:lineRule="auto"/>
        <w:ind w:hanging="720"/>
        <w:contextualSpacing/>
        <w:jc w:val="both"/>
        <w:rPr>
          <w:rFonts w:ascii="Verdana" w:hAnsi="Verdana" w:cs="Arial"/>
          <w:sz w:val="20"/>
          <w:szCs w:val="20"/>
        </w:rPr>
      </w:pPr>
      <w:r w:rsidRPr="004F64C6">
        <w:rPr>
          <w:rFonts w:ascii="Verdana" w:hAnsi="Verdana" w:cs="Arial"/>
          <w:b/>
          <w:sz w:val="20"/>
          <w:szCs w:val="20"/>
        </w:rPr>
        <w:t>Información parlamentaria:</w:t>
      </w:r>
      <w:r w:rsidRPr="004F64C6">
        <w:rPr>
          <w:rFonts w:ascii="Verdana" w:hAnsi="Verdana" w:cs="Arial"/>
          <w:sz w:val="20"/>
          <w:szCs w:val="20"/>
        </w:rPr>
        <w:t xml:space="preserve"> A través de la publicación y difusión de la mayor cantidad de la información para las personas de manera proactiva, utilizando formatos sencillos, mecanismos de búsqueda simples y bases de datos en línea con actualización periódica, sujetándose para ello a lo dispuesto en las leyes de la materia;</w:t>
      </w:r>
    </w:p>
    <w:p w:rsidR="004F64C6" w:rsidRPr="004F64C6" w:rsidRDefault="004F64C6" w:rsidP="00E5706A">
      <w:pPr>
        <w:spacing w:after="0" w:line="240" w:lineRule="auto"/>
        <w:ind w:left="720" w:hanging="720"/>
        <w:contextualSpacing/>
        <w:jc w:val="both"/>
        <w:rPr>
          <w:rFonts w:ascii="Verdana" w:hAnsi="Verdana" w:cs="Arial"/>
          <w:sz w:val="20"/>
          <w:szCs w:val="20"/>
        </w:rPr>
      </w:pPr>
    </w:p>
    <w:p w:rsidR="004F64C6" w:rsidRPr="004F64C6" w:rsidRDefault="004F64C6" w:rsidP="00E5706A">
      <w:pPr>
        <w:numPr>
          <w:ilvl w:val="0"/>
          <w:numId w:val="5"/>
        </w:numPr>
        <w:spacing w:after="0" w:line="240" w:lineRule="auto"/>
        <w:ind w:hanging="720"/>
        <w:contextualSpacing/>
        <w:jc w:val="both"/>
        <w:rPr>
          <w:rFonts w:ascii="Verdana" w:hAnsi="Verdana" w:cs="Arial"/>
          <w:sz w:val="20"/>
          <w:szCs w:val="20"/>
        </w:rPr>
      </w:pPr>
      <w:r w:rsidRPr="004F64C6">
        <w:rPr>
          <w:rFonts w:ascii="Verdana" w:hAnsi="Verdana" w:cs="Arial"/>
          <w:b/>
          <w:sz w:val="20"/>
          <w:szCs w:val="20"/>
        </w:rPr>
        <w:t>Información presupuestal y administrativa:</w:t>
      </w:r>
      <w:r w:rsidRPr="004F64C6">
        <w:rPr>
          <w:rFonts w:ascii="Verdana" w:hAnsi="Verdana" w:cs="Arial"/>
          <w:sz w:val="20"/>
          <w:szCs w:val="20"/>
        </w:rPr>
        <w:t xml:space="preserve"> Mediante la publicación y divulgación de la información oportuna y detallada sobre la gestión, administración y gasto del presupuesto asignado al Poder Legislativo en estricto apego a las disposiciones legales que regulan la materia;</w:t>
      </w:r>
    </w:p>
    <w:p w:rsidR="004F64C6" w:rsidRPr="004F64C6" w:rsidRDefault="004F64C6" w:rsidP="00E5706A">
      <w:pPr>
        <w:spacing w:after="0" w:line="240" w:lineRule="auto"/>
        <w:ind w:left="720" w:hanging="720"/>
        <w:contextualSpacing/>
        <w:jc w:val="both"/>
        <w:rPr>
          <w:rFonts w:ascii="Verdana" w:hAnsi="Verdana" w:cs="Arial"/>
          <w:sz w:val="20"/>
          <w:szCs w:val="20"/>
        </w:rPr>
      </w:pPr>
    </w:p>
    <w:p w:rsidR="004F64C6" w:rsidRPr="004F64C6" w:rsidRDefault="004F64C6" w:rsidP="00E5706A">
      <w:pPr>
        <w:numPr>
          <w:ilvl w:val="0"/>
          <w:numId w:val="5"/>
        </w:numPr>
        <w:spacing w:after="0" w:line="240" w:lineRule="auto"/>
        <w:ind w:hanging="720"/>
        <w:contextualSpacing/>
        <w:jc w:val="both"/>
        <w:rPr>
          <w:rFonts w:ascii="Verdana" w:hAnsi="Verdana" w:cs="Arial"/>
          <w:sz w:val="20"/>
          <w:szCs w:val="20"/>
        </w:rPr>
      </w:pPr>
      <w:r w:rsidRPr="004F64C6">
        <w:rPr>
          <w:rFonts w:ascii="Verdana" w:hAnsi="Verdana" w:cs="Arial"/>
          <w:b/>
          <w:sz w:val="20"/>
          <w:szCs w:val="20"/>
        </w:rPr>
        <w:t>Información sobre legisladores y servidores públicos:</w:t>
      </w:r>
      <w:r w:rsidRPr="004F64C6">
        <w:rPr>
          <w:rFonts w:ascii="Verdana" w:hAnsi="Verdana" w:cs="Arial"/>
          <w:sz w:val="20"/>
          <w:szCs w:val="20"/>
        </w:rPr>
        <w:t xml:space="preserve"> A través de la publicación detallada de la información sobre las actividades y participación de los representantes populares en lo que corresponda al ejercicio de su función como tales, y en lo conducente, del resto de los servidores públicos del Poder Legislativo, incluidas la declaración patrimonial y el registro de intereses; </w:t>
      </w:r>
    </w:p>
    <w:p w:rsidR="004F64C6" w:rsidRPr="004F64C6" w:rsidRDefault="004F64C6" w:rsidP="00E5706A">
      <w:pPr>
        <w:spacing w:after="0" w:line="240" w:lineRule="auto"/>
        <w:ind w:left="720" w:hanging="720"/>
        <w:contextualSpacing/>
        <w:jc w:val="both"/>
        <w:rPr>
          <w:rFonts w:ascii="Verdana" w:hAnsi="Verdana" w:cs="Arial"/>
          <w:sz w:val="20"/>
          <w:szCs w:val="20"/>
        </w:rPr>
      </w:pPr>
    </w:p>
    <w:p w:rsidR="004F64C6" w:rsidRPr="004F64C6" w:rsidRDefault="004F64C6" w:rsidP="00E5706A">
      <w:pPr>
        <w:numPr>
          <w:ilvl w:val="0"/>
          <w:numId w:val="5"/>
        </w:numPr>
        <w:spacing w:after="0" w:line="240" w:lineRule="auto"/>
        <w:ind w:hanging="720"/>
        <w:contextualSpacing/>
        <w:jc w:val="both"/>
        <w:rPr>
          <w:rFonts w:ascii="Verdana" w:hAnsi="Verdana" w:cs="Arial"/>
          <w:sz w:val="20"/>
          <w:szCs w:val="20"/>
        </w:rPr>
      </w:pPr>
      <w:r w:rsidRPr="004F64C6">
        <w:rPr>
          <w:rFonts w:ascii="Verdana" w:hAnsi="Verdana" w:cs="Arial"/>
          <w:b/>
          <w:sz w:val="20"/>
          <w:szCs w:val="20"/>
        </w:rPr>
        <w:t>Legislar a favor del Parlamento Abierto:</w:t>
      </w:r>
      <w:r w:rsidRPr="004F64C6">
        <w:rPr>
          <w:rFonts w:ascii="Verdana" w:hAnsi="Verdana" w:cs="Arial"/>
          <w:sz w:val="20"/>
          <w:szCs w:val="20"/>
        </w:rPr>
        <w:t xml:space="preserve"> Mediante la presentación y en su caso, aprobación de leyes que favorezcan políticas de Congreso Abierto; y</w:t>
      </w:r>
    </w:p>
    <w:p w:rsidR="004F64C6" w:rsidRPr="004F64C6" w:rsidRDefault="004F64C6" w:rsidP="00E5706A">
      <w:pPr>
        <w:spacing w:after="0" w:line="240" w:lineRule="auto"/>
        <w:ind w:left="720" w:hanging="720"/>
        <w:contextualSpacing/>
        <w:jc w:val="both"/>
        <w:rPr>
          <w:rFonts w:ascii="Verdana" w:hAnsi="Verdana" w:cs="Arial"/>
          <w:sz w:val="20"/>
          <w:szCs w:val="20"/>
        </w:rPr>
      </w:pPr>
    </w:p>
    <w:p w:rsidR="004F64C6" w:rsidRPr="004F64C6" w:rsidRDefault="004F64C6" w:rsidP="00E5706A">
      <w:pPr>
        <w:numPr>
          <w:ilvl w:val="0"/>
          <w:numId w:val="5"/>
        </w:numPr>
        <w:spacing w:after="0" w:line="240" w:lineRule="auto"/>
        <w:ind w:hanging="720"/>
        <w:contextualSpacing/>
        <w:jc w:val="both"/>
        <w:rPr>
          <w:rFonts w:ascii="Verdana" w:hAnsi="Verdana" w:cs="Arial"/>
          <w:sz w:val="20"/>
          <w:szCs w:val="20"/>
        </w:rPr>
      </w:pPr>
      <w:r w:rsidRPr="004F64C6">
        <w:rPr>
          <w:rFonts w:ascii="Verdana" w:hAnsi="Verdana" w:cs="Arial"/>
          <w:b/>
          <w:sz w:val="20"/>
          <w:szCs w:val="20"/>
        </w:rPr>
        <w:t>Participación ciudadana y rendición de cuentas:</w:t>
      </w:r>
      <w:r w:rsidRPr="004F64C6">
        <w:rPr>
          <w:rFonts w:ascii="Verdana" w:hAnsi="Verdana" w:cs="Arial"/>
          <w:sz w:val="20"/>
          <w:szCs w:val="20"/>
        </w:rPr>
        <w:t xml:space="preserve"> A través del fomento e inclusión de las opiniones, comentarios, sugerencias, propuestas y propuestas emanadas de la sociedad civil que contribuyan a la integración y toma de decisiones en la actividad legislativa así como al fomento de la rendición de cuentas.</w:t>
      </w:r>
    </w:p>
    <w:p w:rsidR="004F64C6" w:rsidRPr="004F64C6" w:rsidRDefault="004F64C6" w:rsidP="00E5706A">
      <w:pPr>
        <w:spacing w:after="0" w:line="240" w:lineRule="auto"/>
        <w:jc w:val="both"/>
        <w:rPr>
          <w:rFonts w:ascii="Verdana" w:hAnsi="Verdana" w:cs="Arial"/>
          <w:sz w:val="20"/>
          <w:szCs w:val="20"/>
        </w:rPr>
      </w:pPr>
    </w:p>
    <w:p w:rsidR="004F64C6" w:rsidRPr="004F64C6" w:rsidRDefault="004F64C6" w:rsidP="00E5706A">
      <w:pPr>
        <w:spacing w:after="0" w:line="240" w:lineRule="auto"/>
        <w:ind w:firstLine="709"/>
        <w:jc w:val="right"/>
        <w:rPr>
          <w:rFonts w:ascii="Verdana" w:hAnsi="Verdana" w:cs="Arial"/>
          <w:b/>
          <w:i/>
          <w:sz w:val="20"/>
          <w:szCs w:val="20"/>
        </w:rPr>
      </w:pPr>
      <w:r w:rsidRPr="004F64C6">
        <w:rPr>
          <w:rFonts w:ascii="Verdana" w:hAnsi="Verdana" w:cs="Arial"/>
          <w:b/>
          <w:i/>
          <w:sz w:val="20"/>
          <w:szCs w:val="20"/>
        </w:rPr>
        <w:t>Variables</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Artículo 6.</w:t>
      </w:r>
      <w:r w:rsidRPr="004F64C6">
        <w:rPr>
          <w:rFonts w:ascii="Verdana" w:hAnsi="Verdana" w:cs="Arial"/>
          <w:sz w:val="20"/>
          <w:szCs w:val="20"/>
        </w:rPr>
        <w:t xml:space="preserve"> Los indicadores que se apliquen en el Parlamento Abierto, se operarán a través de variables objetivas que permitan materializarlos, las que en todo caso deberán ser acordes requerimientos que en materia de transparencia y acceso a la información pública y rendición de cuentas dispongan las leyes de la materia, con independencia de los demás que el Congreso del Estado pudiera adoptar por cualquier otra vía legal o convencional.</w:t>
      </w:r>
    </w:p>
    <w:p w:rsidR="004F64C6" w:rsidRPr="004F64C6" w:rsidRDefault="004F64C6" w:rsidP="00E5706A">
      <w:pPr>
        <w:spacing w:after="0" w:line="240" w:lineRule="auto"/>
        <w:jc w:val="both"/>
        <w:rPr>
          <w:rFonts w:ascii="Verdana" w:hAnsi="Verdana" w:cs="Arial"/>
          <w:sz w:val="20"/>
          <w:szCs w:val="20"/>
        </w:rPr>
      </w:pPr>
    </w:p>
    <w:p w:rsidR="004F64C6" w:rsidRPr="004F64C6" w:rsidRDefault="004F64C6" w:rsidP="00E5706A">
      <w:pPr>
        <w:spacing w:after="0" w:line="240" w:lineRule="auto"/>
        <w:jc w:val="right"/>
        <w:rPr>
          <w:rFonts w:ascii="Verdana" w:hAnsi="Verdana" w:cs="Arial"/>
          <w:b/>
          <w:i/>
          <w:sz w:val="20"/>
          <w:szCs w:val="20"/>
        </w:rPr>
      </w:pPr>
      <w:r w:rsidRPr="004F64C6">
        <w:rPr>
          <w:rFonts w:ascii="Verdana" w:hAnsi="Verdana" w:cs="Arial"/>
          <w:b/>
          <w:i/>
          <w:sz w:val="20"/>
          <w:szCs w:val="20"/>
        </w:rPr>
        <w:t>Difusión</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Artículo 7.</w:t>
      </w:r>
      <w:r w:rsidRPr="004F64C6">
        <w:rPr>
          <w:rFonts w:ascii="Verdana" w:hAnsi="Verdana" w:cs="Arial"/>
          <w:sz w:val="20"/>
          <w:szCs w:val="20"/>
        </w:rPr>
        <w:t xml:space="preserve"> La información relacionada con la implementación del Parlamento Abierto se deberá mostrar actualizada en la página de internet del Congreso del Estado, sujetándose para ello en lo conducente, a las disposiciones de la Ley de Acceso a la Información Pública para el Estado de Guanajuato, y demás normativa aplicable.</w:t>
      </w:r>
    </w:p>
    <w:p w:rsidR="004F64C6" w:rsidRPr="004F64C6" w:rsidRDefault="004F64C6" w:rsidP="00E5706A">
      <w:pPr>
        <w:spacing w:after="0" w:line="240" w:lineRule="auto"/>
        <w:jc w:val="both"/>
        <w:rPr>
          <w:rFonts w:ascii="Verdana" w:hAnsi="Verdana" w:cs="Arial"/>
          <w:sz w:val="20"/>
          <w:szCs w:val="20"/>
        </w:rPr>
      </w:pPr>
    </w:p>
    <w:p w:rsidR="004F64C6" w:rsidRPr="004F64C6" w:rsidRDefault="004F64C6" w:rsidP="00E5706A">
      <w:pPr>
        <w:spacing w:after="0" w:line="240" w:lineRule="auto"/>
        <w:jc w:val="both"/>
        <w:rPr>
          <w:rFonts w:ascii="Verdana" w:hAnsi="Verdana" w:cs="Arial"/>
          <w:sz w:val="20"/>
          <w:szCs w:val="20"/>
        </w:rPr>
      </w:pPr>
    </w:p>
    <w:p w:rsidR="004F64C6" w:rsidRPr="004F64C6" w:rsidRDefault="004F64C6" w:rsidP="00E5706A">
      <w:pPr>
        <w:spacing w:after="0" w:line="240" w:lineRule="auto"/>
        <w:jc w:val="center"/>
        <w:rPr>
          <w:rFonts w:ascii="Verdana" w:hAnsi="Verdana" w:cs="Arial"/>
          <w:b/>
          <w:sz w:val="20"/>
          <w:szCs w:val="20"/>
        </w:rPr>
      </w:pPr>
      <w:r w:rsidRPr="004F64C6">
        <w:rPr>
          <w:rFonts w:ascii="Verdana" w:hAnsi="Verdana" w:cs="Arial"/>
          <w:b/>
          <w:sz w:val="20"/>
          <w:szCs w:val="20"/>
        </w:rPr>
        <w:t>Capítulo III</w:t>
      </w:r>
    </w:p>
    <w:p w:rsidR="004F64C6" w:rsidRPr="004F64C6" w:rsidRDefault="004F64C6" w:rsidP="00E5706A">
      <w:pPr>
        <w:spacing w:after="0" w:line="240" w:lineRule="auto"/>
        <w:jc w:val="center"/>
        <w:rPr>
          <w:rFonts w:ascii="Verdana" w:hAnsi="Verdana" w:cs="Arial"/>
          <w:b/>
          <w:sz w:val="20"/>
          <w:szCs w:val="20"/>
        </w:rPr>
      </w:pPr>
      <w:r w:rsidRPr="004F64C6">
        <w:rPr>
          <w:rFonts w:ascii="Verdana" w:hAnsi="Verdana" w:cs="Arial"/>
          <w:b/>
          <w:sz w:val="20"/>
          <w:szCs w:val="20"/>
        </w:rPr>
        <w:t>Implementación de Mejores Prácticas de Transparencia</w:t>
      </w:r>
    </w:p>
    <w:p w:rsidR="004F64C6" w:rsidRPr="004F64C6" w:rsidRDefault="004F64C6" w:rsidP="00E5706A">
      <w:pPr>
        <w:spacing w:after="0" w:line="240" w:lineRule="auto"/>
        <w:jc w:val="center"/>
        <w:rPr>
          <w:rFonts w:ascii="Verdana" w:hAnsi="Verdana" w:cs="Arial"/>
          <w:b/>
          <w:sz w:val="20"/>
          <w:szCs w:val="20"/>
        </w:rPr>
      </w:pPr>
      <w:r w:rsidRPr="004F64C6">
        <w:rPr>
          <w:rFonts w:ascii="Verdana" w:hAnsi="Verdana" w:cs="Arial"/>
          <w:b/>
          <w:sz w:val="20"/>
          <w:szCs w:val="20"/>
        </w:rPr>
        <w:t>y Participación Ciudadana</w:t>
      </w:r>
    </w:p>
    <w:p w:rsidR="004F64C6" w:rsidRPr="004F64C6" w:rsidRDefault="004F64C6" w:rsidP="004F64C6">
      <w:pPr>
        <w:spacing w:after="0" w:line="240" w:lineRule="auto"/>
        <w:ind w:firstLine="709"/>
        <w:jc w:val="both"/>
        <w:rPr>
          <w:rFonts w:ascii="Verdana" w:hAnsi="Verdana" w:cs="Arial"/>
          <w:b/>
          <w:i/>
          <w:sz w:val="20"/>
          <w:szCs w:val="20"/>
        </w:rPr>
      </w:pPr>
    </w:p>
    <w:p w:rsidR="004F64C6" w:rsidRPr="004F64C6" w:rsidRDefault="004F64C6" w:rsidP="00E5706A">
      <w:pPr>
        <w:spacing w:after="0" w:line="240" w:lineRule="auto"/>
        <w:jc w:val="right"/>
        <w:rPr>
          <w:rFonts w:ascii="Verdana" w:hAnsi="Verdana" w:cs="Arial"/>
          <w:b/>
          <w:i/>
          <w:sz w:val="20"/>
          <w:szCs w:val="20"/>
        </w:rPr>
      </w:pPr>
      <w:r w:rsidRPr="004F64C6">
        <w:rPr>
          <w:rFonts w:ascii="Verdana" w:hAnsi="Verdana" w:cs="Arial"/>
          <w:b/>
          <w:i/>
          <w:sz w:val="20"/>
          <w:szCs w:val="20"/>
        </w:rPr>
        <w:t>Mejores prácticas</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 xml:space="preserve">Artículo 8. </w:t>
      </w:r>
      <w:r w:rsidRPr="004F64C6">
        <w:rPr>
          <w:rFonts w:ascii="Verdana" w:hAnsi="Verdana" w:cs="Arial"/>
          <w:sz w:val="20"/>
          <w:szCs w:val="20"/>
        </w:rPr>
        <w:t xml:space="preserve">En la implementación del Parlamento Abierto, con independencia de lo que señalen otras disposiciones normativas, se deberán implementar al menos las siguientes prácticas de transparencia y participación ciudadana: </w:t>
      </w:r>
    </w:p>
    <w:p w:rsidR="004F64C6" w:rsidRPr="004F64C6" w:rsidRDefault="004F64C6" w:rsidP="004F64C6">
      <w:pPr>
        <w:spacing w:after="0" w:line="240" w:lineRule="auto"/>
        <w:ind w:firstLine="709"/>
        <w:jc w:val="both"/>
        <w:rPr>
          <w:rFonts w:ascii="Verdana" w:hAnsi="Verdana" w:cs="Arial"/>
          <w:sz w:val="20"/>
          <w:szCs w:val="20"/>
        </w:rPr>
      </w:pPr>
    </w:p>
    <w:p w:rsidR="004F64C6" w:rsidRPr="004F64C6" w:rsidRDefault="004F64C6" w:rsidP="00E5706A">
      <w:pPr>
        <w:pStyle w:val="Prrafodelista"/>
        <w:numPr>
          <w:ilvl w:val="0"/>
          <w:numId w:val="6"/>
        </w:numPr>
        <w:spacing w:after="0" w:line="240" w:lineRule="auto"/>
        <w:ind w:hanging="720"/>
        <w:jc w:val="both"/>
        <w:rPr>
          <w:rFonts w:ascii="Verdana" w:hAnsi="Verdana" w:cs="Arial"/>
          <w:sz w:val="20"/>
          <w:szCs w:val="20"/>
        </w:rPr>
      </w:pPr>
      <w:r w:rsidRPr="004F64C6">
        <w:rPr>
          <w:rFonts w:ascii="Verdana" w:hAnsi="Verdana" w:cs="Arial"/>
          <w:sz w:val="20"/>
          <w:szCs w:val="20"/>
        </w:rPr>
        <w:t xml:space="preserve">Poner a consulta de la ciudadanía las iniciativas y proposiciones que se presenten al Congreso del Estado; </w:t>
      </w:r>
    </w:p>
    <w:p w:rsidR="004F64C6" w:rsidRPr="004F64C6" w:rsidRDefault="004F64C6" w:rsidP="00E5706A">
      <w:pPr>
        <w:pStyle w:val="Prrafodelista"/>
        <w:spacing w:after="0" w:line="240" w:lineRule="auto"/>
        <w:ind w:hanging="720"/>
        <w:jc w:val="both"/>
        <w:rPr>
          <w:rFonts w:ascii="Verdana" w:hAnsi="Verdana" w:cs="Arial"/>
          <w:sz w:val="20"/>
          <w:szCs w:val="20"/>
        </w:rPr>
      </w:pPr>
    </w:p>
    <w:p w:rsidR="004F64C6" w:rsidRPr="004F64C6" w:rsidRDefault="004F64C6" w:rsidP="00E5706A">
      <w:pPr>
        <w:pStyle w:val="Prrafodelista"/>
        <w:numPr>
          <w:ilvl w:val="0"/>
          <w:numId w:val="6"/>
        </w:numPr>
        <w:spacing w:after="0" w:line="240" w:lineRule="auto"/>
        <w:ind w:hanging="720"/>
        <w:jc w:val="both"/>
        <w:rPr>
          <w:rFonts w:ascii="Verdana" w:hAnsi="Verdana" w:cs="Arial"/>
          <w:sz w:val="20"/>
          <w:szCs w:val="20"/>
        </w:rPr>
      </w:pPr>
      <w:r w:rsidRPr="004F64C6">
        <w:rPr>
          <w:rFonts w:ascii="Verdana" w:hAnsi="Verdana" w:cs="Arial"/>
          <w:sz w:val="20"/>
          <w:szCs w:val="20"/>
        </w:rPr>
        <w:t>Poner en conocimiento, y en su caso, a disposición de la ciudadanía la información que se genere o posea por parte del Poder Legislativo, sujetándose para ello a lo que dispone la Ley de Transparencia y Acceso a la Información Pública para el Estado de Guanajuato, la Ley de Fiscalización Superior del Estado de Guanajuato, y demás normativa aplicable; y</w:t>
      </w:r>
    </w:p>
    <w:p w:rsidR="004F64C6" w:rsidRPr="004F64C6" w:rsidRDefault="004F64C6" w:rsidP="00E5706A">
      <w:pPr>
        <w:pStyle w:val="Prrafodelista"/>
        <w:spacing w:after="0" w:line="240" w:lineRule="auto"/>
        <w:ind w:hanging="720"/>
        <w:jc w:val="both"/>
        <w:rPr>
          <w:rFonts w:ascii="Verdana" w:hAnsi="Verdana" w:cs="Arial"/>
          <w:sz w:val="20"/>
          <w:szCs w:val="20"/>
        </w:rPr>
      </w:pPr>
    </w:p>
    <w:p w:rsidR="004F64C6" w:rsidRPr="004F64C6" w:rsidRDefault="004F64C6" w:rsidP="00E5706A">
      <w:pPr>
        <w:pStyle w:val="Prrafodelista"/>
        <w:numPr>
          <w:ilvl w:val="0"/>
          <w:numId w:val="6"/>
        </w:numPr>
        <w:spacing w:after="0" w:line="240" w:lineRule="auto"/>
        <w:ind w:hanging="720"/>
        <w:jc w:val="both"/>
        <w:rPr>
          <w:rFonts w:ascii="Verdana" w:hAnsi="Verdana" w:cs="Arial"/>
          <w:sz w:val="20"/>
          <w:szCs w:val="20"/>
        </w:rPr>
      </w:pPr>
      <w:r w:rsidRPr="004F64C6">
        <w:rPr>
          <w:rFonts w:ascii="Verdana" w:hAnsi="Verdana" w:cs="Arial"/>
          <w:sz w:val="20"/>
          <w:szCs w:val="20"/>
        </w:rPr>
        <w:t>Propiciar la participación ciudadana a través del uso de las tecnologías de la información y de la comunicación, mediante la implementación de esquemas, modelos y vías de interacción, que permitan la comunicación entre la ciudadanía y el Congreso del Estado, que se sujetarán, además de lo señalado en los presentes lineamientos, a los manuales de operación que para cada una de ellas se diseñe.</w:t>
      </w:r>
    </w:p>
    <w:p w:rsidR="004F64C6" w:rsidRPr="004F64C6" w:rsidRDefault="004F64C6" w:rsidP="00E5706A">
      <w:pPr>
        <w:spacing w:after="0" w:line="240" w:lineRule="auto"/>
        <w:jc w:val="both"/>
        <w:rPr>
          <w:rFonts w:ascii="Verdana" w:hAnsi="Verdana" w:cs="Arial"/>
          <w:sz w:val="20"/>
          <w:szCs w:val="20"/>
        </w:rPr>
      </w:pPr>
    </w:p>
    <w:p w:rsidR="004F64C6" w:rsidRPr="004F64C6" w:rsidRDefault="004F64C6" w:rsidP="00E5706A">
      <w:pPr>
        <w:spacing w:after="0" w:line="240" w:lineRule="auto"/>
        <w:jc w:val="right"/>
        <w:rPr>
          <w:rFonts w:ascii="Verdana" w:hAnsi="Verdana" w:cs="Arial"/>
          <w:b/>
          <w:i/>
          <w:sz w:val="20"/>
          <w:szCs w:val="20"/>
        </w:rPr>
      </w:pPr>
      <w:r w:rsidRPr="004F64C6">
        <w:rPr>
          <w:rFonts w:ascii="Verdana" w:hAnsi="Verdana" w:cs="Arial"/>
          <w:b/>
          <w:i/>
          <w:sz w:val="20"/>
          <w:szCs w:val="20"/>
        </w:rPr>
        <w:t>Consulta y participación en iniciativas y proposiciones</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Artículo 9.</w:t>
      </w:r>
      <w:r w:rsidRPr="004F64C6">
        <w:rPr>
          <w:rFonts w:ascii="Verdana" w:hAnsi="Verdana" w:cs="Arial"/>
          <w:sz w:val="20"/>
          <w:szCs w:val="20"/>
        </w:rPr>
        <w:t xml:space="preserve"> Sin menoscabo de las atribuciones y facultades que tienen los diputados para llevar a cabo el ejercicio de la función legislativa, toda iniciativa o proposición que ingrese al Congreso del Estado deberá ponerse a disposición de la ciudadanía para su conocimiento, una vez que de ella se haya dado cuenta al Pleno del Congreso del Estado. Para tales efectos, se deberán habilitar en la página de internet del Congreso del Estado, vínculos electrónicos que permitan su fácil localización. </w:t>
      </w:r>
    </w:p>
    <w:p w:rsidR="004F64C6" w:rsidRPr="004F64C6" w:rsidRDefault="004F64C6" w:rsidP="004F64C6">
      <w:pPr>
        <w:spacing w:after="0" w:line="240" w:lineRule="auto"/>
        <w:ind w:firstLine="709"/>
        <w:jc w:val="both"/>
        <w:rPr>
          <w:rFonts w:ascii="Verdana" w:hAnsi="Verdana" w:cs="Arial"/>
          <w:sz w:val="20"/>
          <w:szCs w:val="20"/>
        </w:rPr>
      </w:pP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sz w:val="20"/>
          <w:szCs w:val="20"/>
        </w:rPr>
        <w:t>Cuando en los trabajos de dictaminación de las iniciativas o proposiciones las comisiones acuerden ponerlas a consulta y participación de la ciudadanía, para que ésta haga llegar sus comentarios, opiniones y observaciones, se habilitarán en la página de internet del Congreso del Estado, los vínculo electrónico que posibiliten y faciliten la participación, con independencia de cualquier otro mecanismo de participación que las comisiones pudieran establecer.</w:t>
      </w:r>
    </w:p>
    <w:p w:rsidR="00E5706A" w:rsidRDefault="00E5706A" w:rsidP="00E5706A">
      <w:pPr>
        <w:spacing w:after="0" w:line="240" w:lineRule="auto"/>
        <w:jc w:val="both"/>
        <w:rPr>
          <w:rFonts w:ascii="Verdana" w:hAnsi="Verdana" w:cs="Arial"/>
          <w:sz w:val="20"/>
          <w:szCs w:val="20"/>
        </w:rPr>
      </w:pPr>
    </w:p>
    <w:p w:rsidR="00E5706A" w:rsidRDefault="00E5706A" w:rsidP="00E5706A">
      <w:pPr>
        <w:spacing w:after="0" w:line="240" w:lineRule="auto"/>
        <w:jc w:val="both"/>
        <w:rPr>
          <w:rFonts w:ascii="Verdana" w:hAnsi="Verdana" w:cs="Arial"/>
          <w:sz w:val="20"/>
          <w:szCs w:val="20"/>
        </w:rPr>
      </w:pPr>
    </w:p>
    <w:p w:rsidR="004F64C6" w:rsidRPr="004F64C6" w:rsidRDefault="004F64C6" w:rsidP="00E5706A">
      <w:pPr>
        <w:spacing w:after="0" w:line="240" w:lineRule="auto"/>
        <w:jc w:val="right"/>
        <w:rPr>
          <w:rFonts w:ascii="Verdana" w:hAnsi="Verdana" w:cs="Arial"/>
          <w:b/>
          <w:i/>
          <w:sz w:val="20"/>
          <w:szCs w:val="20"/>
        </w:rPr>
      </w:pPr>
      <w:r w:rsidRPr="004F64C6">
        <w:rPr>
          <w:rFonts w:ascii="Verdana" w:hAnsi="Verdana" w:cs="Arial"/>
          <w:b/>
          <w:i/>
          <w:sz w:val="20"/>
          <w:szCs w:val="20"/>
        </w:rPr>
        <w:t>Uso de las tecnologías de la información</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Artículo 10.</w:t>
      </w:r>
      <w:r w:rsidRPr="004F64C6">
        <w:rPr>
          <w:rFonts w:ascii="Verdana" w:hAnsi="Verdana" w:cs="Arial"/>
          <w:sz w:val="20"/>
          <w:szCs w:val="20"/>
        </w:rPr>
        <w:t xml:space="preserve"> En la implementación del Parlamento Abierto en el Poder Legislativo, se hará uso eficaz y eficiente de las tecnologías de la información y comunicación. </w:t>
      </w:r>
    </w:p>
    <w:p w:rsidR="004F64C6" w:rsidRPr="004F64C6" w:rsidRDefault="004F64C6" w:rsidP="004F64C6">
      <w:pPr>
        <w:spacing w:after="0" w:line="240" w:lineRule="auto"/>
        <w:ind w:firstLine="709"/>
        <w:jc w:val="both"/>
        <w:rPr>
          <w:rFonts w:ascii="Verdana" w:hAnsi="Verdana" w:cs="Arial"/>
          <w:sz w:val="20"/>
          <w:szCs w:val="20"/>
        </w:rPr>
      </w:pP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sz w:val="20"/>
          <w:szCs w:val="20"/>
        </w:rPr>
        <w:t>Los sistemas informáticos que se utilicen en el Poder Legislativo deberán atender a los principios de accesibilidad de la información, certeza, concentración, confiabilidad, conservación de datos, clasificación, funcionalidad, homologación de contenidos y procesos, integralidad, interconectividad, orden, organización, sencillez y sustentabilidad.</w:t>
      </w:r>
    </w:p>
    <w:p w:rsidR="004F64C6" w:rsidRPr="004F64C6" w:rsidRDefault="004F64C6" w:rsidP="004F64C6">
      <w:pPr>
        <w:spacing w:after="0" w:line="240" w:lineRule="auto"/>
        <w:ind w:firstLine="709"/>
        <w:jc w:val="both"/>
        <w:rPr>
          <w:rFonts w:ascii="Verdana" w:hAnsi="Verdana" w:cs="Arial"/>
          <w:sz w:val="20"/>
          <w:szCs w:val="20"/>
        </w:rPr>
      </w:pPr>
    </w:p>
    <w:p w:rsidR="004F64C6" w:rsidRPr="004F64C6" w:rsidRDefault="004F64C6" w:rsidP="00E5706A">
      <w:pPr>
        <w:tabs>
          <w:tab w:val="left" w:pos="1871"/>
          <w:tab w:val="right" w:pos="8838"/>
        </w:tabs>
        <w:spacing w:after="0" w:line="240" w:lineRule="auto"/>
        <w:jc w:val="right"/>
        <w:rPr>
          <w:rFonts w:ascii="Verdana" w:hAnsi="Verdana" w:cs="Arial"/>
          <w:b/>
          <w:i/>
          <w:sz w:val="20"/>
          <w:szCs w:val="20"/>
        </w:rPr>
      </w:pPr>
      <w:r w:rsidRPr="004F64C6">
        <w:rPr>
          <w:rFonts w:ascii="Verdana" w:hAnsi="Verdana" w:cs="Arial"/>
          <w:b/>
          <w:i/>
          <w:sz w:val="20"/>
          <w:szCs w:val="20"/>
        </w:rPr>
        <w:t>Seguimiento</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Artículo 11.</w:t>
      </w:r>
      <w:r w:rsidRPr="004F64C6">
        <w:rPr>
          <w:rFonts w:ascii="Verdana" w:hAnsi="Verdana" w:cs="Arial"/>
          <w:sz w:val="20"/>
          <w:szCs w:val="20"/>
        </w:rPr>
        <w:t xml:space="preserve"> La Secretaría General por conducto de la Unidad de Seguimiento y Análisis de Impacto Legislativo, implementará un programa de monitoreo permanente que permita dar seguimiento a la aplicación de los principios, indicadores y variables implementadas, a efecto de conocer y medir los resultados obtenidos. </w:t>
      </w:r>
    </w:p>
    <w:p w:rsidR="004F64C6" w:rsidRPr="004F64C6" w:rsidRDefault="004F64C6" w:rsidP="004F64C6">
      <w:pPr>
        <w:spacing w:after="0" w:line="240" w:lineRule="auto"/>
        <w:ind w:firstLine="709"/>
        <w:jc w:val="both"/>
        <w:rPr>
          <w:rFonts w:ascii="Verdana" w:hAnsi="Verdana" w:cs="Arial"/>
          <w:sz w:val="20"/>
          <w:szCs w:val="20"/>
        </w:rPr>
      </w:pP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sz w:val="20"/>
          <w:szCs w:val="20"/>
        </w:rPr>
        <w:t xml:space="preserve">La información que se genere con motivo del programa de monitoreo deberá quedar registrada y se comunicará a la Junta de Gobierno y Coordinación Política del Congreso del Estado.  </w:t>
      </w:r>
    </w:p>
    <w:p w:rsidR="004F64C6" w:rsidRPr="004F64C6" w:rsidRDefault="004F64C6" w:rsidP="004F64C6">
      <w:pPr>
        <w:spacing w:after="0" w:line="240" w:lineRule="auto"/>
        <w:ind w:firstLine="709"/>
        <w:jc w:val="both"/>
        <w:rPr>
          <w:rFonts w:ascii="Verdana" w:hAnsi="Verdana" w:cs="Arial"/>
          <w:b/>
          <w:sz w:val="20"/>
          <w:szCs w:val="20"/>
        </w:rPr>
      </w:pPr>
    </w:p>
    <w:p w:rsidR="004F64C6" w:rsidRPr="004F64C6" w:rsidRDefault="004F64C6" w:rsidP="00E5706A">
      <w:pPr>
        <w:tabs>
          <w:tab w:val="right" w:pos="8838"/>
        </w:tabs>
        <w:spacing w:after="0" w:line="240" w:lineRule="auto"/>
        <w:jc w:val="right"/>
        <w:rPr>
          <w:rFonts w:ascii="Verdana" w:hAnsi="Verdana" w:cs="Arial"/>
          <w:b/>
          <w:i/>
          <w:sz w:val="20"/>
          <w:szCs w:val="20"/>
        </w:rPr>
      </w:pPr>
      <w:r w:rsidRPr="004F64C6">
        <w:rPr>
          <w:rFonts w:ascii="Verdana" w:hAnsi="Verdana" w:cs="Arial"/>
          <w:b/>
          <w:i/>
          <w:sz w:val="20"/>
          <w:szCs w:val="20"/>
        </w:rPr>
        <w:t>Sanciones</w:t>
      </w: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Artículo 12.</w:t>
      </w:r>
      <w:r w:rsidRPr="004F64C6">
        <w:rPr>
          <w:rFonts w:ascii="Verdana" w:hAnsi="Verdana" w:cs="Arial"/>
          <w:sz w:val="20"/>
          <w:szCs w:val="20"/>
        </w:rPr>
        <w:t xml:space="preserve"> Los servidores públicos que contravengan las disposiciones de los presentes lineamientos, serán sancionados de conformidad con la Ley de Responsabilidades Administrativas de los Servidores Públicos del Estado de Guanajuato y sus Municipios, sin perjuicio de las demás responsabilidades a que haya lugar en el ejercicio de sus funciones.</w:t>
      </w:r>
    </w:p>
    <w:p w:rsidR="004F64C6" w:rsidRPr="004F64C6" w:rsidRDefault="004F64C6" w:rsidP="00E5706A">
      <w:pPr>
        <w:spacing w:after="0" w:line="240" w:lineRule="auto"/>
        <w:jc w:val="both"/>
        <w:rPr>
          <w:rFonts w:ascii="Verdana" w:hAnsi="Verdana" w:cs="Arial"/>
          <w:b/>
          <w:sz w:val="20"/>
          <w:szCs w:val="20"/>
        </w:rPr>
      </w:pPr>
    </w:p>
    <w:p w:rsidR="004F64C6" w:rsidRPr="004F64C6" w:rsidRDefault="004F64C6" w:rsidP="00E5706A">
      <w:pPr>
        <w:spacing w:after="0" w:line="240" w:lineRule="auto"/>
        <w:jc w:val="both"/>
        <w:rPr>
          <w:rFonts w:ascii="Verdana" w:hAnsi="Verdana" w:cs="Arial"/>
          <w:b/>
          <w:sz w:val="20"/>
          <w:szCs w:val="20"/>
        </w:rPr>
      </w:pPr>
    </w:p>
    <w:p w:rsidR="004F64C6" w:rsidRPr="004F64C6" w:rsidRDefault="00E5706A" w:rsidP="00E5706A">
      <w:pPr>
        <w:spacing w:after="0" w:line="240" w:lineRule="auto"/>
        <w:jc w:val="center"/>
        <w:rPr>
          <w:rFonts w:ascii="Verdana" w:hAnsi="Verdana" w:cs="Arial"/>
          <w:b/>
          <w:sz w:val="20"/>
          <w:szCs w:val="20"/>
        </w:rPr>
      </w:pPr>
      <w:r w:rsidRPr="004F64C6">
        <w:rPr>
          <w:rFonts w:ascii="Verdana" w:hAnsi="Verdana" w:cs="Arial"/>
          <w:b/>
          <w:sz w:val="20"/>
          <w:szCs w:val="20"/>
        </w:rPr>
        <w:t>TRANSITORIOS</w:t>
      </w:r>
    </w:p>
    <w:p w:rsidR="004F64C6" w:rsidRPr="004F64C6" w:rsidRDefault="004F64C6" w:rsidP="004F64C6">
      <w:pPr>
        <w:spacing w:after="0" w:line="240" w:lineRule="auto"/>
        <w:ind w:firstLine="709"/>
        <w:jc w:val="both"/>
        <w:rPr>
          <w:rFonts w:ascii="Verdana" w:eastAsia="Times New Roman" w:hAnsi="Verdana" w:cs="Arial"/>
          <w:b/>
          <w:bCs/>
          <w:sz w:val="20"/>
          <w:szCs w:val="20"/>
          <w:lang w:val="es-ES" w:eastAsia="es-ES"/>
        </w:rPr>
      </w:pPr>
    </w:p>
    <w:p w:rsidR="004F64C6" w:rsidRPr="004F64C6" w:rsidRDefault="004F64C6" w:rsidP="004F64C6">
      <w:pPr>
        <w:spacing w:after="0" w:line="240" w:lineRule="auto"/>
        <w:ind w:firstLine="709"/>
        <w:jc w:val="both"/>
        <w:rPr>
          <w:rFonts w:ascii="Verdana" w:hAnsi="Verdana" w:cs="Arial"/>
          <w:sz w:val="20"/>
          <w:szCs w:val="20"/>
        </w:rPr>
      </w:pPr>
      <w:r w:rsidRPr="004F64C6">
        <w:rPr>
          <w:rFonts w:ascii="Verdana" w:hAnsi="Verdana" w:cs="Arial"/>
          <w:b/>
          <w:sz w:val="20"/>
          <w:szCs w:val="20"/>
        </w:rPr>
        <w:t>Artículo Único.</w:t>
      </w:r>
      <w:r w:rsidRPr="004F64C6">
        <w:rPr>
          <w:rFonts w:ascii="Verdana" w:hAnsi="Verdana" w:cs="Arial"/>
          <w:sz w:val="20"/>
          <w:szCs w:val="20"/>
        </w:rPr>
        <w:t xml:space="preserve"> Los presentes lineamientos entrarán en vigor al día siguiente de su publicación en el Periódico Oficial del Gobierno del Estado de Guanajuato.</w:t>
      </w:r>
    </w:p>
    <w:p w:rsidR="00E5706A" w:rsidRDefault="00E5706A" w:rsidP="00E5706A">
      <w:pPr>
        <w:spacing w:after="0" w:line="240" w:lineRule="auto"/>
        <w:jc w:val="both"/>
        <w:rPr>
          <w:rFonts w:ascii="Verdana" w:eastAsia="Times New Roman" w:hAnsi="Verdana" w:cs="Arial"/>
          <w:b/>
          <w:bCs/>
          <w:sz w:val="20"/>
          <w:szCs w:val="20"/>
          <w:lang w:val="es-ES" w:eastAsia="es-ES"/>
        </w:rPr>
      </w:pPr>
    </w:p>
    <w:p w:rsidR="00E5706A" w:rsidRDefault="00E5706A" w:rsidP="00E5706A">
      <w:pPr>
        <w:spacing w:after="0" w:line="240" w:lineRule="auto"/>
        <w:jc w:val="both"/>
        <w:rPr>
          <w:rFonts w:ascii="Verdana" w:eastAsia="Times New Roman" w:hAnsi="Verdana" w:cs="Arial"/>
          <w:b/>
          <w:bCs/>
          <w:sz w:val="20"/>
          <w:szCs w:val="20"/>
          <w:lang w:val="es-ES" w:eastAsia="es-ES"/>
        </w:rPr>
      </w:pPr>
    </w:p>
    <w:p w:rsidR="004F64C6" w:rsidRDefault="004F64C6" w:rsidP="00E5706A">
      <w:pPr>
        <w:spacing w:after="0" w:line="240" w:lineRule="auto"/>
        <w:jc w:val="center"/>
        <w:rPr>
          <w:rFonts w:ascii="Verdana" w:hAnsi="Verdana"/>
          <w:b/>
          <w:sz w:val="20"/>
          <w:szCs w:val="20"/>
        </w:rPr>
      </w:pPr>
      <w:r w:rsidRPr="004F64C6">
        <w:rPr>
          <w:rFonts w:ascii="Verdana" w:hAnsi="Verdana"/>
          <w:b/>
          <w:sz w:val="20"/>
          <w:szCs w:val="20"/>
        </w:rPr>
        <w:t xml:space="preserve">Guanajuato, Gto. </w:t>
      </w:r>
      <w:r w:rsidR="00E5706A">
        <w:rPr>
          <w:rFonts w:ascii="Verdana" w:hAnsi="Verdana"/>
          <w:b/>
          <w:sz w:val="20"/>
          <w:szCs w:val="20"/>
        </w:rPr>
        <w:t>23</w:t>
      </w:r>
      <w:r w:rsidRPr="004F64C6">
        <w:rPr>
          <w:rFonts w:ascii="Verdana" w:hAnsi="Verdana"/>
          <w:b/>
          <w:sz w:val="20"/>
          <w:szCs w:val="20"/>
        </w:rPr>
        <w:t xml:space="preserve"> de febrero de 2017</w:t>
      </w:r>
    </w:p>
    <w:p w:rsidR="00E5706A" w:rsidRDefault="00E5706A" w:rsidP="004F64C6">
      <w:pPr>
        <w:spacing w:after="0" w:line="240" w:lineRule="auto"/>
        <w:ind w:firstLine="709"/>
        <w:jc w:val="both"/>
        <w:rPr>
          <w:rFonts w:ascii="Verdana" w:hAnsi="Verdana"/>
          <w:b/>
          <w:sz w:val="20"/>
          <w:szCs w:val="20"/>
        </w:rPr>
      </w:pPr>
    </w:p>
    <w:p w:rsidR="00560634" w:rsidRDefault="00560634" w:rsidP="004F64C6">
      <w:pPr>
        <w:spacing w:after="0" w:line="240" w:lineRule="auto"/>
        <w:ind w:firstLine="709"/>
        <w:jc w:val="both"/>
        <w:rPr>
          <w:rFonts w:ascii="Verdana" w:hAnsi="Verdana"/>
          <w:b/>
          <w:sz w:val="20"/>
          <w:szCs w:val="20"/>
        </w:rPr>
      </w:pPr>
    </w:p>
    <w:p w:rsidR="00560634" w:rsidRDefault="00560634" w:rsidP="004F64C6">
      <w:pPr>
        <w:spacing w:after="0" w:line="240" w:lineRule="auto"/>
        <w:ind w:firstLine="709"/>
        <w:jc w:val="both"/>
        <w:rPr>
          <w:rFonts w:ascii="Verdana" w:hAnsi="Verdana"/>
          <w:b/>
          <w:sz w:val="20"/>
          <w:szCs w:val="20"/>
        </w:rPr>
      </w:pPr>
    </w:p>
    <w:p w:rsidR="00560634" w:rsidRDefault="00560634" w:rsidP="004F64C6">
      <w:pPr>
        <w:spacing w:after="0" w:line="240" w:lineRule="auto"/>
        <w:ind w:firstLine="709"/>
        <w:jc w:val="both"/>
        <w:rPr>
          <w:rFonts w:ascii="Verdana" w:hAnsi="Verdana"/>
          <w:b/>
          <w:sz w:val="20"/>
          <w:szCs w:val="20"/>
        </w:rPr>
      </w:pPr>
    </w:p>
    <w:p w:rsidR="00E5706A" w:rsidRPr="004F64C6" w:rsidRDefault="00E5706A" w:rsidP="004F64C6">
      <w:pPr>
        <w:spacing w:after="0" w:line="240" w:lineRule="auto"/>
        <w:ind w:firstLine="709"/>
        <w:jc w:val="both"/>
        <w:rPr>
          <w:rFonts w:ascii="Verdana" w:hAnsi="Verdana"/>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560634" w:rsidTr="007E18D4">
        <w:tc>
          <w:tcPr>
            <w:tcW w:w="4697" w:type="dxa"/>
          </w:tcPr>
          <w:p w:rsidR="00560634" w:rsidRDefault="00560634" w:rsidP="007E18D4">
            <w:pPr>
              <w:jc w:val="center"/>
              <w:rPr>
                <w:rFonts w:ascii="Verdana" w:hAnsi="Verdana"/>
                <w:b/>
                <w:sz w:val="20"/>
                <w:szCs w:val="20"/>
              </w:rPr>
            </w:pPr>
            <w:r w:rsidRPr="0057673D">
              <w:rPr>
                <w:rFonts w:ascii="Verdana" w:hAnsi="Verdana"/>
                <w:b/>
                <w:sz w:val="20"/>
                <w:szCs w:val="20"/>
              </w:rPr>
              <w:t>DIPUTADO MARIO ALEJANDRO NAVARRO SALDAÑA</w:t>
            </w:r>
          </w:p>
        </w:tc>
        <w:tc>
          <w:tcPr>
            <w:tcW w:w="4697" w:type="dxa"/>
          </w:tcPr>
          <w:p w:rsidR="00560634" w:rsidRDefault="00560634" w:rsidP="007E18D4">
            <w:pPr>
              <w:jc w:val="center"/>
              <w:rPr>
                <w:rFonts w:ascii="Verdana" w:hAnsi="Verdana"/>
                <w:b/>
                <w:sz w:val="20"/>
                <w:szCs w:val="20"/>
              </w:rPr>
            </w:pPr>
            <w:r w:rsidRPr="0057673D">
              <w:rPr>
                <w:rFonts w:ascii="Verdana" w:hAnsi="Verdana"/>
                <w:b/>
                <w:sz w:val="20"/>
                <w:szCs w:val="20"/>
              </w:rPr>
              <w:t>DIPUTADO JORGE EDUARDO DE LA CRUZ NIETO</w:t>
            </w:r>
          </w:p>
        </w:tc>
      </w:tr>
      <w:tr w:rsidR="00560634" w:rsidTr="007E18D4">
        <w:tc>
          <w:tcPr>
            <w:tcW w:w="4697" w:type="dxa"/>
          </w:tcPr>
          <w:p w:rsidR="00560634" w:rsidRDefault="00560634" w:rsidP="007E18D4">
            <w:pPr>
              <w:jc w:val="center"/>
              <w:rPr>
                <w:rFonts w:ascii="Verdana" w:hAnsi="Verdana"/>
                <w:b/>
                <w:sz w:val="20"/>
                <w:szCs w:val="20"/>
              </w:rPr>
            </w:pPr>
            <w:r>
              <w:rPr>
                <w:rFonts w:ascii="Verdana" w:hAnsi="Verdana"/>
                <w:b/>
                <w:sz w:val="20"/>
                <w:szCs w:val="20"/>
              </w:rPr>
              <w:t>PRESIDENTE</w:t>
            </w:r>
          </w:p>
        </w:tc>
        <w:tc>
          <w:tcPr>
            <w:tcW w:w="4697" w:type="dxa"/>
          </w:tcPr>
          <w:p w:rsidR="00560634" w:rsidRDefault="00560634" w:rsidP="007E18D4">
            <w:pPr>
              <w:jc w:val="center"/>
              <w:rPr>
                <w:rFonts w:ascii="Verdana" w:hAnsi="Verdana"/>
                <w:b/>
                <w:sz w:val="20"/>
                <w:szCs w:val="20"/>
              </w:rPr>
            </w:pPr>
            <w:r>
              <w:rPr>
                <w:rFonts w:ascii="Verdana" w:hAnsi="Verdana"/>
                <w:b/>
                <w:sz w:val="20"/>
                <w:szCs w:val="20"/>
              </w:rPr>
              <w:t>VICEPRESIDENTE</w:t>
            </w:r>
          </w:p>
        </w:tc>
      </w:tr>
      <w:tr w:rsidR="00560634" w:rsidTr="007E18D4">
        <w:tc>
          <w:tcPr>
            <w:tcW w:w="4697" w:type="dxa"/>
          </w:tcPr>
          <w:p w:rsidR="00560634" w:rsidRDefault="00560634" w:rsidP="007E18D4">
            <w:pPr>
              <w:jc w:val="both"/>
              <w:rPr>
                <w:rFonts w:ascii="Verdana" w:hAnsi="Verdana"/>
                <w:b/>
                <w:sz w:val="20"/>
                <w:szCs w:val="20"/>
              </w:rPr>
            </w:pPr>
          </w:p>
          <w:p w:rsidR="00560634" w:rsidRDefault="00560634" w:rsidP="007E18D4">
            <w:pPr>
              <w:jc w:val="both"/>
              <w:rPr>
                <w:rFonts w:ascii="Verdana" w:hAnsi="Verdana"/>
                <w:b/>
                <w:sz w:val="20"/>
                <w:szCs w:val="20"/>
              </w:rPr>
            </w:pPr>
          </w:p>
          <w:p w:rsidR="00560634" w:rsidRDefault="00560634" w:rsidP="007E18D4">
            <w:pPr>
              <w:jc w:val="both"/>
              <w:rPr>
                <w:rFonts w:ascii="Verdana" w:hAnsi="Verdana"/>
                <w:b/>
                <w:sz w:val="20"/>
                <w:szCs w:val="20"/>
              </w:rPr>
            </w:pPr>
          </w:p>
          <w:p w:rsidR="00560634" w:rsidRDefault="00560634" w:rsidP="007E18D4">
            <w:pPr>
              <w:jc w:val="both"/>
              <w:rPr>
                <w:rFonts w:ascii="Verdana" w:hAnsi="Verdana"/>
                <w:b/>
                <w:sz w:val="20"/>
                <w:szCs w:val="20"/>
              </w:rPr>
            </w:pPr>
          </w:p>
          <w:p w:rsidR="00560634" w:rsidRDefault="00560634" w:rsidP="007E18D4">
            <w:pPr>
              <w:jc w:val="both"/>
              <w:rPr>
                <w:rFonts w:ascii="Verdana" w:hAnsi="Verdana"/>
                <w:b/>
                <w:sz w:val="20"/>
                <w:szCs w:val="20"/>
              </w:rPr>
            </w:pPr>
          </w:p>
        </w:tc>
        <w:tc>
          <w:tcPr>
            <w:tcW w:w="4697" w:type="dxa"/>
          </w:tcPr>
          <w:p w:rsidR="00560634" w:rsidRDefault="00560634" w:rsidP="007E18D4">
            <w:pPr>
              <w:jc w:val="both"/>
              <w:rPr>
                <w:rFonts w:ascii="Verdana" w:hAnsi="Verdana"/>
                <w:b/>
                <w:sz w:val="20"/>
                <w:szCs w:val="20"/>
              </w:rPr>
            </w:pPr>
          </w:p>
        </w:tc>
      </w:tr>
      <w:tr w:rsidR="00560634" w:rsidTr="007E18D4">
        <w:tc>
          <w:tcPr>
            <w:tcW w:w="4697" w:type="dxa"/>
          </w:tcPr>
          <w:p w:rsidR="00560634" w:rsidRDefault="00560634" w:rsidP="007E18D4">
            <w:pPr>
              <w:jc w:val="center"/>
              <w:rPr>
                <w:rFonts w:ascii="Verdana" w:hAnsi="Verdana"/>
                <w:b/>
                <w:sz w:val="20"/>
                <w:szCs w:val="20"/>
              </w:rPr>
            </w:pPr>
            <w:r>
              <w:rPr>
                <w:rFonts w:ascii="Verdana" w:hAnsi="Verdana"/>
                <w:b/>
                <w:sz w:val="20"/>
                <w:szCs w:val="20"/>
              </w:rPr>
              <w:t>DIPUTADA ANGÉLICA CASILLAS MARTÍNEZ</w:t>
            </w:r>
          </w:p>
        </w:tc>
        <w:tc>
          <w:tcPr>
            <w:tcW w:w="4697" w:type="dxa"/>
          </w:tcPr>
          <w:p w:rsidR="00560634" w:rsidRDefault="00560634" w:rsidP="007E18D4">
            <w:pPr>
              <w:jc w:val="center"/>
              <w:rPr>
                <w:rFonts w:ascii="Verdana" w:hAnsi="Verdana"/>
                <w:b/>
                <w:sz w:val="20"/>
                <w:szCs w:val="20"/>
              </w:rPr>
            </w:pPr>
            <w:r>
              <w:rPr>
                <w:rFonts w:ascii="Verdana" w:hAnsi="Verdana"/>
                <w:b/>
                <w:sz w:val="20"/>
                <w:szCs w:val="20"/>
              </w:rPr>
              <w:t>DIPUTADO JUAN CARLOS ALCÁNTARA MONTOYA</w:t>
            </w:r>
          </w:p>
        </w:tc>
      </w:tr>
      <w:tr w:rsidR="00560634" w:rsidTr="007E18D4">
        <w:tc>
          <w:tcPr>
            <w:tcW w:w="4697" w:type="dxa"/>
          </w:tcPr>
          <w:p w:rsidR="00560634" w:rsidRDefault="00560634" w:rsidP="007E18D4">
            <w:pPr>
              <w:jc w:val="center"/>
              <w:rPr>
                <w:rFonts w:ascii="Verdana" w:hAnsi="Verdana"/>
                <w:b/>
                <w:sz w:val="20"/>
                <w:szCs w:val="20"/>
              </w:rPr>
            </w:pPr>
            <w:r>
              <w:rPr>
                <w:rFonts w:ascii="Verdana" w:hAnsi="Verdana"/>
                <w:b/>
                <w:sz w:val="20"/>
                <w:szCs w:val="20"/>
              </w:rPr>
              <w:t>PRIMERA SECRETARIA</w:t>
            </w:r>
          </w:p>
        </w:tc>
        <w:tc>
          <w:tcPr>
            <w:tcW w:w="4697" w:type="dxa"/>
          </w:tcPr>
          <w:p w:rsidR="00560634" w:rsidRDefault="00560634" w:rsidP="007E18D4">
            <w:pPr>
              <w:jc w:val="center"/>
              <w:rPr>
                <w:rFonts w:ascii="Verdana" w:hAnsi="Verdana"/>
                <w:b/>
                <w:sz w:val="20"/>
                <w:szCs w:val="20"/>
              </w:rPr>
            </w:pPr>
            <w:r>
              <w:rPr>
                <w:rFonts w:ascii="Verdana" w:hAnsi="Verdana"/>
                <w:b/>
                <w:sz w:val="20"/>
                <w:szCs w:val="20"/>
              </w:rPr>
              <w:t>SEGUNDO SECRETARIO</w:t>
            </w:r>
          </w:p>
        </w:tc>
      </w:tr>
    </w:tbl>
    <w:p w:rsidR="004F64C6" w:rsidRPr="004F64C6" w:rsidRDefault="004F64C6" w:rsidP="004F64C6">
      <w:pPr>
        <w:spacing w:after="0" w:line="240" w:lineRule="auto"/>
        <w:ind w:firstLine="709"/>
        <w:jc w:val="both"/>
        <w:rPr>
          <w:rFonts w:ascii="Verdana" w:hAnsi="Verdana" w:cs="Arial"/>
          <w:b/>
          <w:sz w:val="20"/>
          <w:szCs w:val="20"/>
        </w:rPr>
      </w:pPr>
    </w:p>
    <w:p w:rsidR="004F64C6" w:rsidRDefault="004F64C6" w:rsidP="004F64C6">
      <w:pPr>
        <w:spacing w:after="0" w:line="240" w:lineRule="auto"/>
        <w:rPr>
          <w:rFonts w:ascii="Verdana" w:hAnsi="Verdana"/>
          <w:sz w:val="20"/>
          <w:szCs w:val="20"/>
        </w:rPr>
      </w:pPr>
    </w:p>
    <w:p w:rsidR="004F64C6" w:rsidRDefault="004F64C6" w:rsidP="004F64C6">
      <w:pPr>
        <w:spacing w:after="0" w:line="240" w:lineRule="auto"/>
        <w:rPr>
          <w:rFonts w:ascii="Verdana" w:hAnsi="Verdana"/>
          <w:sz w:val="20"/>
          <w:szCs w:val="20"/>
        </w:rPr>
      </w:pPr>
    </w:p>
    <w:p w:rsidR="004F64C6" w:rsidRDefault="004F64C6" w:rsidP="004F64C6">
      <w:pPr>
        <w:spacing w:after="0" w:line="240" w:lineRule="auto"/>
        <w:rPr>
          <w:rFonts w:ascii="Verdana" w:hAnsi="Verdana"/>
          <w:sz w:val="20"/>
          <w:szCs w:val="20"/>
        </w:rPr>
      </w:pPr>
    </w:p>
    <w:p w:rsidR="004F64C6" w:rsidRDefault="004F64C6" w:rsidP="004F64C6">
      <w:pPr>
        <w:spacing w:after="0" w:line="240" w:lineRule="auto"/>
        <w:rPr>
          <w:rFonts w:ascii="Verdana" w:hAnsi="Verdana"/>
          <w:sz w:val="20"/>
          <w:szCs w:val="20"/>
        </w:rPr>
      </w:pPr>
    </w:p>
    <w:p w:rsidR="004F64C6" w:rsidRDefault="004F64C6" w:rsidP="004F64C6">
      <w:pPr>
        <w:spacing w:after="0" w:line="240" w:lineRule="auto"/>
        <w:rPr>
          <w:rFonts w:ascii="Verdana" w:hAnsi="Verdana"/>
          <w:sz w:val="20"/>
          <w:szCs w:val="20"/>
        </w:rPr>
      </w:pPr>
    </w:p>
    <w:p w:rsidR="004F64C6" w:rsidRDefault="004F64C6" w:rsidP="004F64C6">
      <w:pPr>
        <w:spacing w:after="0" w:line="240" w:lineRule="auto"/>
        <w:rPr>
          <w:rFonts w:ascii="Verdana" w:hAnsi="Verdana"/>
          <w:sz w:val="20"/>
          <w:szCs w:val="20"/>
        </w:rPr>
      </w:pPr>
    </w:p>
    <w:p w:rsidR="004F64C6" w:rsidRDefault="004F64C6" w:rsidP="004F64C6">
      <w:pPr>
        <w:spacing w:after="0" w:line="240" w:lineRule="auto"/>
        <w:rPr>
          <w:rFonts w:ascii="Verdana" w:hAnsi="Verdana"/>
          <w:sz w:val="20"/>
          <w:szCs w:val="20"/>
        </w:rPr>
      </w:pPr>
    </w:p>
    <w:p w:rsidR="004F64C6" w:rsidRDefault="004F64C6" w:rsidP="004F64C6">
      <w:pPr>
        <w:spacing w:after="0" w:line="240" w:lineRule="auto"/>
        <w:rPr>
          <w:rFonts w:ascii="Verdana" w:hAnsi="Verdana"/>
          <w:sz w:val="20"/>
          <w:szCs w:val="20"/>
        </w:rPr>
      </w:pPr>
    </w:p>
    <w:p w:rsidR="004F64C6" w:rsidRDefault="004F64C6" w:rsidP="004F64C6">
      <w:pPr>
        <w:spacing w:after="0" w:line="240" w:lineRule="auto"/>
        <w:rPr>
          <w:rFonts w:ascii="Verdana" w:hAnsi="Verdana"/>
          <w:sz w:val="20"/>
          <w:szCs w:val="20"/>
        </w:rPr>
      </w:pPr>
    </w:p>
    <w:p w:rsidR="004F64C6" w:rsidRPr="004F64C6" w:rsidRDefault="004F64C6">
      <w:pPr>
        <w:rPr>
          <w:rFonts w:ascii="Verdana" w:hAnsi="Verdana"/>
          <w:sz w:val="20"/>
          <w:szCs w:val="20"/>
        </w:rPr>
      </w:pPr>
    </w:p>
    <w:sectPr w:rsidR="004F64C6" w:rsidRPr="004F64C6" w:rsidSect="004F64C6">
      <w:headerReference w:type="even" r:id="rId7"/>
      <w:headerReference w:type="default" r:id="rId8"/>
      <w:footerReference w:type="default" r:id="rId9"/>
      <w:headerReference w:type="first" r:id="rId10"/>
      <w:pgSz w:w="12240" w:h="15840"/>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CB" w:rsidRDefault="00D24BCB" w:rsidP="004F64C6">
      <w:pPr>
        <w:spacing w:after="0" w:line="240" w:lineRule="auto"/>
      </w:pPr>
      <w:r>
        <w:separator/>
      </w:r>
    </w:p>
  </w:endnote>
  <w:endnote w:type="continuationSeparator" w:id="0">
    <w:p w:rsidR="00D24BCB" w:rsidRDefault="00D24BCB" w:rsidP="004F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1073045750"/>
      <w:docPartObj>
        <w:docPartGallery w:val="Page Numbers (Bottom of Page)"/>
        <w:docPartUnique/>
      </w:docPartObj>
    </w:sdtPr>
    <w:sdtEndPr/>
    <w:sdtContent>
      <w:sdt>
        <w:sdtPr>
          <w:rPr>
            <w:rFonts w:ascii="Verdana" w:hAnsi="Verdana"/>
            <w:sz w:val="18"/>
            <w:szCs w:val="18"/>
          </w:rPr>
          <w:id w:val="1728636285"/>
          <w:docPartObj>
            <w:docPartGallery w:val="Page Numbers (Top of Page)"/>
            <w:docPartUnique/>
          </w:docPartObj>
        </w:sdtPr>
        <w:sdtEndPr/>
        <w:sdtContent>
          <w:p w:rsidR="005052E7" w:rsidRPr="005052E7" w:rsidRDefault="005052E7">
            <w:pPr>
              <w:pStyle w:val="Piedepgina"/>
              <w:jc w:val="center"/>
              <w:rPr>
                <w:rFonts w:ascii="Verdana" w:hAnsi="Verdana"/>
                <w:sz w:val="18"/>
                <w:szCs w:val="18"/>
              </w:rPr>
            </w:pPr>
            <w:r w:rsidRPr="005052E7">
              <w:rPr>
                <w:rFonts w:ascii="Verdana" w:hAnsi="Verdana"/>
                <w:sz w:val="18"/>
                <w:szCs w:val="18"/>
                <w:lang w:val="es-ES"/>
              </w:rPr>
              <w:t xml:space="preserve">Página </w:t>
            </w:r>
            <w:r w:rsidRPr="005052E7">
              <w:rPr>
                <w:rFonts w:ascii="Verdana" w:hAnsi="Verdana"/>
                <w:b/>
                <w:bCs/>
                <w:sz w:val="18"/>
                <w:szCs w:val="18"/>
              </w:rPr>
              <w:fldChar w:fldCharType="begin"/>
            </w:r>
            <w:r w:rsidRPr="005052E7">
              <w:rPr>
                <w:rFonts w:ascii="Verdana" w:hAnsi="Verdana"/>
                <w:b/>
                <w:bCs/>
                <w:sz w:val="18"/>
                <w:szCs w:val="18"/>
              </w:rPr>
              <w:instrText>PAGE</w:instrText>
            </w:r>
            <w:r w:rsidRPr="005052E7">
              <w:rPr>
                <w:rFonts w:ascii="Verdana" w:hAnsi="Verdana"/>
                <w:b/>
                <w:bCs/>
                <w:sz w:val="18"/>
                <w:szCs w:val="18"/>
              </w:rPr>
              <w:fldChar w:fldCharType="separate"/>
            </w:r>
            <w:r w:rsidR="00D24BCB">
              <w:rPr>
                <w:rFonts w:ascii="Verdana" w:hAnsi="Verdana"/>
                <w:b/>
                <w:bCs/>
                <w:noProof/>
                <w:sz w:val="18"/>
                <w:szCs w:val="18"/>
              </w:rPr>
              <w:t>1</w:t>
            </w:r>
            <w:r w:rsidRPr="005052E7">
              <w:rPr>
                <w:rFonts w:ascii="Verdana" w:hAnsi="Verdana"/>
                <w:b/>
                <w:bCs/>
                <w:sz w:val="18"/>
                <w:szCs w:val="18"/>
              </w:rPr>
              <w:fldChar w:fldCharType="end"/>
            </w:r>
            <w:r w:rsidRPr="005052E7">
              <w:rPr>
                <w:rFonts w:ascii="Verdana" w:hAnsi="Verdana"/>
                <w:sz w:val="18"/>
                <w:szCs w:val="18"/>
                <w:lang w:val="es-ES"/>
              </w:rPr>
              <w:t xml:space="preserve"> de </w:t>
            </w:r>
            <w:r w:rsidRPr="005052E7">
              <w:rPr>
                <w:rFonts w:ascii="Verdana" w:hAnsi="Verdana"/>
                <w:b/>
                <w:bCs/>
                <w:sz w:val="18"/>
                <w:szCs w:val="18"/>
              </w:rPr>
              <w:fldChar w:fldCharType="begin"/>
            </w:r>
            <w:r w:rsidRPr="005052E7">
              <w:rPr>
                <w:rFonts w:ascii="Verdana" w:hAnsi="Verdana"/>
                <w:b/>
                <w:bCs/>
                <w:sz w:val="18"/>
                <w:szCs w:val="18"/>
              </w:rPr>
              <w:instrText>NUMPAGES</w:instrText>
            </w:r>
            <w:r w:rsidRPr="005052E7">
              <w:rPr>
                <w:rFonts w:ascii="Verdana" w:hAnsi="Verdana"/>
                <w:b/>
                <w:bCs/>
                <w:sz w:val="18"/>
                <w:szCs w:val="18"/>
              </w:rPr>
              <w:fldChar w:fldCharType="separate"/>
            </w:r>
            <w:r w:rsidR="00D24BCB">
              <w:rPr>
                <w:rFonts w:ascii="Verdana" w:hAnsi="Verdana"/>
                <w:b/>
                <w:bCs/>
                <w:noProof/>
                <w:sz w:val="18"/>
                <w:szCs w:val="18"/>
              </w:rPr>
              <w:t>1</w:t>
            </w:r>
            <w:r w:rsidRPr="005052E7">
              <w:rPr>
                <w:rFonts w:ascii="Verdana" w:hAnsi="Verdana"/>
                <w:b/>
                <w:bCs/>
                <w:sz w:val="18"/>
                <w:szCs w:val="18"/>
              </w:rPr>
              <w:fldChar w:fldCharType="end"/>
            </w:r>
          </w:p>
        </w:sdtContent>
      </w:sdt>
    </w:sdtContent>
  </w:sdt>
  <w:p w:rsidR="005052E7" w:rsidRDefault="005052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CB" w:rsidRDefault="00D24BCB" w:rsidP="004F64C6">
      <w:pPr>
        <w:spacing w:after="0" w:line="240" w:lineRule="auto"/>
      </w:pPr>
      <w:r>
        <w:separator/>
      </w:r>
    </w:p>
  </w:footnote>
  <w:footnote w:type="continuationSeparator" w:id="0">
    <w:p w:rsidR="00D24BCB" w:rsidRDefault="00D24BCB" w:rsidP="004F6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E7" w:rsidRDefault="00D24BC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394858" o:spid="_x0000_s2050"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4F64C6" w:rsidTr="007E18D4">
      <w:tc>
        <w:tcPr>
          <w:tcW w:w="1838" w:type="dxa"/>
          <w:vMerge w:val="restart"/>
        </w:tcPr>
        <w:p w:rsidR="004F64C6" w:rsidRDefault="004F64C6" w:rsidP="004F64C6">
          <w:pPr>
            <w:rPr>
              <w:color w:val="FF0000"/>
            </w:rPr>
          </w:pPr>
          <w:r>
            <w:rPr>
              <w:noProof/>
              <w:color w:val="FF0000"/>
              <w:lang w:eastAsia="es-MX"/>
            </w:rPr>
            <w:drawing>
              <wp:anchor distT="0" distB="0" distL="114300" distR="114300" simplePos="0" relativeHeight="251659264" behindDoc="1" locked="0" layoutInCell="1" allowOverlap="1" wp14:anchorId="1A101F70" wp14:editId="7792D3D7">
                <wp:simplePos x="0" y="0"/>
                <wp:positionH relativeFrom="margin">
                  <wp:posOffset>47502</wp:posOffset>
                </wp:positionH>
                <wp:positionV relativeFrom="margin">
                  <wp:posOffset>-211216</wp:posOffset>
                </wp:positionV>
                <wp:extent cx="962025" cy="8096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rsidR="004F64C6" w:rsidRPr="00AC6B57" w:rsidRDefault="004F64C6" w:rsidP="004F64C6">
          <w:pPr>
            <w:jc w:val="right"/>
            <w:rPr>
              <w:rFonts w:ascii="Tahoma" w:hAnsi="Tahoma" w:cs="Tahoma"/>
              <w:b/>
              <w:color w:val="FF0000"/>
            </w:rPr>
          </w:pPr>
          <w:r w:rsidRPr="004F64C6">
            <w:rPr>
              <w:rFonts w:ascii="Tahoma" w:hAnsi="Tahoma" w:cs="Tahoma"/>
              <w:b/>
              <w:color w:val="000000" w:themeColor="text1"/>
              <w:sz w:val="16"/>
            </w:rPr>
            <w:t>Lineamientos de Parlamento Abierto</w:t>
          </w:r>
          <w:r>
            <w:rPr>
              <w:rFonts w:ascii="Tahoma" w:hAnsi="Tahoma" w:cs="Tahoma"/>
              <w:b/>
              <w:color w:val="000000" w:themeColor="text1"/>
              <w:sz w:val="16"/>
            </w:rPr>
            <w:t xml:space="preserve"> </w:t>
          </w:r>
          <w:r w:rsidRPr="004F64C6">
            <w:rPr>
              <w:rFonts w:ascii="Tahoma" w:hAnsi="Tahoma" w:cs="Tahoma"/>
              <w:b/>
              <w:color w:val="000000" w:themeColor="text1"/>
              <w:sz w:val="16"/>
            </w:rPr>
            <w:t>del Poder Legislativo del Estado de Guanajuato</w:t>
          </w:r>
        </w:p>
      </w:tc>
    </w:tr>
    <w:tr w:rsidR="004F64C6" w:rsidTr="007E18D4">
      <w:trPr>
        <w:trHeight w:val="226"/>
      </w:trPr>
      <w:tc>
        <w:tcPr>
          <w:tcW w:w="1838" w:type="dxa"/>
          <w:vMerge/>
        </w:tcPr>
        <w:p w:rsidR="004F64C6" w:rsidRDefault="004F64C6" w:rsidP="004F64C6">
          <w:pPr>
            <w:rPr>
              <w:color w:val="FF0000"/>
            </w:rPr>
          </w:pPr>
        </w:p>
      </w:tc>
      <w:tc>
        <w:tcPr>
          <w:tcW w:w="3544" w:type="dxa"/>
          <w:vAlign w:val="center"/>
        </w:tcPr>
        <w:p w:rsidR="004F64C6" w:rsidRPr="00AC6B57" w:rsidRDefault="004F64C6" w:rsidP="004F64C6">
          <w:pPr>
            <w:ind w:left="176"/>
            <w:rPr>
              <w:rFonts w:ascii="Arial Narrow" w:hAnsi="Arial Narrow"/>
              <w:color w:val="000000" w:themeColor="text1"/>
              <w:sz w:val="13"/>
              <w:szCs w:val="13"/>
            </w:rPr>
          </w:pPr>
        </w:p>
        <w:p w:rsidR="004F64C6" w:rsidRPr="00AC6B57" w:rsidRDefault="004F64C6" w:rsidP="004F64C6">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rsidR="004F64C6" w:rsidRPr="00844EC6" w:rsidRDefault="004F64C6" w:rsidP="004F64C6">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LXIII Legislatura</w:t>
          </w:r>
        </w:p>
      </w:tc>
    </w:tr>
    <w:tr w:rsidR="004F64C6" w:rsidTr="007E18D4">
      <w:trPr>
        <w:trHeight w:val="177"/>
      </w:trPr>
      <w:tc>
        <w:tcPr>
          <w:tcW w:w="1838" w:type="dxa"/>
          <w:vMerge/>
        </w:tcPr>
        <w:p w:rsidR="004F64C6" w:rsidRDefault="004F64C6" w:rsidP="004F64C6">
          <w:pPr>
            <w:rPr>
              <w:color w:val="FF0000"/>
            </w:rPr>
          </w:pPr>
        </w:p>
      </w:tc>
      <w:tc>
        <w:tcPr>
          <w:tcW w:w="3544" w:type="dxa"/>
          <w:vAlign w:val="center"/>
        </w:tcPr>
        <w:p w:rsidR="004F64C6" w:rsidRPr="00AC6B57" w:rsidRDefault="004F64C6" w:rsidP="004F64C6">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rsidR="004F64C6" w:rsidRPr="00844EC6" w:rsidRDefault="004F64C6" w:rsidP="004F64C6">
          <w:pPr>
            <w:jc w:val="right"/>
            <w:rPr>
              <w:rFonts w:ascii="Arial Narrow" w:hAnsi="Arial Narrow"/>
              <w:i/>
              <w:color w:val="000000" w:themeColor="text1"/>
              <w:sz w:val="13"/>
              <w:szCs w:val="13"/>
            </w:rPr>
          </w:pPr>
          <w:r>
            <w:rPr>
              <w:rFonts w:ascii="Arial Narrow" w:hAnsi="Arial Narrow"/>
              <w:i/>
              <w:color w:val="000000" w:themeColor="text1"/>
              <w:sz w:val="13"/>
              <w:szCs w:val="13"/>
            </w:rPr>
            <w:t>Publicada: P.O. Núm. 36, Tercera Parte, 03-03-2017</w:t>
          </w:r>
        </w:p>
      </w:tc>
    </w:tr>
    <w:tr w:rsidR="004F64C6" w:rsidTr="007E18D4">
      <w:trPr>
        <w:trHeight w:val="223"/>
      </w:trPr>
      <w:tc>
        <w:tcPr>
          <w:tcW w:w="1838" w:type="dxa"/>
          <w:vMerge/>
        </w:tcPr>
        <w:p w:rsidR="004F64C6" w:rsidRDefault="004F64C6" w:rsidP="004F64C6">
          <w:pPr>
            <w:rPr>
              <w:color w:val="FF0000"/>
            </w:rPr>
          </w:pPr>
        </w:p>
      </w:tc>
      <w:tc>
        <w:tcPr>
          <w:tcW w:w="3544" w:type="dxa"/>
          <w:vAlign w:val="center"/>
        </w:tcPr>
        <w:p w:rsidR="004F64C6" w:rsidRPr="00AC6B57" w:rsidRDefault="004F64C6" w:rsidP="004F64C6">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rsidR="004F64C6" w:rsidRPr="00844EC6" w:rsidRDefault="004F64C6" w:rsidP="004F64C6">
          <w:pPr>
            <w:jc w:val="right"/>
            <w:rPr>
              <w:rFonts w:ascii="Arial Narrow" w:hAnsi="Arial Narrow"/>
              <w:i/>
              <w:color w:val="000000" w:themeColor="text1"/>
              <w:sz w:val="13"/>
              <w:szCs w:val="13"/>
            </w:rPr>
          </w:pPr>
        </w:p>
      </w:tc>
    </w:tr>
  </w:tbl>
  <w:p w:rsidR="004F64C6" w:rsidRDefault="00D24BC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394859" o:spid="_x0000_s2051"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E7" w:rsidRDefault="00D24BC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394857" o:spid="_x0000_s2049"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4660"/>
    <w:multiLevelType w:val="hybridMultilevel"/>
    <w:tmpl w:val="4B8EDE1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783183"/>
    <w:multiLevelType w:val="hybridMultilevel"/>
    <w:tmpl w:val="EF82D2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4D28BC"/>
    <w:multiLevelType w:val="hybridMultilevel"/>
    <w:tmpl w:val="18248D0A"/>
    <w:lvl w:ilvl="0" w:tplc="75001BF2">
      <w:start w:val="1"/>
      <w:numFmt w:val="upperRoman"/>
      <w:lvlText w:val="%1."/>
      <w:lvlJc w:val="righ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99D028B"/>
    <w:multiLevelType w:val="hybridMultilevel"/>
    <w:tmpl w:val="624428D6"/>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237166"/>
    <w:multiLevelType w:val="hybridMultilevel"/>
    <w:tmpl w:val="39BEBE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0B765A"/>
    <w:multiLevelType w:val="hybridMultilevel"/>
    <w:tmpl w:val="5EFA10B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C6"/>
    <w:rsid w:val="0007543D"/>
    <w:rsid w:val="00386155"/>
    <w:rsid w:val="003A5950"/>
    <w:rsid w:val="004F64C6"/>
    <w:rsid w:val="005052E7"/>
    <w:rsid w:val="00560634"/>
    <w:rsid w:val="0085070C"/>
    <w:rsid w:val="00B241CB"/>
    <w:rsid w:val="00B8293D"/>
    <w:rsid w:val="00D24BCB"/>
    <w:rsid w:val="00E5706A"/>
    <w:rsid w:val="00FE7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9CDD775-ABE3-4D77-90D8-E2E32EB7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4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4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4C6"/>
  </w:style>
  <w:style w:type="paragraph" w:styleId="Piedepgina">
    <w:name w:val="footer"/>
    <w:basedOn w:val="Normal"/>
    <w:link w:val="PiedepginaCar"/>
    <w:uiPriority w:val="99"/>
    <w:unhideWhenUsed/>
    <w:rsid w:val="004F64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4C6"/>
  </w:style>
  <w:style w:type="table" w:styleId="Tablaconcuadrcula">
    <w:name w:val="Table Grid"/>
    <w:basedOn w:val="Tablanormal"/>
    <w:uiPriority w:val="39"/>
    <w:rsid w:val="004F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6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1618</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Serrano</dc:creator>
  <cp:keywords/>
  <dc:description/>
  <cp:lastModifiedBy>Enrique Torres Serrano</cp:lastModifiedBy>
  <cp:revision>4</cp:revision>
  <cp:lastPrinted>2017-03-06T16:49:00Z</cp:lastPrinted>
  <dcterms:created xsi:type="dcterms:W3CDTF">2017-03-03T19:57:00Z</dcterms:created>
  <dcterms:modified xsi:type="dcterms:W3CDTF">2017-03-06T16:49:00Z</dcterms:modified>
</cp:coreProperties>
</file>