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9B8" w:rsidRDefault="007D39B8" w:rsidP="007D39B8">
      <w:pPr>
        <w:tabs>
          <w:tab w:val="left" w:pos="1674"/>
        </w:tabs>
        <w:spacing w:after="0" w:line="240" w:lineRule="auto"/>
        <w:jc w:val="center"/>
        <w:rPr>
          <w:rFonts w:ascii="Verdana" w:eastAsia="Times New Roman" w:hAnsi="Verdana" w:cs="Arial"/>
          <w:b/>
          <w:color w:val="CC0066"/>
          <w:sz w:val="20"/>
          <w:szCs w:val="20"/>
        </w:rPr>
      </w:pPr>
      <w:r w:rsidRPr="007D39B8">
        <w:rPr>
          <w:rFonts w:ascii="Verdana" w:eastAsia="Times New Roman" w:hAnsi="Verdana" w:cs="Arial"/>
          <w:b/>
          <w:color w:val="CC0066"/>
          <w:sz w:val="20"/>
          <w:szCs w:val="20"/>
        </w:rPr>
        <w:t>LINEAMIENTOS GENERALES PARA LA INTEGRACIÓN</w:t>
      </w:r>
      <w:r>
        <w:rPr>
          <w:rFonts w:ascii="Verdana" w:eastAsia="Times New Roman" w:hAnsi="Verdana" w:cs="Arial"/>
          <w:b/>
          <w:color w:val="CC0066"/>
          <w:sz w:val="20"/>
          <w:szCs w:val="20"/>
        </w:rPr>
        <w:t xml:space="preserve"> DE LA CUENTA</w:t>
      </w:r>
    </w:p>
    <w:p w:rsidR="00DB7762" w:rsidRPr="007D39B8" w:rsidRDefault="007D39B8" w:rsidP="007D39B8">
      <w:pPr>
        <w:tabs>
          <w:tab w:val="left" w:pos="1674"/>
        </w:tabs>
        <w:spacing w:after="0" w:line="240" w:lineRule="auto"/>
        <w:jc w:val="center"/>
        <w:rPr>
          <w:rFonts w:ascii="Verdana" w:eastAsia="Times New Roman" w:hAnsi="Verdana" w:cs="Arial"/>
          <w:b/>
          <w:color w:val="CC0066"/>
          <w:sz w:val="20"/>
          <w:szCs w:val="20"/>
        </w:rPr>
      </w:pPr>
      <w:r w:rsidRPr="007D39B8">
        <w:rPr>
          <w:rFonts w:ascii="Verdana" w:eastAsia="Times New Roman" w:hAnsi="Verdana" w:cs="Arial"/>
          <w:b/>
          <w:color w:val="CC0066"/>
          <w:sz w:val="20"/>
          <w:szCs w:val="20"/>
        </w:rPr>
        <w:t>PÚBLICA DEL ESTADO Y LOS MUNICIPIOS DE GUANAJUATO</w:t>
      </w:r>
    </w:p>
    <w:p w:rsidR="007D39B8" w:rsidRDefault="007D39B8">
      <w:pPr>
        <w:rPr>
          <w:rFonts w:ascii="Verdana" w:hAnsi="Verdana"/>
          <w:sz w:val="20"/>
          <w:szCs w:val="20"/>
        </w:rPr>
      </w:pPr>
      <w:bookmarkStart w:id="0" w:name="_GoBack"/>
      <w:bookmarkEnd w:id="0"/>
    </w:p>
    <w:p w:rsidR="007D39B8" w:rsidRPr="007D39B8" w:rsidRDefault="007D39B8" w:rsidP="007D39B8">
      <w:pPr>
        <w:spacing w:after="0" w:line="240" w:lineRule="auto"/>
        <w:jc w:val="center"/>
        <w:rPr>
          <w:rFonts w:ascii="Verdana" w:eastAsia="Times New Roman" w:hAnsi="Verdana" w:cs="Times New Roman"/>
          <w:b/>
          <w:color w:val="000000" w:themeColor="text1"/>
          <w:sz w:val="18"/>
          <w:szCs w:val="24"/>
        </w:rPr>
      </w:pPr>
      <w:r w:rsidRPr="007D39B8">
        <w:rPr>
          <w:rFonts w:ascii="Verdana" w:eastAsia="Times New Roman" w:hAnsi="Verdana" w:cs="Times New Roman"/>
          <w:b/>
          <w:color w:val="000000" w:themeColor="text1"/>
          <w:sz w:val="18"/>
          <w:szCs w:val="24"/>
        </w:rPr>
        <w:t>DECRETO NÚMERO 293</w:t>
      </w:r>
    </w:p>
    <w:p w:rsidR="007D39B8" w:rsidRPr="007D39B8" w:rsidRDefault="007D39B8" w:rsidP="007D39B8">
      <w:pPr>
        <w:spacing w:after="0" w:line="240" w:lineRule="auto"/>
        <w:rPr>
          <w:rFonts w:ascii="Verdana" w:hAnsi="Verdana"/>
          <w:sz w:val="20"/>
          <w:szCs w:val="20"/>
        </w:rPr>
      </w:pPr>
    </w:p>
    <w:p w:rsidR="007D39B8" w:rsidRPr="007D39B8" w:rsidRDefault="007D39B8" w:rsidP="007D39B8">
      <w:pPr>
        <w:spacing w:after="0" w:line="240" w:lineRule="auto"/>
        <w:ind w:firstLine="709"/>
        <w:jc w:val="both"/>
        <w:rPr>
          <w:rFonts w:ascii="Verdana" w:eastAsia="Times New Roman" w:hAnsi="Verdana" w:cs="Times New Roman"/>
          <w:b/>
          <w:i/>
          <w:color w:val="000000" w:themeColor="text1"/>
          <w:sz w:val="18"/>
          <w:szCs w:val="24"/>
        </w:rPr>
      </w:pPr>
      <w:r w:rsidRPr="007D39B8">
        <w:rPr>
          <w:rFonts w:ascii="Verdana" w:eastAsia="Times New Roman" w:hAnsi="Verdana" w:cs="Times New Roman"/>
          <w:b/>
          <w:i/>
          <w:color w:val="000000" w:themeColor="text1"/>
          <w:sz w:val="18"/>
          <w:szCs w:val="24"/>
        </w:rPr>
        <w:t xml:space="preserve">LA SEXAGÉSIMA TERCERA LEGISLATURA CONSTITUCIONAL DEL CONGRESO DEL ESTADO LIBRE </w:t>
      </w:r>
      <w:r>
        <w:rPr>
          <w:rFonts w:ascii="Verdana" w:eastAsia="Times New Roman" w:hAnsi="Verdana" w:cs="Times New Roman"/>
          <w:b/>
          <w:i/>
          <w:color w:val="000000" w:themeColor="text1"/>
          <w:sz w:val="18"/>
          <w:szCs w:val="24"/>
        </w:rPr>
        <w:t>Y</w:t>
      </w:r>
      <w:r w:rsidRPr="007D39B8">
        <w:rPr>
          <w:rFonts w:ascii="Verdana" w:eastAsia="Times New Roman" w:hAnsi="Verdana" w:cs="Times New Roman"/>
          <w:b/>
          <w:i/>
          <w:color w:val="000000" w:themeColor="text1"/>
          <w:sz w:val="18"/>
          <w:szCs w:val="24"/>
        </w:rPr>
        <w:t xml:space="preserve"> SOBERANO DE GUANAJUATO, D E C R ET A:</w:t>
      </w:r>
    </w:p>
    <w:p w:rsidR="007D39B8" w:rsidRPr="007D39B8" w:rsidRDefault="007D39B8" w:rsidP="007D39B8">
      <w:pPr>
        <w:spacing w:after="0" w:line="240" w:lineRule="auto"/>
        <w:rPr>
          <w:rFonts w:ascii="Verdana" w:hAnsi="Verdana"/>
          <w:sz w:val="20"/>
          <w:szCs w:val="20"/>
        </w:rPr>
      </w:pPr>
    </w:p>
    <w:p w:rsidR="007D39B8" w:rsidRPr="007D39B8" w:rsidRDefault="007D39B8" w:rsidP="007D39B8">
      <w:pPr>
        <w:spacing w:after="0" w:line="240" w:lineRule="auto"/>
        <w:rPr>
          <w:rFonts w:ascii="Verdana" w:hAnsi="Verdana"/>
          <w:sz w:val="20"/>
          <w:szCs w:val="20"/>
        </w:rPr>
      </w:pPr>
    </w:p>
    <w:p w:rsidR="007D39B8" w:rsidRPr="007D39B8" w:rsidRDefault="007D39B8" w:rsidP="002E3B0C">
      <w:pPr>
        <w:spacing w:after="0" w:line="240" w:lineRule="auto"/>
        <w:ind w:firstLine="709"/>
        <w:rPr>
          <w:rFonts w:ascii="Verdana" w:hAnsi="Verdana"/>
          <w:sz w:val="18"/>
          <w:szCs w:val="18"/>
        </w:rPr>
      </w:pPr>
      <w:r w:rsidRPr="007D39B8">
        <w:rPr>
          <w:rStyle w:val="nfasis"/>
          <w:rFonts w:ascii="Verdana" w:eastAsia="Times New Roman" w:hAnsi="Verdana" w:cs="Times New Roman"/>
          <w:b/>
          <w:i w:val="0"/>
          <w:sz w:val="18"/>
          <w:szCs w:val="18"/>
        </w:rPr>
        <w:t>Artículo Único.</w:t>
      </w:r>
      <w:r w:rsidRPr="007D39B8">
        <w:rPr>
          <w:rFonts w:ascii="Verdana" w:hAnsi="Verdana"/>
          <w:i/>
          <w:sz w:val="18"/>
          <w:szCs w:val="18"/>
        </w:rPr>
        <w:t xml:space="preserve"> </w:t>
      </w:r>
      <w:r w:rsidRPr="007D39B8">
        <w:rPr>
          <w:rFonts w:ascii="Verdana" w:hAnsi="Verdana"/>
          <w:sz w:val="18"/>
          <w:szCs w:val="18"/>
        </w:rPr>
        <w:t xml:space="preserve">Se emiten los </w:t>
      </w:r>
      <w:r w:rsidRPr="007D39B8">
        <w:rPr>
          <w:rFonts w:ascii="Verdana" w:hAnsi="Verdana"/>
          <w:b/>
          <w:sz w:val="18"/>
          <w:szCs w:val="18"/>
        </w:rPr>
        <w:t>Lineamientos Generales para la Integración de la Cuenta Pública del Estado y los Municipios de Guanajuato</w:t>
      </w:r>
      <w:r w:rsidRPr="007D39B8">
        <w:rPr>
          <w:rFonts w:ascii="Verdana" w:hAnsi="Verdana"/>
          <w:sz w:val="18"/>
          <w:szCs w:val="18"/>
        </w:rPr>
        <w:t>, para quedar en los siguientes términos:</w:t>
      </w:r>
    </w:p>
    <w:p w:rsidR="007D39B8" w:rsidRPr="007D39B8" w:rsidRDefault="007D39B8" w:rsidP="007D39B8">
      <w:pPr>
        <w:spacing w:after="0" w:line="240" w:lineRule="auto"/>
        <w:rPr>
          <w:rFonts w:ascii="Verdana" w:hAnsi="Verdana"/>
          <w:sz w:val="20"/>
          <w:szCs w:val="20"/>
        </w:rPr>
      </w:pPr>
    </w:p>
    <w:p w:rsidR="007D39B8" w:rsidRDefault="007D39B8" w:rsidP="007D39B8">
      <w:pPr>
        <w:tabs>
          <w:tab w:val="left" w:pos="1674"/>
        </w:tabs>
        <w:spacing w:after="0" w:line="240" w:lineRule="auto"/>
        <w:jc w:val="center"/>
        <w:rPr>
          <w:rFonts w:ascii="Verdana" w:eastAsia="Times New Roman" w:hAnsi="Verdana" w:cs="Arial"/>
          <w:b/>
          <w:color w:val="000000" w:themeColor="text1"/>
          <w:sz w:val="20"/>
          <w:szCs w:val="20"/>
        </w:rPr>
      </w:pPr>
      <w:r w:rsidRPr="007D39B8">
        <w:rPr>
          <w:rFonts w:ascii="Verdana" w:eastAsia="Times New Roman" w:hAnsi="Verdana" w:cs="Arial"/>
          <w:b/>
          <w:color w:val="000000" w:themeColor="text1"/>
          <w:sz w:val="20"/>
          <w:szCs w:val="20"/>
        </w:rPr>
        <w:t>LINEAMIENTOS GENERALES PARA LA INTEGRACIÓN DE LA CUENTA</w:t>
      </w:r>
    </w:p>
    <w:p w:rsidR="007D39B8" w:rsidRPr="007D39B8" w:rsidRDefault="007D39B8" w:rsidP="007D39B8">
      <w:pPr>
        <w:tabs>
          <w:tab w:val="left" w:pos="1674"/>
        </w:tabs>
        <w:spacing w:after="0" w:line="240" w:lineRule="auto"/>
        <w:jc w:val="center"/>
        <w:rPr>
          <w:rFonts w:ascii="Verdana" w:eastAsia="Times New Roman" w:hAnsi="Verdana" w:cs="Arial"/>
          <w:b/>
          <w:color w:val="000000" w:themeColor="text1"/>
          <w:sz w:val="20"/>
          <w:szCs w:val="20"/>
        </w:rPr>
      </w:pPr>
      <w:r w:rsidRPr="007D39B8">
        <w:rPr>
          <w:rFonts w:ascii="Verdana" w:eastAsia="Times New Roman" w:hAnsi="Verdana" w:cs="Arial"/>
          <w:b/>
          <w:color w:val="000000" w:themeColor="text1"/>
          <w:sz w:val="20"/>
          <w:szCs w:val="20"/>
        </w:rPr>
        <w:t>PÚBLICA DEL ESTADO Y LOS MUNICIPIOS DE GUANAJUATO</w:t>
      </w:r>
    </w:p>
    <w:p w:rsidR="007D39B8" w:rsidRDefault="007D39B8">
      <w:pPr>
        <w:rPr>
          <w:rFonts w:ascii="Verdana" w:hAnsi="Verdana"/>
          <w:sz w:val="20"/>
          <w:szCs w:val="20"/>
        </w:rPr>
      </w:pPr>
    </w:p>
    <w:p w:rsidR="007D39B8" w:rsidRDefault="007D39B8" w:rsidP="007D39B8">
      <w:pPr>
        <w:pStyle w:val="Default"/>
        <w:jc w:val="center"/>
        <w:rPr>
          <w:rFonts w:ascii="Verdana" w:hAnsi="Verdana" w:cs="*Verdana-Bold-7163"/>
          <w:b/>
          <w:bCs/>
          <w:sz w:val="20"/>
          <w:szCs w:val="20"/>
        </w:rPr>
      </w:pPr>
      <w:r>
        <w:rPr>
          <w:rFonts w:ascii="Verdana" w:hAnsi="Verdana" w:cs="*Verdana-Bold-7163"/>
          <w:b/>
          <w:bCs/>
          <w:sz w:val="20"/>
          <w:szCs w:val="20"/>
        </w:rPr>
        <w:t>Capítulo I</w:t>
      </w:r>
    </w:p>
    <w:p w:rsidR="007D39B8" w:rsidRDefault="007D39B8" w:rsidP="007D39B8">
      <w:pPr>
        <w:pStyle w:val="Default"/>
        <w:jc w:val="center"/>
        <w:rPr>
          <w:rFonts w:ascii="Verdana" w:hAnsi="Verdana" w:cs="*Verdana-Bold-7163"/>
          <w:b/>
          <w:bCs/>
          <w:sz w:val="20"/>
          <w:szCs w:val="20"/>
        </w:rPr>
      </w:pPr>
      <w:r w:rsidRPr="006E6401">
        <w:rPr>
          <w:rFonts w:ascii="Verdana" w:hAnsi="Verdana" w:cs="*Verdana-Bold-7163"/>
          <w:b/>
          <w:bCs/>
          <w:sz w:val="20"/>
          <w:szCs w:val="20"/>
        </w:rPr>
        <w:t>Disposiciones Generales</w:t>
      </w:r>
    </w:p>
    <w:p w:rsidR="007D39B8" w:rsidRDefault="007D39B8" w:rsidP="007D39B8">
      <w:pPr>
        <w:pStyle w:val="Default"/>
        <w:jc w:val="center"/>
        <w:rPr>
          <w:rFonts w:ascii="Verdana" w:hAnsi="Verdana" w:cs="*Verdana-Bold-7163"/>
          <w:b/>
          <w:bCs/>
          <w:sz w:val="20"/>
          <w:szCs w:val="20"/>
        </w:rPr>
      </w:pPr>
    </w:p>
    <w:p w:rsidR="007D39B8" w:rsidRDefault="007D39B8" w:rsidP="007D39B8">
      <w:pPr>
        <w:pStyle w:val="Default"/>
        <w:ind w:firstLine="709"/>
        <w:jc w:val="both"/>
        <w:rPr>
          <w:rFonts w:ascii="Verdana" w:hAnsi="Verdana" w:cs="*Verdana-7162"/>
          <w:sz w:val="20"/>
          <w:szCs w:val="20"/>
        </w:rPr>
      </w:pPr>
      <w:r w:rsidRPr="006E6401">
        <w:rPr>
          <w:rFonts w:ascii="Verdana" w:hAnsi="Verdana" w:cs="*Verdana-Bold-7163"/>
          <w:b/>
          <w:bCs/>
          <w:sz w:val="20"/>
          <w:szCs w:val="20"/>
        </w:rPr>
        <w:t xml:space="preserve">Artículo </w:t>
      </w:r>
      <w:r w:rsidRPr="006E6401">
        <w:rPr>
          <w:rFonts w:ascii="Verdana" w:hAnsi="Verdana" w:cs="*Verdana-7162"/>
          <w:b/>
          <w:sz w:val="20"/>
          <w:szCs w:val="20"/>
        </w:rPr>
        <w:t>1.</w:t>
      </w:r>
      <w:r w:rsidRPr="006E6401">
        <w:rPr>
          <w:rFonts w:ascii="Verdana" w:hAnsi="Verdana" w:cs="*Verdana-7162"/>
          <w:sz w:val="20"/>
          <w:szCs w:val="20"/>
        </w:rPr>
        <w:t xml:space="preserve"> El objeto de los presentes line</w:t>
      </w:r>
      <w:r>
        <w:rPr>
          <w:rFonts w:ascii="Verdana" w:hAnsi="Verdana" w:cs="*Verdana-7162"/>
          <w:sz w:val="20"/>
          <w:szCs w:val="20"/>
        </w:rPr>
        <w:t>amientos es</w:t>
      </w:r>
      <w:r w:rsidRPr="006E6401">
        <w:rPr>
          <w:rFonts w:ascii="Verdana" w:hAnsi="Verdana" w:cs="*Verdana-7162"/>
          <w:sz w:val="20"/>
          <w:szCs w:val="20"/>
        </w:rPr>
        <w:t xml:space="preserve"> establecer los mecanismos de comunicación, así como la forma y términos en que los entes públicos estatales y municipales, proporcionarán a la Secretaría de Finanzas, Inversión y Administración o a la Tesorería Municipal, respectivamente, la información de la cuenta pública del Estado y de los municipios, según corresponda; a fin de dar cumplimiento al Acuerdo por el que se armoniza la Estructura de las Cuentas Públicas, emitido por el Consejo Nacional de Armonización Contable, publicado el Diario Oficial de la Federación el 30 de diciembre de 2013, cuya última reforma se publicó el 29 de febrero de 2016</w:t>
      </w:r>
      <w:r>
        <w:rPr>
          <w:rFonts w:ascii="Verdana" w:hAnsi="Verdana" w:cs="*Verdana-7162"/>
          <w:sz w:val="20"/>
          <w:szCs w:val="20"/>
        </w:rPr>
        <w:t xml:space="preserve"> en el mismo medio de difusión.</w:t>
      </w:r>
    </w:p>
    <w:p w:rsidR="007D39B8" w:rsidRDefault="007D39B8" w:rsidP="007D39B8">
      <w:pPr>
        <w:pStyle w:val="Default"/>
        <w:jc w:val="both"/>
        <w:rPr>
          <w:rFonts w:ascii="Verdana" w:hAnsi="Verdana" w:cs="*Verdana-7162"/>
          <w:sz w:val="20"/>
          <w:szCs w:val="20"/>
        </w:rPr>
      </w:pPr>
    </w:p>
    <w:p w:rsidR="007D39B8" w:rsidRDefault="007D39B8" w:rsidP="007D39B8">
      <w:pPr>
        <w:pStyle w:val="Default"/>
        <w:ind w:firstLine="709"/>
        <w:jc w:val="both"/>
        <w:rPr>
          <w:rFonts w:ascii="Verdana" w:hAnsi="Verdana" w:cs="*Verdana-7162"/>
          <w:sz w:val="20"/>
          <w:szCs w:val="20"/>
        </w:rPr>
      </w:pPr>
      <w:r w:rsidRPr="006E6401">
        <w:rPr>
          <w:rFonts w:ascii="Verdana" w:hAnsi="Verdana" w:cs="*Verdana-Bold-7163"/>
          <w:b/>
          <w:bCs/>
          <w:sz w:val="20"/>
          <w:szCs w:val="20"/>
        </w:rPr>
        <w:t xml:space="preserve">Artículo 2. </w:t>
      </w:r>
      <w:r w:rsidRPr="006E6401">
        <w:rPr>
          <w:rFonts w:ascii="Verdana" w:hAnsi="Verdana" w:cs="*Verdana-7162"/>
          <w:sz w:val="20"/>
          <w:szCs w:val="20"/>
        </w:rPr>
        <w:t xml:space="preserve">Los presentes lineamientos </w:t>
      </w:r>
      <w:r>
        <w:rPr>
          <w:rFonts w:ascii="Verdana" w:hAnsi="Verdana" w:cs="*Verdana-7162"/>
          <w:sz w:val="20"/>
          <w:szCs w:val="20"/>
        </w:rPr>
        <w:t>son de observancia obligatoria:</w:t>
      </w:r>
    </w:p>
    <w:p w:rsidR="007D39B8" w:rsidRPr="006E6401" w:rsidRDefault="007D39B8" w:rsidP="007D39B8">
      <w:pPr>
        <w:pStyle w:val="Default"/>
        <w:jc w:val="both"/>
        <w:rPr>
          <w:rFonts w:ascii="Verdana" w:hAnsi="Verdana" w:cs="*Verdana-7162"/>
          <w:sz w:val="20"/>
          <w:szCs w:val="20"/>
        </w:rPr>
      </w:pPr>
    </w:p>
    <w:p w:rsidR="007D39B8" w:rsidRDefault="007D39B8" w:rsidP="007D39B8">
      <w:pPr>
        <w:pStyle w:val="Prrafodelista"/>
        <w:numPr>
          <w:ilvl w:val="0"/>
          <w:numId w:val="1"/>
        </w:numPr>
        <w:autoSpaceDE w:val="0"/>
        <w:autoSpaceDN w:val="0"/>
        <w:adjustRightInd w:val="0"/>
        <w:spacing w:after="0" w:line="240" w:lineRule="auto"/>
        <w:ind w:left="709" w:hanging="709"/>
        <w:jc w:val="both"/>
        <w:rPr>
          <w:rFonts w:ascii="Verdana" w:hAnsi="Verdana" w:cs="*Verdana-5024"/>
          <w:color w:val="000000"/>
          <w:sz w:val="20"/>
          <w:szCs w:val="20"/>
        </w:rPr>
      </w:pPr>
      <w:r w:rsidRPr="006E6401">
        <w:rPr>
          <w:rFonts w:ascii="Verdana" w:hAnsi="Verdana" w:cs="*Verdana-Bold-5025"/>
          <w:b/>
          <w:bCs/>
          <w:color w:val="000000"/>
          <w:sz w:val="20"/>
          <w:szCs w:val="20"/>
        </w:rPr>
        <w:t xml:space="preserve">Para la integración de la cuenta pública del Estado: </w:t>
      </w:r>
      <w:r w:rsidRPr="006E6401">
        <w:rPr>
          <w:rFonts w:ascii="Verdana" w:hAnsi="Verdana" w:cs="*Verdana-5024"/>
          <w:color w:val="000000"/>
          <w:sz w:val="20"/>
          <w:szCs w:val="20"/>
        </w:rPr>
        <w:t>Los Poderes Ejecutivo, Legislativo y Judicial, los organismos autónomos, así como las entidades de la administración pública paraestatal; y</w:t>
      </w:r>
    </w:p>
    <w:p w:rsidR="00523FFB" w:rsidRPr="00523FFB" w:rsidRDefault="00523FFB" w:rsidP="00523FFB">
      <w:pPr>
        <w:autoSpaceDE w:val="0"/>
        <w:autoSpaceDN w:val="0"/>
        <w:adjustRightInd w:val="0"/>
        <w:spacing w:after="0" w:line="240" w:lineRule="auto"/>
        <w:jc w:val="both"/>
        <w:rPr>
          <w:rFonts w:ascii="Verdana" w:hAnsi="Verdana" w:cs="*Verdana-5024"/>
          <w:color w:val="000000"/>
          <w:sz w:val="20"/>
          <w:szCs w:val="20"/>
        </w:rPr>
      </w:pPr>
    </w:p>
    <w:p w:rsidR="007D39B8" w:rsidRPr="006E6401" w:rsidRDefault="007D39B8" w:rsidP="007D39B8">
      <w:pPr>
        <w:pStyle w:val="Prrafodelista"/>
        <w:numPr>
          <w:ilvl w:val="0"/>
          <w:numId w:val="1"/>
        </w:numPr>
        <w:autoSpaceDE w:val="0"/>
        <w:autoSpaceDN w:val="0"/>
        <w:adjustRightInd w:val="0"/>
        <w:spacing w:after="0" w:line="240" w:lineRule="auto"/>
        <w:ind w:left="709" w:hanging="709"/>
        <w:jc w:val="both"/>
        <w:rPr>
          <w:rFonts w:ascii="Verdana" w:hAnsi="Verdana" w:cs="*Verdana-5024"/>
          <w:color w:val="000000"/>
          <w:sz w:val="20"/>
          <w:szCs w:val="20"/>
        </w:rPr>
      </w:pPr>
      <w:r w:rsidRPr="006E6401">
        <w:rPr>
          <w:rFonts w:ascii="Verdana" w:hAnsi="Verdana" w:cs="*Verdana-Bold-5025"/>
          <w:b/>
          <w:bCs/>
          <w:color w:val="000000"/>
          <w:sz w:val="20"/>
          <w:szCs w:val="20"/>
        </w:rPr>
        <w:t xml:space="preserve">Para la integración de la cuenta pública municipal: </w:t>
      </w:r>
      <w:r w:rsidRPr="006E6401">
        <w:rPr>
          <w:rFonts w:ascii="Verdana" w:hAnsi="Verdana" w:cs="*Verdana-5024"/>
          <w:color w:val="000000"/>
          <w:sz w:val="20"/>
          <w:szCs w:val="20"/>
        </w:rPr>
        <w:t xml:space="preserve">Las dependencias y entidades de la administración pública municipal, considerándose </w:t>
      </w:r>
      <w:proofErr w:type="gramStart"/>
      <w:r w:rsidRPr="006E6401">
        <w:rPr>
          <w:rFonts w:ascii="Verdana" w:hAnsi="Verdana" w:cs="*Verdana-5024"/>
          <w:color w:val="000000"/>
          <w:sz w:val="20"/>
          <w:szCs w:val="20"/>
        </w:rPr>
        <w:t>incluidos presidente municipal</w:t>
      </w:r>
      <w:proofErr w:type="gramEnd"/>
      <w:r w:rsidRPr="006E6401">
        <w:rPr>
          <w:rFonts w:ascii="Verdana" w:hAnsi="Verdana" w:cs="*Verdana-5024"/>
          <w:color w:val="000000"/>
          <w:sz w:val="20"/>
          <w:szCs w:val="20"/>
        </w:rPr>
        <w:t>, regidores y síndicos.</w:t>
      </w:r>
    </w:p>
    <w:p w:rsidR="007D39B8" w:rsidRDefault="007D39B8" w:rsidP="007D39B8">
      <w:pPr>
        <w:autoSpaceDE w:val="0"/>
        <w:autoSpaceDN w:val="0"/>
        <w:adjustRightInd w:val="0"/>
        <w:spacing w:after="0" w:line="240" w:lineRule="auto"/>
        <w:ind w:firstLine="709"/>
        <w:jc w:val="both"/>
        <w:rPr>
          <w:rFonts w:ascii="Verdana" w:hAnsi="Verdana" w:cs="*Verdana-5024"/>
          <w:color w:val="000000"/>
          <w:sz w:val="20"/>
          <w:szCs w:val="20"/>
        </w:rPr>
      </w:pPr>
    </w:p>
    <w:p w:rsidR="007D39B8" w:rsidRDefault="007D39B8" w:rsidP="007D39B8">
      <w:pPr>
        <w:autoSpaceDE w:val="0"/>
        <w:autoSpaceDN w:val="0"/>
        <w:adjustRightInd w:val="0"/>
        <w:spacing w:after="0" w:line="240" w:lineRule="auto"/>
        <w:ind w:firstLine="709"/>
        <w:jc w:val="both"/>
        <w:rPr>
          <w:rFonts w:ascii="Verdana" w:hAnsi="Verdana" w:cs="*Verdana-5024"/>
          <w:color w:val="000000"/>
          <w:sz w:val="20"/>
          <w:szCs w:val="20"/>
        </w:rPr>
      </w:pPr>
      <w:r w:rsidRPr="006E6401">
        <w:rPr>
          <w:rFonts w:ascii="Verdana" w:hAnsi="Verdana" w:cs="*Verdana-Bold-5025"/>
          <w:b/>
          <w:bCs/>
          <w:color w:val="000000"/>
          <w:sz w:val="20"/>
          <w:szCs w:val="20"/>
        </w:rPr>
        <w:t xml:space="preserve">Artículo 3. </w:t>
      </w:r>
      <w:r w:rsidRPr="006E6401">
        <w:rPr>
          <w:rFonts w:ascii="Verdana" w:hAnsi="Verdana" w:cs="*Verdana-5024"/>
          <w:color w:val="000000"/>
          <w:sz w:val="20"/>
          <w:szCs w:val="20"/>
        </w:rPr>
        <w:t>Para efectos de los presentes lineamientos, resultan aplicables los términos contenidos en los glosarios de la Ley General de Contabilidad Gubernamental y del Acuerdo por el que se armoniza la Estructura de las Cuentas Públicas; y a</w:t>
      </w:r>
      <w:r>
        <w:rPr>
          <w:rFonts w:ascii="Verdana" w:hAnsi="Verdana" w:cs="*Verdana-5024"/>
          <w:color w:val="000000"/>
          <w:sz w:val="20"/>
          <w:szCs w:val="20"/>
        </w:rPr>
        <w:t>dicionalmente se entenderá por:</w:t>
      </w:r>
    </w:p>
    <w:p w:rsidR="007D39B8" w:rsidRDefault="007D39B8" w:rsidP="007D39B8">
      <w:pPr>
        <w:autoSpaceDE w:val="0"/>
        <w:autoSpaceDN w:val="0"/>
        <w:adjustRightInd w:val="0"/>
        <w:spacing w:after="0" w:line="240" w:lineRule="auto"/>
        <w:ind w:firstLine="709"/>
        <w:jc w:val="both"/>
        <w:rPr>
          <w:rFonts w:ascii="Verdana" w:hAnsi="Verdana" w:cs="*Verdana-5024"/>
          <w:color w:val="000000"/>
          <w:sz w:val="20"/>
          <w:szCs w:val="20"/>
        </w:rPr>
      </w:pPr>
    </w:p>
    <w:p w:rsidR="007D39B8" w:rsidRDefault="007D39B8" w:rsidP="007D39B8">
      <w:pPr>
        <w:pStyle w:val="Prrafodelista"/>
        <w:numPr>
          <w:ilvl w:val="0"/>
          <w:numId w:val="2"/>
        </w:numPr>
        <w:autoSpaceDE w:val="0"/>
        <w:autoSpaceDN w:val="0"/>
        <w:adjustRightInd w:val="0"/>
        <w:spacing w:after="0" w:line="240" w:lineRule="auto"/>
        <w:ind w:hanging="720"/>
        <w:jc w:val="both"/>
        <w:rPr>
          <w:rFonts w:ascii="Verdana" w:hAnsi="Verdana" w:cs="*Verdana-5024"/>
          <w:color w:val="000000"/>
          <w:sz w:val="20"/>
          <w:szCs w:val="20"/>
        </w:rPr>
      </w:pPr>
      <w:r w:rsidRPr="006E6401">
        <w:rPr>
          <w:rFonts w:ascii="Verdana" w:hAnsi="Verdana" w:cs="*Verdana-Bold-5025"/>
          <w:b/>
          <w:bCs/>
          <w:color w:val="000000"/>
          <w:sz w:val="20"/>
          <w:szCs w:val="20"/>
        </w:rPr>
        <w:t xml:space="preserve">Acuerdo: </w:t>
      </w:r>
      <w:r w:rsidRPr="006E6401">
        <w:rPr>
          <w:rFonts w:ascii="Verdana" w:hAnsi="Verdana" w:cs="*Verdana-5024"/>
          <w:color w:val="000000"/>
          <w:sz w:val="20"/>
          <w:szCs w:val="20"/>
        </w:rPr>
        <w:t>El Acuerdo por el que se armoniza la Estructura de las Cuentas Públicas, emitido por el Consejo Nacional de Armonización Contable, publicado en el Diario Oficial de la Federación el 30 de diciembre de 2013, cuya última reforma se publicó el 29 de febrero de 2016, en el mismo medio de difusión.</w:t>
      </w:r>
    </w:p>
    <w:p w:rsidR="00523FFB" w:rsidRPr="00523FFB" w:rsidRDefault="00523FFB" w:rsidP="00523FFB">
      <w:pPr>
        <w:autoSpaceDE w:val="0"/>
        <w:autoSpaceDN w:val="0"/>
        <w:adjustRightInd w:val="0"/>
        <w:spacing w:after="0" w:line="240" w:lineRule="auto"/>
        <w:jc w:val="both"/>
        <w:rPr>
          <w:rFonts w:ascii="Verdana" w:hAnsi="Verdana" w:cs="*Verdana-5024"/>
          <w:color w:val="000000"/>
          <w:sz w:val="20"/>
          <w:szCs w:val="20"/>
        </w:rPr>
      </w:pPr>
    </w:p>
    <w:p w:rsidR="007D39B8" w:rsidRDefault="007D39B8" w:rsidP="007D39B8">
      <w:pPr>
        <w:pStyle w:val="Prrafodelista"/>
        <w:numPr>
          <w:ilvl w:val="0"/>
          <w:numId w:val="2"/>
        </w:numPr>
        <w:autoSpaceDE w:val="0"/>
        <w:autoSpaceDN w:val="0"/>
        <w:adjustRightInd w:val="0"/>
        <w:spacing w:after="0" w:line="240" w:lineRule="auto"/>
        <w:ind w:hanging="720"/>
        <w:jc w:val="both"/>
        <w:rPr>
          <w:rFonts w:ascii="Verdana" w:hAnsi="Verdana" w:cs="*Verdana-5024"/>
          <w:color w:val="000000"/>
          <w:sz w:val="20"/>
          <w:szCs w:val="20"/>
        </w:rPr>
      </w:pPr>
      <w:r w:rsidRPr="006E6401">
        <w:rPr>
          <w:rFonts w:ascii="Verdana" w:hAnsi="Verdana" w:cs="*Verdana-Bold-5025"/>
          <w:b/>
          <w:bCs/>
          <w:color w:val="000000"/>
          <w:sz w:val="20"/>
          <w:szCs w:val="20"/>
        </w:rPr>
        <w:lastRenderedPageBreak/>
        <w:t xml:space="preserve">Dirección: </w:t>
      </w:r>
      <w:r w:rsidRPr="006E6401">
        <w:rPr>
          <w:rFonts w:ascii="Verdana" w:hAnsi="Verdana" w:cs="*Verdana-5024"/>
          <w:color w:val="000000"/>
          <w:sz w:val="20"/>
          <w:szCs w:val="20"/>
        </w:rPr>
        <w:t>La Dirección General de Contabilidad Gubernamental de la Secretaría, y la unidad administrativa que determine la Tesorería Municipal.</w:t>
      </w:r>
    </w:p>
    <w:p w:rsidR="00523FFB" w:rsidRPr="00523FFB" w:rsidRDefault="00523FFB" w:rsidP="00523FFB">
      <w:pPr>
        <w:autoSpaceDE w:val="0"/>
        <w:autoSpaceDN w:val="0"/>
        <w:adjustRightInd w:val="0"/>
        <w:spacing w:after="0" w:line="240" w:lineRule="auto"/>
        <w:jc w:val="both"/>
        <w:rPr>
          <w:rFonts w:ascii="Verdana" w:hAnsi="Verdana" w:cs="*Verdana-5024"/>
          <w:color w:val="000000"/>
          <w:sz w:val="20"/>
          <w:szCs w:val="20"/>
        </w:rPr>
      </w:pPr>
    </w:p>
    <w:p w:rsidR="007D39B8" w:rsidRDefault="007D39B8" w:rsidP="007D39B8">
      <w:pPr>
        <w:pStyle w:val="Prrafodelista"/>
        <w:numPr>
          <w:ilvl w:val="0"/>
          <w:numId w:val="2"/>
        </w:numPr>
        <w:autoSpaceDE w:val="0"/>
        <w:autoSpaceDN w:val="0"/>
        <w:adjustRightInd w:val="0"/>
        <w:spacing w:after="0" w:line="240" w:lineRule="auto"/>
        <w:ind w:hanging="720"/>
        <w:jc w:val="both"/>
        <w:rPr>
          <w:rFonts w:ascii="Verdana" w:hAnsi="Verdana" w:cs="*Verdana-5024"/>
          <w:color w:val="000000"/>
          <w:sz w:val="20"/>
          <w:szCs w:val="20"/>
        </w:rPr>
      </w:pPr>
      <w:r w:rsidRPr="006E6401">
        <w:rPr>
          <w:rFonts w:ascii="Verdana" w:hAnsi="Verdana" w:cs="*Verdana-Bold-5025"/>
          <w:b/>
          <w:bCs/>
          <w:color w:val="000000"/>
          <w:sz w:val="20"/>
          <w:szCs w:val="20"/>
        </w:rPr>
        <w:t xml:space="preserve">Ley: </w:t>
      </w:r>
      <w:r w:rsidRPr="006E6401">
        <w:rPr>
          <w:rFonts w:ascii="Verdana" w:hAnsi="Verdana" w:cs="*Verdana-5024"/>
          <w:color w:val="000000"/>
          <w:sz w:val="20"/>
          <w:szCs w:val="20"/>
        </w:rPr>
        <w:t>La Ley General de Contabilidad Gubernamental.</w:t>
      </w:r>
    </w:p>
    <w:p w:rsidR="00523FFB" w:rsidRPr="00523FFB" w:rsidRDefault="00523FFB" w:rsidP="00523FFB">
      <w:pPr>
        <w:autoSpaceDE w:val="0"/>
        <w:autoSpaceDN w:val="0"/>
        <w:adjustRightInd w:val="0"/>
        <w:spacing w:after="0" w:line="240" w:lineRule="auto"/>
        <w:jc w:val="both"/>
        <w:rPr>
          <w:rFonts w:ascii="Verdana" w:hAnsi="Verdana" w:cs="*Verdana-5024"/>
          <w:color w:val="000000"/>
          <w:sz w:val="20"/>
          <w:szCs w:val="20"/>
        </w:rPr>
      </w:pPr>
    </w:p>
    <w:p w:rsidR="007D39B8" w:rsidRDefault="007D39B8" w:rsidP="007D39B8">
      <w:pPr>
        <w:pStyle w:val="Prrafodelista"/>
        <w:numPr>
          <w:ilvl w:val="0"/>
          <w:numId w:val="2"/>
        </w:numPr>
        <w:autoSpaceDE w:val="0"/>
        <w:autoSpaceDN w:val="0"/>
        <w:adjustRightInd w:val="0"/>
        <w:spacing w:after="0" w:line="240" w:lineRule="auto"/>
        <w:ind w:hanging="720"/>
        <w:jc w:val="both"/>
        <w:rPr>
          <w:rFonts w:ascii="Verdana" w:hAnsi="Verdana" w:cs="*Verdana-5024"/>
          <w:color w:val="000000"/>
          <w:sz w:val="20"/>
          <w:szCs w:val="20"/>
        </w:rPr>
      </w:pPr>
      <w:r w:rsidRPr="006E6401">
        <w:rPr>
          <w:rFonts w:ascii="Verdana" w:hAnsi="Verdana" w:cs="*Verdana-Bold-5025"/>
          <w:b/>
          <w:bCs/>
          <w:color w:val="000000"/>
          <w:sz w:val="20"/>
          <w:szCs w:val="20"/>
        </w:rPr>
        <w:t xml:space="preserve">Secretaría: </w:t>
      </w:r>
      <w:r w:rsidRPr="006E6401">
        <w:rPr>
          <w:rFonts w:ascii="Verdana" w:hAnsi="Verdana" w:cs="*Verdana-5024"/>
          <w:color w:val="000000"/>
          <w:sz w:val="20"/>
          <w:szCs w:val="20"/>
        </w:rPr>
        <w:t>La Secr</w:t>
      </w:r>
      <w:r>
        <w:rPr>
          <w:rFonts w:ascii="Verdana" w:hAnsi="Verdana" w:cs="*Verdana-5024"/>
          <w:color w:val="000000"/>
          <w:sz w:val="20"/>
          <w:szCs w:val="20"/>
        </w:rPr>
        <w:t>etaría de Finanzas, Inversión y</w:t>
      </w:r>
      <w:r w:rsidRPr="006E6401">
        <w:rPr>
          <w:rFonts w:ascii="Verdana" w:hAnsi="Verdana" w:cs="*Verdana-5024"/>
          <w:color w:val="000000"/>
          <w:sz w:val="20"/>
          <w:szCs w:val="20"/>
        </w:rPr>
        <w:t xml:space="preserve"> Administración. </w:t>
      </w:r>
    </w:p>
    <w:p w:rsidR="007D39B8" w:rsidRPr="006E6401" w:rsidRDefault="007D39B8" w:rsidP="007D39B8">
      <w:pPr>
        <w:pStyle w:val="Prrafodelista"/>
        <w:autoSpaceDE w:val="0"/>
        <w:autoSpaceDN w:val="0"/>
        <w:adjustRightInd w:val="0"/>
        <w:spacing w:after="0" w:line="240" w:lineRule="auto"/>
        <w:jc w:val="both"/>
        <w:rPr>
          <w:rFonts w:ascii="Verdana" w:hAnsi="Verdana" w:cs="*Verdana-5024"/>
          <w:color w:val="000000"/>
          <w:sz w:val="20"/>
          <w:szCs w:val="20"/>
        </w:rPr>
      </w:pPr>
    </w:p>
    <w:p w:rsidR="007D39B8" w:rsidRPr="006E6401" w:rsidRDefault="007D39B8" w:rsidP="007D39B8">
      <w:pPr>
        <w:autoSpaceDE w:val="0"/>
        <w:autoSpaceDN w:val="0"/>
        <w:adjustRightInd w:val="0"/>
        <w:spacing w:after="0" w:line="240" w:lineRule="auto"/>
        <w:ind w:firstLine="709"/>
        <w:jc w:val="both"/>
        <w:rPr>
          <w:rFonts w:ascii="Verdana" w:hAnsi="Verdana" w:cs="*Verdana-5024"/>
          <w:color w:val="000000"/>
          <w:sz w:val="20"/>
          <w:szCs w:val="20"/>
        </w:rPr>
      </w:pPr>
      <w:r w:rsidRPr="006E6401">
        <w:rPr>
          <w:rFonts w:ascii="Verdana" w:hAnsi="Verdana" w:cs="*Verdana-Bold-5025"/>
          <w:b/>
          <w:bCs/>
          <w:color w:val="000000"/>
          <w:sz w:val="20"/>
          <w:szCs w:val="20"/>
        </w:rPr>
        <w:t xml:space="preserve">Artículo 4. </w:t>
      </w:r>
      <w:r w:rsidRPr="006E6401">
        <w:rPr>
          <w:rFonts w:ascii="Verdana" w:hAnsi="Verdana" w:cs="*Verdana-5024"/>
          <w:color w:val="000000"/>
          <w:sz w:val="20"/>
          <w:szCs w:val="20"/>
        </w:rPr>
        <w:t>La integración de la cuenta pública se ajustará a lo previsto por la Ley, el Acuerdo, y demás normativa aplicable.</w:t>
      </w:r>
    </w:p>
    <w:p w:rsidR="007D39B8" w:rsidRPr="006E6401" w:rsidRDefault="007D39B8" w:rsidP="007D39B8">
      <w:pPr>
        <w:autoSpaceDE w:val="0"/>
        <w:autoSpaceDN w:val="0"/>
        <w:adjustRightInd w:val="0"/>
        <w:spacing w:after="0" w:line="240" w:lineRule="auto"/>
        <w:jc w:val="both"/>
        <w:rPr>
          <w:rFonts w:ascii="Verdana" w:hAnsi="Verdana" w:cs="*Verdana-5024"/>
          <w:color w:val="000000"/>
          <w:sz w:val="20"/>
          <w:szCs w:val="20"/>
        </w:rPr>
      </w:pPr>
    </w:p>
    <w:p w:rsidR="007D39B8" w:rsidRDefault="007D39B8" w:rsidP="007D39B8">
      <w:pPr>
        <w:autoSpaceDE w:val="0"/>
        <w:autoSpaceDN w:val="0"/>
        <w:adjustRightInd w:val="0"/>
        <w:spacing w:after="0" w:line="240" w:lineRule="auto"/>
        <w:ind w:firstLine="709"/>
        <w:jc w:val="both"/>
        <w:rPr>
          <w:rFonts w:ascii="Verdana" w:hAnsi="Verdana" w:cs="*Verdana-5277"/>
          <w:color w:val="000000"/>
          <w:sz w:val="20"/>
          <w:szCs w:val="20"/>
        </w:rPr>
      </w:pPr>
      <w:r w:rsidRPr="006E6401">
        <w:rPr>
          <w:rFonts w:ascii="Verdana" w:hAnsi="Verdana" w:cs="*Verdana-Bold-5278"/>
          <w:b/>
          <w:bCs/>
          <w:color w:val="000000"/>
          <w:sz w:val="20"/>
          <w:szCs w:val="20"/>
        </w:rPr>
        <w:t xml:space="preserve">Artículo </w:t>
      </w:r>
      <w:r>
        <w:rPr>
          <w:rFonts w:ascii="Verdana" w:hAnsi="Verdana" w:cs="*Verdana-Bold-5278"/>
          <w:b/>
          <w:bCs/>
          <w:color w:val="000000"/>
          <w:sz w:val="20"/>
          <w:szCs w:val="20"/>
        </w:rPr>
        <w:t>5</w:t>
      </w:r>
      <w:r w:rsidRPr="006E6401">
        <w:rPr>
          <w:rFonts w:ascii="Verdana" w:hAnsi="Verdana" w:cs="*Verdana-Bold-5278"/>
          <w:b/>
          <w:bCs/>
          <w:color w:val="000000"/>
          <w:sz w:val="20"/>
          <w:szCs w:val="20"/>
        </w:rPr>
        <w:t xml:space="preserve">. </w:t>
      </w:r>
      <w:r w:rsidRPr="006E6401">
        <w:rPr>
          <w:rFonts w:ascii="Verdana" w:hAnsi="Verdana" w:cs="*Verdana-5277"/>
          <w:color w:val="000000"/>
          <w:sz w:val="20"/>
          <w:szCs w:val="20"/>
        </w:rPr>
        <w:t>La cuenta pública del Estado y de los munic</w:t>
      </w:r>
      <w:r w:rsidR="00523FFB">
        <w:rPr>
          <w:rFonts w:ascii="Verdana" w:hAnsi="Verdana" w:cs="*Verdana-5277"/>
          <w:color w:val="000000"/>
          <w:sz w:val="20"/>
          <w:szCs w:val="20"/>
        </w:rPr>
        <w:t>i</w:t>
      </w:r>
      <w:r w:rsidRPr="006E6401">
        <w:rPr>
          <w:rFonts w:ascii="Verdana" w:hAnsi="Verdana" w:cs="*Verdana-5277"/>
          <w:color w:val="000000"/>
          <w:sz w:val="20"/>
          <w:szCs w:val="20"/>
        </w:rPr>
        <w:t>p</w:t>
      </w:r>
      <w:r w:rsidR="00523FFB">
        <w:rPr>
          <w:rFonts w:ascii="Verdana" w:hAnsi="Verdana" w:cs="*Verdana-5277"/>
          <w:color w:val="000000"/>
          <w:sz w:val="20"/>
          <w:szCs w:val="20"/>
        </w:rPr>
        <w:t>i</w:t>
      </w:r>
      <w:r w:rsidRPr="006E6401">
        <w:rPr>
          <w:rFonts w:ascii="Verdana" w:hAnsi="Verdana" w:cs="*Verdana-5277"/>
          <w:color w:val="000000"/>
          <w:sz w:val="20"/>
          <w:szCs w:val="20"/>
        </w:rPr>
        <w:t>os, será integrada por la Secretaría y la Tesorería municipal, respectivamente, en coordinación con los sujetos obligados que correspondan en términos del artículo 2; por lo que éstos deberán remitir la información en los términos y por los conductos establecidos</w:t>
      </w:r>
      <w:r>
        <w:rPr>
          <w:rFonts w:ascii="Verdana" w:hAnsi="Verdana" w:cs="*Verdana-5277"/>
          <w:color w:val="000000"/>
          <w:sz w:val="20"/>
          <w:szCs w:val="20"/>
        </w:rPr>
        <w:t xml:space="preserve"> en los presentes lineamientos.</w:t>
      </w:r>
    </w:p>
    <w:p w:rsidR="007D39B8" w:rsidRDefault="007D39B8" w:rsidP="007D39B8">
      <w:pPr>
        <w:autoSpaceDE w:val="0"/>
        <w:autoSpaceDN w:val="0"/>
        <w:adjustRightInd w:val="0"/>
        <w:spacing w:after="0" w:line="240" w:lineRule="auto"/>
        <w:ind w:firstLine="709"/>
        <w:jc w:val="both"/>
        <w:rPr>
          <w:rFonts w:ascii="Verdana" w:hAnsi="Verdana" w:cs="*Verdana-5277"/>
          <w:color w:val="000000"/>
          <w:sz w:val="20"/>
          <w:szCs w:val="20"/>
        </w:rPr>
      </w:pPr>
    </w:p>
    <w:p w:rsidR="007D39B8" w:rsidRDefault="007D39B8" w:rsidP="007D39B8">
      <w:pPr>
        <w:autoSpaceDE w:val="0"/>
        <w:autoSpaceDN w:val="0"/>
        <w:adjustRightInd w:val="0"/>
        <w:spacing w:after="0" w:line="240" w:lineRule="auto"/>
        <w:ind w:firstLine="709"/>
        <w:jc w:val="both"/>
        <w:rPr>
          <w:rFonts w:ascii="Verdana" w:hAnsi="Verdana" w:cs="*Verdana-5277"/>
          <w:color w:val="000000"/>
          <w:sz w:val="20"/>
          <w:szCs w:val="20"/>
        </w:rPr>
      </w:pPr>
      <w:r w:rsidRPr="006E6401">
        <w:rPr>
          <w:rFonts w:ascii="Verdana" w:hAnsi="Verdana" w:cs="*Verdana-Bold-5278"/>
          <w:b/>
          <w:bCs/>
          <w:color w:val="000000"/>
          <w:sz w:val="20"/>
          <w:szCs w:val="20"/>
        </w:rPr>
        <w:t xml:space="preserve">Artículo 6. </w:t>
      </w:r>
      <w:r w:rsidRPr="006E6401">
        <w:rPr>
          <w:rFonts w:ascii="Verdana" w:hAnsi="Verdana" w:cs="*Verdana-5277"/>
          <w:color w:val="000000"/>
          <w:sz w:val="20"/>
          <w:szCs w:val="20"/>
        </w:rPr>
        <w:t>Con independencia de lo previsto en los presentes lineamientos, los sujetos obligados deberán cumplir con las obligaciones establecidas en la legislación loc</w:t>
      </w:r>
      <w:r>
        <w:rPr>
          <w:rFonts w:ascii="Verdana" w:hAnsi="Verdana" w:cs="*Verdana-5277"/>
          <w:color w:val="000000"/>
          <w:sz w:val="20"/>
          <w:szCs w:val="20"/>
        </w:rPr>
        <w:t>al en materia de fiscalización.</w:t>
      </w:r>
    </w:p>
    <w:p w:rsidR="007D39B8" w:rsidRDefault="007D39B8" w:rsidP="007D39B8">
      <w:pPr>
        <w:autoSpaceDE w:val="0"/>
        <w:autoSpaceDN w:val="0"/>
        <w:adjustRightInd w:val="0"/>
        <w:spacing w:after="0" w:line="240" w:lineRule="auto"/>
        <w:ind w:firstLine="709"/>
        <w:jc w:val="both"/>
        <w:rPr>
          <w:rFonts w:ascii="Verdana" w:hAnsi="Verdana" w:cs="*Verdana-5277"/>
          <w:color w:val="000000"/>
          <w:sz w:val="20"/>
          <w:szCs w:val="20"/>
        </w:rPr>
      </w:pPr>
    </w:p>
    <w:p w:rsidR="00523FFB" w:rsidRDefault="00523FFB" w:rsidP="007D39B8">
      <w:pPr>
        <w:autoSpaceDE w:val="0"/>
        <w:autoSpaceDN w:val="0"/>
        <w:adjustRightInd w:val="0"/>
        <w:spacing w:after="0" w:line="240" w:lineRule="auto"/>
        <w:ind w:firstLine="709"/>
        <w:jc w:val="both"/>
        <w:rPr>
          <w:rFonts w:ascii="Verdana" w:hAnsi="Verdana" w:cs="*Verdana-5277"/>
          <w:color w:val="000000"/>
          <w:sz w:val="20"/>
          <w:szCs w:val="20"/>
        </w:rPr>
      </w:pPr>
    </w:p>
    <w:p w:rsidR="007D39B8" w:rsidRDefault="007D39B8" w:rsidP="007D39B8">
      <w:pPr>
        <w:autoSpaceDE w:val="0"/>
        <w:autoSpaceDN w:val="0"/>
        <w:adjustRightInd w:val="0"/>
        <w:spacing w:after="0" w:line="240" w:lineRule="auto"/>
        <w:jc w:val="center"/>
        <w:rPr>
          <w:rFonts w:ascii="Verdana" w:hAnsi="Verdana" w:cs="*Verdana-Bold-5278"/>
          <w:b/>
          <w:bCs/>
          <w:color w:val="000000"/>
          <w:sz w:val="20"/>
          <w:szCs w:val="20"/>
        </w:rPr>
      </w:pPr>
      <w:r>
        <w:rPr>
          <w:rFonts w:ascii="Verdana" w:hAnsi="Verdana" w:cs="*Verdana-Bold-5278"/>
          <w:b/>
          <w:bCs/>
          <w:color w:val="000000"/>
          <w:sz w:val="20"/>
          <w:szCs w:val="20"/>
        </w:rPr>
        <w:t>Capítulo II</w:t>
      </w:r>
    </w:p>
    <w:p w:rsidR="007D39B8" w:rsidRDefault="007D39B8" w:rsidP="007D39B8">
      <w:pPr>
        <w:autoSpaceDE w:val="0"/>
        <w:autoSpaceDN w:val="0"/>
        <w:adjustRightInd w:val="0"/>
        <w:spacing w:after="0" w:line="240" w:lineRule="auto"/>
        <w:jc w:val="center"/>
        <w:rPr>
          <w:rFonts w:ascii="Verdana" w:hAnsi="Verdana" w:cs="*Verdana-Bold-5278"/>
          <w:b/>
          <w:bCs/>
          <w:color w:val="000000"/>
          <w:sz w:val="20"/>
          <w:szCs w:val="20"/>
        </w:rPr>
      </w:pPr>
      <w:r w:rsidRPr="006E6401">
        <w:rPr>
          <w:rFonts w:ascii="Verdana" w:hAnsi="Verdana" w:cs="*Verdana-Bold-5278"/>
          <w:b/>
          <w:bCs/>
          <w:color w:val="000000"/>
          <w:sz w:val="20"/>
          <w:szCs w:val="20"/>
        </w:rPr>
        <w:t>Proceso para la I</w:t>
      </w:r>
      <w:r>
        <w:rPr>
          <w:rFonts w:ascii="Verdana" w:hAnsi="Verdana" w:cs="*Verdana-Bold-5278"/>
          <w:b/>
          <w:bCs/>
          <w:color w:val="000000"/>
          <w:sz w:val="20"/>
          <w:szCs w:val="20"/>
        </w:rPr>
        <w:t>ntegración de la Cuenta Pública</w:t>
      </w:r>
    </w:p>
    <w:p w:rsidR="007D39B8" w:rsidRDefault="007D39B8" w:rsidP="007D39B8">
      <w:pPr>
        <w:autoSpaceDE w:val="0"/>
        <w:autoSpaceDN w:val="0"/>
        <w:adjustRightInd w:val="0"/>
        <w:spacing w:after="0" w:line="240" w:lineRule="auto"/>
        <w:ind w:firstLine="709"/>
        <w:jc w:val="both"/>
        <w:rPr>
          <w:rFonts w:ascii="Verdana" w:hAnsi="Verdana" w:cs="*Verdana-Bold-5278"/>
          <w:b/>
          <w:bCs/>
          <w:color w:val="000000"/>
          <w:sz w:val="20"/>
          <w:szCs w:val="20"/>
        </w:rPr>
      </w:pPr>
    </w:p>
    <w:p w:rsidR="007D39B8" w:rsidRDefault="007D39B8" w:rsidP="007D39B8">
      <w:pPr>
        <w:autoSpaceDE w:val="0"/>
        <w:autoSpaceDN w:val="0"/>
        <w:adjustRightInd w:val="0"/>
        <w:spacing w:after="0" w:line="240" w:lineRule="auto"/>
        <w:ind w:firstLine="709"/>
        <w:jc w:val="both"/>
        <w:rPr>
          <w:rFonts w:ascii="Verdana" w:hAnsi="Verdana" w:cs="*Verdana-5277"/>
          <w:color w:val="000000"/>
          <w:sz w:val="20"/>
          <w:szCs w:val="20"/>
        </w:rPr>
      </w:pPr>
      <w:r w:rsidRPr="006E6401">
        <w:rPr>
          <w:rFonts w:ascii="Verdana" w:hAnsi="Verdana" w:cs="*Verdana-Bold-5278"/>
          <w:b/>
          <w:bCs/>
          <w:color w:val="000000"/>
          <w:sz w:val="20"/>
          <w:szCs w:val="20"/>
        </w:rPr>
        <w:t xml:space="preserve">Artículo 7. </w:t>
      </w:r>
      <w:r w:rsidRPr="006E6401">
        <w:rPr>
          <w:rFonts w:ascii="Verdana" w:hAnsi="Verdana" w:cs="*Verdana-5277"/>
          <w:color w:val="000000"/>
          <w:sz w:val="20"/>
          <w:szCs w:val="20"/>
        </w:rPr>
        <w:t>Los sujetos obligados deberán remitir a la Secretaría o a la Tesorería Municipal, según corresponda, la información necesaria para la integración de la cuenta pública, estructurada conforme a la Ley y al Acuerdo, dentro de los 45 días naturales siguientes a la fecha en que concluya el ejercicio fiscal respectivo; con la finalidad de que la Secretaría y la Tesorería Municipal, la integren y consoliden conforme a los plazos establecidos en las di</w:t>
      </w:r>
      <w:r>
        <w:rPr>
          <w:rFonts w:ascii="Verdana" w:hAnsi="Verdana" w:cs="*Verdana-5277"/>
          <w:color w:val="000000"/>
          <w:sz w:val="20"/>
          <w:szCs w:val="20"/>
        </w:rPr>
        <w:t>sposiciones legales aplicables.</w:t>
      </w:r>
    </w:p>
    <w:p w:rsidR="007D39B8" w:rsidRDefault="007D39B8" w:rsidP="007D39B8">
      <w:pPr>
        <w:autoSpaceDE w:val="0"/>
        <w:autoSpaceDN w:val="0"/>
        <w:adjustRightInd w:val="0"/>
        <w:spacing w:after="0" w:line="240" w:lineRule="auto"/>
        <w:ind w:firstLine="709"/>
        <w:jc w:val="both"/>
        <w:rPr>
          <w:rFonts w:ascii="Verdana" w:hAnsi="Verdana" w:cs="*Verdana-5277"/>
          <w:color w:val="000000"/>
          <w:sz w:val="20"/>
          <w:szCs w:val="20"/>
        </w:rPr>
      </w:pPr>
    </w:p>
    <w:p w:rsidR="00523FFB" w:rsidRDefault="007D39B8" w:rsidP="007D39B8">
      <w:pPr>
        <w:autoSpaceDE w:val="0"/>
        <w:autoSpaceDN w:val="0"/>
        <w:adjustRightInd w:val="0"/>
        <w:spacing w:after="0" w:line="240" w:lineRule="auto"/>
        <w:ind w:firstLine="709"/>
        <w:jc w:val="both"/>
        <w:rPr>
          <w:rFonts w:ascii="Verdana" w:hAnsi="Verdana" w:cs="*Verdana-5277"/>
          <w:color w:val="000000"/>
          <w:sz w:val="20"/>
          <w:szCs w:val="20"/>
        </w:rPr>
      </w:pPr>
      <w:r w:rsidRPr="006E6401">
        <w:rPr>
          <w:rFonts w:ascii="Verdana" w:hAnsi="Verdana" w:cs="*Verdana-Bold-5278"/>
          <w:b/>
          <w:bCs/>
          <w:color w:val="000000"/>
          <w:sz w:val="20"/>
          <w:szCs w:val="20"/>
        </w:rPr>
        <w:t xml:space="preserve">Artículo 8. </w:t>
      </w:r>
      <w:r w:rsidRPr="006E6401">
        <w:rPr>
          <w:rFonts w:ascii="Verdana" w:hAnsi="Verdana" w:cs="*Verdana-5277"/>
          <w:color w:val="000000"/>
          <w:sz w:val="20"/>
          <w:szCs w:val="20"/>
        </w:rPr>
        <w:t>La información correspondiente a cada uno de los sujetos obligados se remitirá a la Secretaría o a la Tesorería Municipal, según corresponda, por conducto de la Dirección, en forma impresa y debidam</w:t>
      </w:r>
      <w:r w:rsidR="00523FFB">
        <w:rPr>
          <w:rFonts w:ascii="Verdana" w:hAnsi="Verdana" w:cs="*Verdana-5277"/>
          <w:color w:val="000000"/>
          <w:sz w:val="20"/>
          <w:szCs w:val="20"/>
        </w:rPr>
        <w:t>ente firmada por sus titulares.</w:t>
      </w:r>
    </w:p>
    <w:p w:rsidR="00523FFB" w:rsidRDefault="00523FFB" w:rsidP="007D39B8">
      <w:pPr>
        <w:autoSpaceDE w:val="0"/>
        <w:autoSpaceDN w:val="0"/>
        <w:adjustRightInd w:val="0"/>
        <w:spacing w:after="0" w:line="240" w:lineRule="auto"/>
        <w:ind w:firstLine="709"/>
        <w:jc w:val="both"/>
        <w:rPr>
          <w:rFonts w:ascii="Verdana" w:hAnsi="Verdana" w:cs="*Verdana-5277"/>
          <w:color w:val="000000"/>
          <w:sz w:val="20"/>
          <w:szCs w:val="20"/>
        </w:rPr>
      </w:pPr>
    </w:p>
    <w:p w:rsidR="007D39B8" w:rsidRDefault="007D39B8" w:rsidP="007D39B8">
      <w:pPr>
        <w:autoSpaceDE w:val="0"/>
        <w:autoSpaceDN w:val="0"/>
        <w:adjustRightInd w:val="0"/>
        <w:spacing w:after="0" w:line="240" w:lineRule="auto"/>
        <w:ind w:firstLine="709"/>
        <w:jc w:val="both"/>
        <w:rPr>
          <w:rFonts w:ascii="Verdana" w:hAnsi="Verdana" w:cs="*Verdana-5277"/>
          <w:color w:val="000000"/>
          <w:sz w:val="20"/>
          <w:szCs w:val="20"/>
        </w:rPr>
      </w:pPr>
      <w:r w:rsidRPr="006E6401">
        <w:rPr>
          <w:rFonts w:ascii="Verdana" w:hAnsi="Verdana" w:cs="*Verdana-5277"/>
          <w:color w:val="000000"/>
          <w:sz w:val="20"/>
          <w:szCs w:val="20"/>
        </w:rPr>
        <w:t>La veracidad, contenido y presentación de la información remitida es responsabilidad de los s</w:t>
      </w:r>
      <w:r>
        <w:rPr>
          <w:rFonts w:ascii="Verdana" w:hAnsi="Verdana" w:cs="*Verdana-5277"/>
          <w:color w:val="000000"/>
          <w:sz w:val="20"/>
          <w:szCs w:val="20"/>
        </w:rPr>
        <w:t>ujetos obligados que la emiten.</w:t>
      </w:r>
    </w:p>
    <w:p w:rsidR="007D39B8" w:rsidRDefault="007D39B8" w:rsidP="007D39B8">
      <w:pPr>
        <w:autoSpaceDE w:val="0"/>
        <w:autoSpaceDN w:val="0"/>
        <w:adjustRightInd w:val="0"/>
        <w:spacing w:after="0" w:line="240" w:lineRule="auto"/>
        <w:ind w:firstLine="709"/>
        <w:jc w:val="both"/>
        <w:rPr>
          <w:rFonts w:ascii="Verdana" w:hAnsi="Verdana" w:cs="*Verdana-5277"/>
          <w:color w:val="000000"/>
          <w:sz w:val="20"/>
          <w:szCs w:val="20"/>
        </w:rPr>
      </w:pPr>
    </w:p>
    <w:p w:rsidR="007D39B8" w:rsidRDefault="007D39B8" w:rsidP="007D39B8">
      <w:pPr>
        <w:autoSpaceDE w:val="0"/>
        <w:autoSpaceDN w:val="0"/>
        <w:adjustRightInd w:val="0"/>
        <w:spacing w:after="0" w:line="240" w:lineRule="auto"/>
        <w:ind w:firstLine="709"/>
        <w:jc w:val="both"/>
        <w:rPr>
          <w:rFonts w:ascii="Verdana" w:hAnsi="Verdana" w:cs="*Verdana-4681"/>
          <w:color w:val="000000"/>
          <w:sz w:val="20"/>
          <w:szCs w:val="20"/>
        </w:rPr>
      </w:pPr>
      <w:r w:rsidRPr="006E6401">
        <w:rPr>
          <w:rFonts w:ascii="Verdana" w:hAnsi="Verdana" w:cs="*Verdana-Bold-5278"/>
          <w:b/>
          <w:bCs/>
          <w:color w:val="000000"/>
          <w:sz w:val="20"/>
          <w:szCs w:val="20"/>
        </w:rPr>
        <w:t xml:space="preserve">Artículo 9. </w:t>
      </w:r>
      <w:r w:rsidRPr="006E6401">
        <w:rPr>
          <w:rFonts w:ascii="Verdana" w:hAnsi="Verdana" w:cs="*Verdana-5277"/>
          <w:color w:val="000000"/>
          <w:sz w:val="20"/>
          <w:szCs w:val="20"/>
        </w:rPr>
        <w:t xml:space="preserve">Además de lo previsto en el artículo que antecede, los sujetos obligados remitirán a la Secretaría o a la Tesorería Municipal, según </w:t>
      </w:r>
      <w:r w:rsidRPr="006E6401">
        <w:rPr>
          <w:rFonts w:ascii="Verdana" w:hAnsi="Verdana" w:cs="*Verdana-4681"/>
          <w:color w:val="000000"/>
          <w:sz w:val="20"/>
          <w:szCs w:val="20"/>
        </w:rPr>
        <w:t>corresponda, la información respectiva en disco compacto y a través del sistema o medio e</w:t>
      </w:r>
      <w:r>
        <w:rPr>
          <w:rFonts w:ascii="Verdana" w:hAnsi="Verdana" w:cs="*Verdana-4681"/>
          <w:color w:val="000000"/>
          <w:sz w:val="20"/>
          <w:szCs w:val="20"/>
        </w:rPr>
        <w:t>lectrónico dispuesto para ello.</w:t>
      </w:r>
    </w:p>
    <w:p w:rsidR="007D39B8" w:rsidRDefault="007D39B8" w:rsidP="007D39B8">
      <w:pPr>
        <w:autoSpaceDE w:val="0"/>
        <w:autoSpaceDN w:val="0"/>
        <w:adjustRightInd w:val="0"/>
        <w:spacing w:after="0" w:line="240" w:lineRule="auto"/>
        <w:ind w:firstLine="709"/>
        <w:jc w:val="both"/>
        <w:rPr>
          <w:rFonts w:ascii="Verdana" w:hAnsi="Verdana" w:cs="*Verdana-4681"/>
          <w:color w:val="000000"/>
          <w:sz w:val="20"/>
          <w:szCs w:val="20"/>
        </w:rPr>
      </w:pPr>
    </w:p>
    <w:p w:rsidR="006A5609" w:rsidRDefault="007D39B8" w:rsidP="007D39B8">
      <w:pPr>
        <w:autoSpaceDE w:val="0"/>
        <w:autoSpaceDN w:val="0"/>
        <w:adjustRightInd w:val="0"/>
        <w:spacing w:after="0" w:line="240" w:lineRule="auto"/>
        <w:ind w:firstLine="709"/>
        <w:jc w:val="both"/>
        <w:rPr>
          <w:rFonts w:ascii="Verdana" w:hAnsi="Verdana" w:cs="*Verdana-4681"/>
          <w:color w:val="000000"/>
          <w:sz w:val="20"/>
          <w:szCs w:val="20"/>
        </w:rPr>
      </w:pPr>
      <w:r w:rsidRPr="006E6401">
        <w:rPr>
          <w:rFonts w:ascii="Verdana" w:hAnsi="Verdana" w:cs="*Verdana-Bold-4682"/>
          <w:b/>
          <w:bCs/>
          <w:color w:val="000000"/>
          <w:sz w:val="20"/>
          <w:szCs w:val="20"/>
        </w:rPr>
        <w:t xml:space="preserve">Artículo 10. </w:t>
      </w:r>
      <w:r w:rsidRPr="006E6401">
        <w:rPr>
          <w:rFonts w:ascii="Verdana" w:hAnsi="Verdana" w:cs="*Verdana-4681"/>
          <w:color w:val="000000"/>
          <w:sz w:val="20"/>
          <w:szCs w:val="20"/>
        </w:rPr>
        <w:t>Una vez integrada la cuenta pública respectiva, la Secretaría y la Tesorería Municipal, la remitirán al Poder Legislativo del Estado para los efectos conducentes.</w:t>
      </w:r>
    </w:p>
    <w:p w:rsidR="006A5609" w:rsidRDefault="006A5609" w:rsidP="007D39B8">
      <w:pPr>
        <w:autoSpaceDE w:val="0"/>
        <w:autoSpaceDN w:val="0"/>
        <w:adjustRightInd w:val="0"/>
        <w:spacing w:after="0" w:line="240" w:lineRule="auto"/>
        <w:ind w:firstLine="709"/>
        <w:jc w:val="both"/>
        <w:rPr>
          <w:rFonts w:ascii="Verdana" w:hAnsi="Verdana" w:cs="*Verdana-4681"/>
          <w:color w:val="000000"/>
          <w:sz w:val="20"/>
          <w:szCs w:val="20"/>
        </w:rPr>
      </w:pPr>
    </w:p>
    <w:p w:rsidR="007D39B8" w:rsidRDefault="007D39B8" w:rsidP="007D39B8">
      <w:pPr>
        <w:autoSpaceDE w:val="0"/>
        <w:autoSpaceDN w:val="0"/>
        <w:adjustRightInd w:val="0"/>
        <w:spacing w:after="0" w:line="240" w:lineRule="auto"/>
        <w:ind w:firstLine="709"/>
        <w:jc w:val="both"/>
        <w:rPr>
          <w:rFonts w:ascii="Verdana" w:hAnsi="Verdana" w:cs="*Verdana-4681"/>
          <w:color w:val="000000"/>
          <w:sz w:val="20"/>
          <w:szCs w:val="20"/>
        </w:rPr>
      </w:pPr>
      <w:r w:rsidRPr="006E6401">
        <w:rPr>
          <w:rFonts w:ascii="Verdana" w:hAnsi="Verdana" w:cs="*Verdana-4681"/>
          <w:color w:val="000000"/>
          <w:sz w:val="20"/>
          <w:szCs w:val="20"/>
        </w:rPr>
        <w:t xml:space="preserve">La Secretaría y la Tesorería Municipal, publicarán la cuenta pública respectiva en su página de Internet, de manera inmediata a su presentación, notificando en </w:t>
      </w:r>
      <w:r w:rsidR="006A5609">
        <w:rPr>
          <w:rFonts w:ascii="Verdana" w:hAnsi="Verdana" w:cs="*Verdana-4681"/>
          <w:color w:val="000000"/>
          <w:sz w:val="20"/>
          <w:szCs w:val="20"/>
        </w:rPr>
        <w:t>l</w:t>
      </w:r>
      <w:r w:rsidRPr="006E6401">
        <w:rPr>
          <w:rFonts w:ascii="Verdana" w:hAnsi="Verdana" w:cs="*Verdana-4681"/>
          <w:color w:val="000000"/>
          <w:sz w:val="20"/>
          <w:szCs w:val="20"/>
        </w:rPr>
        <w:t xml:space="preserve">a misma fecha, por oficio y correo electrónico a cada uno de los sujetos obligados la liga de publicación, con </w:t>
      </w:r>
      <w:r w:rsidRPr="006E6401">
        <w:rPr>
          <w:rFonts w:ascii="Verdana" w:hAnsi="Verdana" w:cs="*Verdana-4681"/>
          <w:color w:val="000000"/>
          <w:sz w:val="20"/>
          <w:szCs w:val="20"/>
        </w:rPr>
        <w:lastRenderedPageBreak/>
        <w:t>la finalidad de que éstos generen en sus respectivas páginas el enlace electrónico a dicha página para consulta de la población general.</w:t>
      </w:r>
    </w:p>
    <w:p w:rsidR="007D39B8" w:rsidRDefault="007D39B8" w:rsidP="007D39B8">
      <w:pPr>
        <w:autoSpaceDE w:val="0"/>
        <w:autoSpaceDN w:val="0"/>
        <w:adjustRightInd w:val="0"/>
        <w:spacing w:after="0" w:line="240" w:lineRule="auto"/>
        <w:ind w:firstLine="709"/>
        <w:jc w:val="both"/>
        <w:rPr>
          <w:rFonts w:ascii="Verdana" w:hAnsi="Verdana" w:cs="*Verdana-4681"/>
          <w:color w:val="000000"/>
          <w:sz w:val="20"/>
          <w:szCs w:val="20"/>
        </w:rPr>
      </w:pPr>
    </w:p>
    <w:p w:rsidR="006A5609" w:rsidRDefault="007D39B8" w:rsidP="007D39B8">
      <w:pPr>
        <w:autoSpaceDE w:val="0"/>
        <w:autoSpaceDN w:val="0"/>
        <w:adjustRightInd w:val="0"/>
        <w:spacing w:after="0" w:line="240" w:lineRule="auto"/>
        <w:ind w:firstLine="709"/>
        <w:jc w:val="both"/>
        <w:rPr>
          <w:rFonts w:ascii="Verdana" w:hAnsi="Verdana" w:cs="*Verdana-4681"/>
          <w:color w:val="000000"/>
          <w:sz w:val="20"/>
          <w:szCs w:val="20"/>
        </w:rPr>
      </w:pPr>
      <w:r w:rsidRPr="006E6401">
        <w:rPr>
          <w:rFonts w:ascii="Verdana" w:hAnsi="Verdana" w:cs="*Verdana-Bold-4682"/>
          <w:b/>
          <w:bCs/>
          <w:color w:val="000000"/>
          <w:sz w:val="20"/>
          <w:szCs w:val="20"/>
        </w:rPr>
        <w:t xml:space="preserve">Artículo 11. </w:t>
      </w:r>
      <w:r w:rsidRPr="006E6401">
        <w:rPr>
          <w:rFonts w:ascii="Verdana" w:hAnsi="Verdana" w:cs="*Verdana-4681"/>
          <w:color w:val="000000"/>
          <w:sz w:val="20"/>
          <w:szCs w:val="20"/>
        </w:rPr>
        <w:t>Los reportes específicos en la integración de la cuenta pública serán definidos por la Secretaría y la Tesorería Municipal, respectivamente, a prop</w:t>
      </w:r>
      <w:r w:rsidR="006A5609">
        <w:rPr>
          <w:rFonts w:ascii="Verdana" w:hAnsi="Verdana" w:cs="*Verdana-4681"/>
          <w:color w:val="000000"/>
          <w:sz w:val="20"/>
          <w:szCs w:val="20"/>
        </w:rPr>
        <w:t>uesta de los sujetos obligados.</w:t>
      </w:r>
    </w:p>
    <w:p w:rsidR="006A5609" w:rsidRDefault="006A5609" w:rsidP="007D39B8">
      <w:pPr>
        <w:autoSpaceDE w:val="0"/>
        <w:autoSpaceDN w:val="0"/>
        <w:adjustRightInd w:val="0"/>
        <w:spacing w:after="0" w:line="240" w:lineRule="auto"/>
        <w:ind w:firstLine="709"/>
        <w:jc w:val="both"/>
        <w:rPr>
          <w:rFonts w:ascii="Verdana" w:hAnsi="Verdana" w:cs="*Verdana-4681"/>
          <w:color w:val="000000"/>
          <w:sz w:val="20"/>
          <w:szCs w:val="20"/>
        </w:rPr>
      </w:pPr>
    </w:p>
    <w:p w:rsidR="007D39B8" w:rsidRDefault="007D39B8" w:rsidP="007D39B8">
      <w:pPr>
        <w:autoSpaceDE w:val="0"/>
        <w:autoSpaceDN w:val="0"/>
        <w:adjustRightInd w:val="0"/>
        <w:spacing w:after="0" w:line="240" w:lineRule="auto"/>
        <w:ind w:firstLine="709"/>
        <w:jc w:val="both"/>
        <w:rPr>
          <w:rFonts w:ascii="Verdana" w:hAnsi="Verdana" w:cs="*Verdana-4681"/>
          <w:color w:val="000000"/>
          <w:sz w:val="20"/>
          <w:szCs w:val="20"/>
        </w:rPr>
      </w:pPr>
      <w:r w:rsidRPr="006E6401">
        <w:rPr>
          <w:rFonts w:ascii="Verdana" w:hAnsi="Verdana" w:cs="*Verdana-4681"/>
          <w:color w:val="000000"/>
          <w:sz w:val="20"/>
          <w:szCs w:val="20"/>
        </w:rPr>
        <w:t>Los sujetos obligados determinarán la información adicional que estimen conveniente anexar, sin detrimento de lo dispuesto por la legislació</w:t>
      </w:r>
      <w:r>
        <w:rPr>
          <w:rFonts w:ascii="Verdana" w:hAnsi="Verdana" w:cs="*Verdana-4681"/>
          <w:color w:val="000000"/>
          <w:sz w:val="20"/>
          <w:szCs w:val="20"/>
        </w:rPr>
        <w:t>n aplicable.</w:t>
      </w:r>
    </w:p>
    <w:p w:rsidR="007D39B8" w:rsidRDefault="007D39B8" w:rsidP="007D39B8">
      <w:pPr>
        <w:autoSpaceDE w:val="0"/>
        <w:autoSpaceDN w:val="0"/>
        <w:adjustRightInd w:val="0"/>
        <w:spacing w:after="0" w:line="240" w:lineRule="auto"/>
        <w:ind w:firstLine="709"/>
        <w:jc w:val="both"/>
        <w:rPr>
          <w:rFonts w:ascii="Verdana" w:hAnsi="Verdana" w:cs="*Verdana-4681"/>
          <w:color w:val="000000"/>
          <w:sz w:val="20"/>
          <w:szCs w:val="20"/>
        </w:rPr>
      </w:pPr>
    </w:p>
    <w:p w:rsidR="007D39B8" w:rsidRDefault="007D39B8" w:rsidP="007D39B8">
      <w:pPr>
        <w:autoSpaceDE w:val="0"/>
        <w:autoSpaceDN w:val="0"/>
        <w:adjustRightInd w:val="0"/>
        <w:spacing w:after="0" w:line="240" w:lineRule="auto"/>
        <w:ind w:firstLine="709"/>
        <w:jc w:val="both"/>
        <w:rPr>
          <w:rFonts w:ascii="Verdana" w:hAnsi="Verdana" w:cs="*Verdana-4681"/>
          <w:color w:val="000000"/>
          <w:sz w:val="20"/>
          <w:szCs w:val="20"/>
        </w:rPr>
      </w:pPr>
      <w:r w:rsidRPr="006E6401">
        <w:rPr>
          <w:rFonts w:ascii="Verdana" w:hAnsi="Verdana" w:cs="*Verdana-Bold-4682"/>
          <w:b/>
          <w:bCs/>
          <w:color w:val="000000"/>
          <w:sz w:val="20"/>
          <w:szCs w:val="20"/>
        </w:rPr>
        <w:t xml:space="preserve">Artículo 12. </w:t>
      </w:r>
      <w:r w:rsidRPr="006E6401">
        <w:rPr>
          <w:rFonts w:ascii="Verdana" w:hAnsi="Verdana" w:cs="*Verdana-4681"/>
          <w:color w:val="000000"/>
          <w:sz w:val="20"/>
          <w:szCs w:val="20"/>
        </w:rPr>
        <w:t xml:space="preserve">La información correspondiente a los entes públicos del sector </w:t>
      </w:r>
      <w:proofErr w:type="gramStart"/>
      <w:r w:rsidRPr="006E6401">
        <w:rPr>
          <w:rFonts w:ascii="Verdana" w:hAnsi="Verdana" w:cs="*Verdana-4681"/>
          <w:color w:val="000000"/>
          <w:sz w:val="20"/>
          <w:szCs w:val="20"/>
        </w:rPr>
        <w:t>paraestatal,</w:t>
      </w:r>
      <w:proofErr w:type="gramEnd"/>
      <w:r w:rsidRPr="006E6401">
        <w:rPr>
          <w:rFonts w:ascii="Verdana" w:hAnsi="Verdana" w:cs="*Verdana-4681"/>
          <w:color w:val="000000"/>
          <w:sz w:val="20"/>
          <w:szCs w:val="20"/>
        </w:rPr>
        <w:t xml:space="preserve"> se integrará en atención al Acuerdo, en</w:t>
      </w:r>
      <w:r>
        <w:rPr>
          <w:rFonts w:ascii="Verdana" w:hAnsi="Verdana" w:cs="*Verdana-4681"/>
          <w:color w:val="000000"/>
          <w:sz w:val="20"/>
          <w:szCs w:val="20"/>
        </w:rPr>
        <w:t xml:space="preserve"> coordinación con la Dirección.</w:t>
      </w:r>
    </w:p>
    <w:p w:rsidR="007D39B8" w:rsidRDefault="007D39B8" w:rsidP="007D39B8">
      <w:pPr>
        <w:autoSpaceDE w:val="0"/>
        <w:autoSpaceDN w:val="0"/>
        <w:adjustRightInd w:val="0"/>
        <w:spacing w:after="0" w:line="240" w:lineRule="auto"/>
        <w:jc w:val="both"/>
        <w:rPr>
          <w:rFonts w:ascii="Verdana" w:hAnsi="Verdana" w:cs="*Verdana-Bold-4682"/>
          <w:b/>
          <w:bCs/>
          <w:color w:val="000000"/>
          <w:sz w:val="20"/>
          <w:szCs w:val="20"/>
        </w:rPr>
      </w:pPr>
    </w:p>
    <w:p w:rsidR="007D39B8" w:rsidRDefault="007D39B8" w:rsidP="007D39B8">
      <w:pPr>
        <w:autoSpaceDE w:val="0"/>
        <w:autoSpaceDN w:val="0"/>
        <w:adjustRightInd w:val="0"/>
        <w:spacing w:after="0" w:line="240" w:lineRule="auto"/>
        <w:jc w:val="both"/>
        <w:rPr>
          <w:rFonts w:ascii="Verdana" w:hAnsi="Verdana" w:cs="*Verdana-Bold-4682"/>
          <w:b/>
          <w:bCs/>
          <w:color w:val="000000"/>
          <w:sz w:val="20"/>
          <w:szCs w:val="20"/>
        </w:rPr>
      </w:pPr>
    </w:p>
    <w:p w:rsidR="007D39B8" w:rsidRPr="006A5609" w:rsidRDefault="006A5609" w:rsidP="007D39B8">
      <w:pPr>
        <w:autoSpaceDE w:val="0"/>
        <w:autoSpaceDN w:val="0"/>
        <w:adjustRightInd w:val="0"/>
        <w:spacing w:after="0" w:line="240" w:lineRule="auto"/>
        <w:jc w:val="center"/>
        <w:rPr>
          <w:rFonts w:ascii="Verdana" w:hAnsi="Verdana" w:cs="*Verdana-Bold-4682"/>
          <w:b/>
          <w:bCs/>
          <w:color w:val="000000"/>
          <w:sz w:val="20"/>
          <w:szCs w:val="20"/>
          <w:lang w:val="en-US"/>
        </w:rPr>
      </w:pPr>
      <w:r w:rsidRPr="006A5609">
        <w:rPr>
          <w:rFonts w:ascii="Verdana" w:hAnsi="Verdana" w:cs="*Verdana-Bold-4682"/>
          <w:b/>
          <w:bCs/>
          <w:color w:val="000000"/>
          <w:sz w:val="20"/>
          <w:szCs w:val="20"/>
          <w:lang w:val="en-US"/>
        </w:rPr>
        <w:t xml:space="preserve">T R </w:t>
      </w:r>
      <w:proofErr w:type="gramStart"/>
      <w:r w:rsidRPr="006A5609">
        <w:rPr>
          <w:rFonts w:ascii="Verdana" w:hAnsi="Verdana" w:cs="*Verdana-Bold-4682"/>
          <w:b/>
          <w:bCs/>
          <w:color w:val="000000"/>
          <w:sz w:val="20"/>
          <w:szCs w:val="20"/>
          <w:lang w:val="en-US"/>
        </w:rPr>
        <w:t>A</w:t>
      </w:r>
      <w:proofErr w:type="gramEnd"/>
      <w:r w:rsidRPr="006A5609">
        <w:rPr>
          <w:rFonts w:ascii="Verdana" w:hAnsi="Verdana" w:cs="*Verdana-Bold-4682"/>
          <w:b/>
          <w:bCs/>
          <w:color w:val="000000"/>
          <w:sz w:val="20"/>
          <w:szCs w:val="20"/>
          <w:lang w:val="en-US"/>
        </w:rPr>
        <w:t xml:space="preserve"> N S I T O R I O S</w:t>
      </w:r>
    </w:p>
    <w:p w:rsidR="007D39B8" w:rsidRPr="006A5609" w:rsidRDefault="007D39B8" w:rsidP="007D39B8">
      <w:pPr>
        <w:autoSpaceDE w:val="0"/>
        <w:autoSpaceDN w:val="0"/>
        <w:adjustRightInd w:val="0"/>
        <w:spacing w:after="0" w:line="240" w:lineRule="auto"/>
        <w:ind w:firstLine="709"/>
        <w:jc w:val="both"/>
        <w:rPr>
          <w:rFonts w:ascii="Verdana" w:hAnsi="Verdana" w:cs="*Verdana-Bold-4682"/>
          <w:b/>
          <w:bCs/>
          <w:color w:val="000000"/>
          <w:sz w:val="20"/>
          <w:szCs w:val="20"/>
          <w:lang w:val="en-US"/>
        </w:rPr>
      </w:pPr>
    </w:p>
    <w:p w:rsidR="007D39B8" w:rsidRDefault="007D39B8" w:rsidP="007D39B8">
      <w:pPr>
        <w:autoSpaceDE w:val="0"/>
        <w:autoSpaceDN w:val="0"/>
        <w:adjustRightInd w:val="0"/>
        <w:spacing w:after="0" w:line="240" w:lineRule="auto"/>
        <w:ind w:firstLine="709"/>
        <w:jc w:val="both"/>
        <w:rPr>
          <w:rFonts w:ascii="Verdana" w:hAnsi="Verdana" w:cs="*Verdana-4681"/>
          <w:color w:val="000000"/>
          <w:sz w:val="20"/>
          <w:szCs w:val="20"/>
        </w:rPr>
      </w:pPr>
      <w:r w:rsidRPr="006E6401">
        <w:rPr>
          <w:rFonts w:ascii="Verdana" w:hAnsi="Verdana" w:cs="*Verdana-Bold-4682"/>
          <w:b/>
          <w:bCs/>
          <w:color w:val="000000"/>
          <w:sz w:val="20"/>
          <w:szCs w:val="20"/>
        </w:rPr>
        <w:t xml:space="preserve">Artículo Primero. </w:t>
      </w:r>
      <w:r w:rsidRPr="006E6401">
        <w:rPr>
          <w:rFonts w:ascii="Verdana" w:hAnsi="Verdana" w:cs="*Verdana-4681"/>
          <w:color w:val="000000"/>
          <w:sz w:val="20"/>
          <w:szCs w:val="20"/>
        </w:rPr>
        <w:t>El presente decreto entrará en vigor el día de su publicación en el Periódico O</w:t>
      </w:r>
      <w:r>
        <w:rPr>
          <w:rFonts w:ascii="Verdana" w:hAnsi="Verdana" w:cs="*Verdana-4681"/>
          <w:color w:val="000000"/>
          <w:sz w:val="20"/>
          <w:szCs w:val="20"/>
        </w:rPr>
        <w:t>ficial del Gobierno del Estado.</w:t>
      </w:r>
    </w:p>
    <w:p w:rsidR="007D39B8" w:rsidRPr="006E6401" w:rsidRDefault="007D39B8" w:rsidP="007D39B8">
      <w:pPr>
        <w:autoSpaceDE w:val="0"/>
        <w:autoSpaceDN w:val="0"/>
        <w:adjustRightInd w:val="0"/>
        <w:spacing w:after="0" w:line="240" w:lineRule="auto"/>
        <w:ind w:firstLine="709"/>
        <w:jc w:val="both"/>
        <w:rPr>
          <w:rFonts w:ascii="Verdana" w:hAnsi="Verdana" w:cs="*Verdana-4681"/>
          <w:color w:val="000000"/>
          <w:sz w:val="20"/>
          <w:szCs w:val="20"/>
        </w:rPr>
      </w:pPr>
    </w:p>
    <w:p w:rsidR="007D39B8" w:rsidRPr="006E6401" w:rsidRDefault="007D39B8" w:rsidP="007D39B8">
      <w:pPr>
        <w:autoSpaceDE w:val="0"/>
        <w:autoSpaceDN w:val="0"/>
        <w:adjustRightInd w:val="0"/>
        <w:spacing w:after="0" w:line="240" w:lineRule="auto"/>
        <w:ind w:firstLine="709"/>
        <w:jc w:val="both"/>
        <w:rPr>
          <w:rFonts w:ascii="*Verdana-4728" w:hAnsi="*Verdana-4728" w:cs="*Verdana-4728"/>
          <w:color w:val="000000"/>
          <w:sz w:val="19"/>
          <w:szCs w:val="19"/>
        </w:rPr>
      </w:pPr>
      <w:r w:rsidRPr="006E6401">
        <w:rPr>
          <w:rFonts w:ascii="Verdana" w:hAnsi="Verdana" w:cs="*Verdana-Bold-4729"/>
          <w:b/>
          <w:bCs/>
          <w:color w:val="000000"/>
          <w:sz w:val="20"/>
          <w:szCs w:val="20"/>
        </w:rPr>
        <w:t xml:space="preserve">Artículo Segundo. </w:t>
      </w:r>
      <w:r w:rsidRPr="006E6401">
        <w:rPr>
          <w:rFonts w:ascii="Verdana" w:hAnsi="Verdana" w:cs="*Verdana-4728"/>
          <w:color w:val="000000"/>
          <w:sz w:val="20"/>
          <w:szCs w:val="20"/>
        </w:rPr>
        <w:t xml:space="preserve">Por única ocasión, para efecto de dar cumplimiento al artículo 7 del presente Decreto, respecto al plazo para la remisión de la información necesaria para la integración de la cuenta pública correspondiente al ejercicio fiscal </w:t>
      </w:r>
      <w:r w:rsidRPr="006E6401">
        <w:rPr>
          <w:rFonts w:ascii="Verdana" w:hAnsi="Verdana" w:cs="*Verdana-4727"/>
          <w:color w:val="000000"/>
          <w:sz w:val="20"/>
          <w:szCs w:val="20"/>
        </w:rPr>
        <w:t xml:space="preserve">2017, </w:t>
      </w:r>
      <w:r w:rsidRPr="006E6401">
        <w:rPr>
          <w:rFonts w:ascii="Verdana" w:hAnsi="Verdana" w:cs="*Verdana-4728"/>
          <w:color w:val="000000"/>
          <w:sz w:val="20"/>
          <w:szCs w:val="20"/>
        </w:rPr>
        <w:t xml:space="preserve">los sujetos obligados contarán con un plazo de </w:t>
      </w:r>
      <w:r w:rsidRPr="006E6401">
        <w:rPr>
          <w:rFonts w:ascii="Verdana" w:hAnsi="Verdana" w:cs="*Verdana-4727"/>
          <w:color w:val="000000"/>
          <w:sz w:val="20"/>
          <w:szCs w:val="20"/>
        </w:rPr>
        <w:t xml:space="preserve">60 </w:t>
      </w:r>
      <w:r w:rsidRPr="006E6401">
        <w:rPr>
          <w:rFonts w:ascii="Verdana" w:hAnsi="Verdana" w:cs="*Verdana-4728"/>
          <w:color w:val="000000"/>
          <w:sz w:val="20"/>
          <w:szCs w:val="20"/>
        </w:rPr>
        <w:t>días.</w:t>
      </w:r>
      <w:r w:rsidRPr="006E6401">
        <w:rPr>
          <w:rFonts w:ascii="*Verdana-4728" w:hAnsi="*Verdana-4728" w:cs="*Verdana-4728"/>
          <w:color w:val="000000"/>
          <w:sz w:val="19"/>
          <w:szCs w:val="19"/>
        </w:rPr>
        <w:t xml:space="preserve"> </w:t>
      </w:r>
    </w:p>
    <w:p w:rsidR="007D39B8" w:rsidRDefault="007D39B8">
      <w:pPr>
        <w:rPr>
          <w:rFonts w:ascii="Verdana" w:hAnsi="Verdana"/>
          <w:sz w:val="20"/>
          <w:szCs w:val="20"/>
        </w:rPr>
      </w:pPr>
    </w:p>
    <w:p w:rsidR="006A5609" w:rsidRPr="006A5609" w:rsidRDefault="006A5609" w:rsidP="006A5609">
      <w:pPr>
        <w:jc w:val="both"/>
        <w:rPr>
          <w:rFonts w:ascii="Verdana" w:hAnsi="Verdana"/>
          <w:b/>
          <w:sz w:val="20"/>
          <w:szCs w:val="20"/>
        </w:rPr>
      </w:pPr>
      <w:r w:rsidRPr="006A5609">
        <w:rPr>
          <w:rFonts w:ascii="Verdana" w:hAnsi="Verdana"/>
          <w:b/>
          <w:sz w:val="20"/>
          <w:szCs w:val="20"/>
        </w:rPr>
        <w:t>LO TENDRÁ ENTENDIDO EL CIUDADANO GOBERNADOR</w:t>
      </w:r>
      <w:r w:rsidRPr="006A5609">
        <w:rPr>
          <w:rFonts w:ascii="Verdana" w:hAnsi="Verdana"/>
          <w:b/>
          <w:sz w:val="20"/>
          <w:szCs w:val="20"/>
        </w:rPr>
        <w:t xml:space="preserve"> </w:t>
      </w:r>
      <w:r w:rsidRPr="006A5609">
        <w:rPr>
          <w:rFonts w:ascii="Verdana" w:hAnsi="Verdana"/>
          <w:b/>
          <w:sz w:val="20"/>
          <w:szCs w:val="20"/>
        </w:rPr>
        <w:t>CONSTITUCIONAL DEL ESTADO Y DISPONDRÁ QUE SE IMPRIMA, PUBLIQUE,</w:t>
      </w:r>
      <w:r w:rsidRPr="006A5609">
        <w:rPr>
          <w:rFonts w:ascii="Verdana" w:hAnsi="Verdana"/>
          <w:b/>
          <w:sz w:val="20"/>
          <w:szCs w:val="20"/>
        </w:rPr>
        <w:t xml:space="preserve"> </w:t>
      </w:r>
      <w:r w:rsidRPr="006A5609">
        <w:rPr>
          <w:rFonts w:ascii="Verdana" w:hAnsi="Verdana"/>
          <w:b/>
          <w:sz w:val="20"/>
          <w:szCs w:val="20"/>
        </w:rPr>
        <w:t>CIRCULE Y SE LE DÉ EL DEBIDO</w:t>
      </w:r>
      <w:r w:rsidRPr="006A5609">
        <w:rPr>
          <w:rFonts w:ascii="Verdana" w:hAnsi="Verdana"/>
          <w:b/>
          <w:sz w:val="20"/>
          <w:szCs w:val="20"/>
        </w:rPr>
        <w:t xml:space="preserve"> </w:t>
      </w:r>
      <w:proofErr w:type="gramStart"/>
      <w:r>
        <w:rPr>
          <w:rFonts w:ascii="Verdana" w:hAnsi="Verdana"/>
          <w:b/>
          <w:sz w:val="20"/>
          <w:szCs w:val="20"/>
        </w:rPr>
        <w:t>CUMPLIMIENTO.</w:t>
      </w:r>
      <w:r w:rsidRPr="006A5609">
        <w:rPr>
          <w:rFonts w:ascii="Verdana" w:hAnsi="Verdana"/>
          <w:b/>
          <w:sz w:val="20"/>
          <w:szCs w:val="20"/>
        </w:rPr>
        <w:t>-</w:t>
      </w:r>
      <w:proofErr w:type="gramEnd"/>
      <w:r w:rsidRPr="006A5609">
        <w:rPr>
          <w:rFonts w:ascii="Verdana" w:hAnsi="Verdana"/>
          <w:b/>
          <w:sz w:val="20"/>
          <w:szCs w:val="20"/>
        </w:rPr>
        <w:t xml:space="preserve"> GUANAJUATO, GTO., 15 DE</w:t>
      </w:r>
      <w:r w:rsidRPr="006A5609">
        <w:rPr>
          <w:rFonts w:ascii="Verdana" w:hAnsi="Verdana"/>
          <w:b/>
          <w:sz w:val="20"/>
          <w:szCs w:val="20"/>
        </w:rPr>
        <w:t xml:space="preserve"> </w:t>
      </w:r>
      <w:r w:rsidRPr="006A5609">
        <w:rPr>
          <w:rFonts w:ascii="Verdana" w:hAnsi="Verdana"/>
          <w:b/>
          <w:sz w:val="20"/>
          <w:szCs w:val="20"/>
        </w:rPr>
        <w:t>FEBRERO DE 2018.- LUIS VARGAS GUTIÉRREZ.- DIPUTADO PRESIDENTE.- LUZ</w:t>
      </w:r>
      <w:r w:rsidRPr="006A5609">
        <w:rPr>
          <w:rFonts w:ascii="Verdana" w:hAnsi="Verdana"/>
          <w:b/>
          <w:sz w:val="20"/>
          <w:szCs w:val="20"/>
        </w:rPr>
        <w:t xml:space="preserve"> </w:t>
      </w:r>
      <w:r w:rsidRPr="006A5609">
        <w:rPr>
          <w:rFonts w:ascii="Verdana" w:hAnsi="Verdana"/>
          <w:b/>
          <w:sz w:val="20"/>
          <w:szCs w:val="20"/>
        </w:rPr>
        <w:t>ELENA GOVEA LÓPEZ.- DIPUTADA VICEPRESIDENTA.- GUILLERMO AGUIRRE</w:t>
      </w:r>
      <w:r w:rsidRPr="006A5609">
        <w:rPr>
          <w:rFonts w:ascii="Verdana" w:hAnsi="Verdana"/>
          <w:b/>
          <w:sz w:val="20"/>
          <w:szCs w:val="20"/>
        </w:rPr>
        <w:t xml:space="preserve"> </w:t>
      </w:r>
      <w:r w:rsidRPr="006A5609">
        <w:rPr>
          <w:rFonts w:ascii="Verdana" w:hAnsi="Verdana"/>
          <w:b/>
          <w:sz w:val="20"/>
          <w:szCs w:val="20"/>
        </w:rPr>
        <w:t>FONSECA.- DIPUTADO SECRETARIO.- JUAN GABRIEL VILLAFAÑA</w:t>
      </w:r>
      <w:r w:rsidRPr="006A5609">
        <w:rPr>
          <w:rFonts w:ascii="Verdana" w:hAnsi="Verdana"/>
          <w:b/>
          <w:sz w:val="20"/>
          <w:szCs w:val="20"/>
        </w:rPr>
        <w:t xml:space="preserve"> </w:t>
      </w:r>
      <w:r w:rsidRPr="006A5609">
        <w:rPr>
          <w:rFonts w:ascii="Verdana" w:hAnsi="Verdana"/>
          <w:b/>
          <w:sz w:val="20"/>
          <w:szCs w:val="20"/>
        </w:rPr>
        <w:t>COVARRUBIAS.- DIPUTADO SECRETARIO.- RÚBRICAS.</w:t>
      </w:r>
    </w:p>
    <w:p w:rsidR="006A5609" w:rsidRDefault="006A5609" w:rsidP="006A5609">
      <w:pPr>
        <w:spacing w:after="0" w:line="240" w:lineRule="auto"/>
        <w:ind w:firstLine="709"/>
        <w:rPr>
          <w:rFonts w:ascii="Verdana" w:hAnsi="Verdana"/>
          <w:sz w:val="20"/>
          <w:szCs w:val="20"/>
        </w:rPr>
      </w:pPr>
      <w:r w:rsidRPr="006A5609">
        <w:rPr>
          <w:rFonts w:ascii="Verdana" w:hAnsi="Verdana"/>
          <w:sz w:val="20"/>
          <w:szCs w:val="20"/>
        </w:rPr>
        <w:t>Por lo tanto, mando se imprima, publique, circule y se le dé el debido</w:t>
      </w:r>
      <w:r>
        <w:rPr>
          <w:rFonts w:ascii="Verdana" w:hAnsi="Verdana"/>
          <w:sz w:val="20"/>
          <w:szCs w:val="20"/>
        </w:rPr>
        <w:t xml:space="preserve"> </w:t>
      </w:r>
      <w:r w:rsidRPr="006A5609">
        <w:rPr>
          <w:rFonts w:ascii="Verdana" w:hAnsi="Verdana"/>
          <w:sz w:val="20"/>
          <w:szCs w:val="20"/>
        </w:rPr>
        <w:t>cumplimiento.</w:t>
      </w:r>
    </w:p>
    <w:p w:rsidR="006A5609" w:rsidRDefault="006A5609" w:rsidP="006A5609">
      <w:pPr>
        <w:spacing w:after="0" w:line="240" w:lineRule="auto"/>
        <w:ind w:firstLine="709"/>
        <w:rPr>
          <w:rFonts w:ascii="Verdana" w:hAnsi="Verdana"/>
          <w:sz w:val="20"/>
          <w:szCs w:val="20"/>
        </w:rPr>
      </w:pPr>
    </w:p>
    <w:p w:rsidR="006A5609" w:rsidRDefault="006A5609" w:rsidP="006A5609">
      <w:pPr>
        <w:spacing w:after="0" w:line="240" w:lineRule="auto"/>
        <w:ind w:firstLine="709"/>
        <w:rPr>
          <w:rFonts w:ascii="Verdana" w:hAnsi="Verdana"/>
          <w:sz w:val="20"/>
          <w:szCs w:val="20"/>
        </w:rPr>
      </w:pPr>
      <w:r w:rsidRPr="006A5609">
        <w:rPr>
          <w:rFonts w:ascii="Verdana" w:hAnsi="Verdana"/>
          <w:sz w:val="20"/>
          <w:szCs w:val="20"/>
        </w:rPr>
        <w:t xml:space="preserve">Dado en la residencia del Poder Ejecutivo, en la ciudad de Guanajuato, </w:t>
      </w:r>
      <w:proofErr w:type="spellStart"/>
      <w:r w:rsidRPr="006A5609">
        <w:rPr>
          <w:rFonts w:ascii="Verdana" w:hAnsi="Verdana"/>
          <w:sz w:val="20"/>
          <w:szCs w:val="20"/>
        </w:rPr>
        <w:t>Gto</w:t>
      </w:r>
      <w:proofErr w:type="spellEnd"/>
      <w:r w:rsidRPr="006A5609">
        <w:rPr>
          <w:rFonts w:ascii="Verdana" w:hAnsi="Verdana"/>
          <w:sz w:val="20"/>
          <w:szCs w:val="20"/>
        </w:rPr>
        <w:t>., a</w:t>
      </w:r>
      <w:r>
        <w:rPr>
          <w:rFonts w:ascii="Verdana" w:hAnsi="Verdana"/>
          <w:sz w:val="20"/>
          <w:szCs w:val="20"/>
        </w:rPr>
        <w:t xml:space="preserve"> </w:t>
      </w:r>
      <w:r w:rsidRPr="006A5609">
        <w:rPr>
          <w:rFonts w:ascii="Verdana" w:hAnsi="Verdana"/>
          <w:sz w:val="20"/>
          <w:szCs w:val="20"/>
        </w:rPr>
        <w:t>19 de febrero de 2018.</w:t>
      </w:r>
    </w:p>
    <w:p w:rsidR="006A5609" w:rsidRDefault="006A5609">
      <w:pPr>
        <w:rPr>
          <w:rFonts w:ascii="Verdana" w:hAnsi="Verdana"/>
          <w:sz w:val="20"/>
          <w:szCs w:val="20"/>
        </w:rPr>
      </w:pPr>
    </w:p>
    <w:p w:rsidR="006A5609" w:rsidRPr="006A5609" w:rsidRDefault="006A5609" w:rsidP="006A5609">
      <w:pPr>
        <w:jc w:val="right"/>
        <w:rPr>
          <w:rFonts w:ascii="Verdana" w:hAnsi="Verdana"/>
          <w:b/>
          <w:sz w:val="20"/>
          <w:szCs w:val="20"/>
        </w:rPr>
      </w:pPr>
      <w:r w:rsidRPr="006A5609">
        <w:rPr>
          <w:rFonts w:ascii="Verdana" w:hAnsi="Verdana"/>
          <w:b/>
          <w:sz w:val="20"/>
          <w:szCs w:val="20"/>
        </w:rPr>
        <w:t xml:space="preserve">MIGUEL MÁRQUEZ </w:t>
      </w:r>
      <w:proofErr w:type="spellStart"/>
      <w:r w:rsidRPr="006A5609">
        <w:rPr>
          <w:rFonts w:ascii="Verdana" w:hAnsi="Verdana"/>
          <w:b/>
          <w:sz w:val="20"/>
          <w:szCs w:val="20"/>
        </w:rPr>
        <w:t>MÁRQUEZ</w:t>
      </w:r>
      <w:proofErr w:type="spellEnd"/>
    </w:p>
    <w:p w:rsidR="006A5609" w:rsidRPr="006A5609" w:rsidRDefault="006A5609">
      <w:pPr>
        <w:rPr>
          <w:rFonts w:ascii="Verdana" w:hAnsi="Verdana"/>
          <w:b/>
          <w:sz w:val="20"/>
          <w:szCs w:val="20"/>
        </w:rPr>
      </w:pPr>
    </w:p>
    <w:p w:rsidR="006A5609" w:rsidRPr="006A5609" w:rsidRDefault="006A5609">
      <w:pPr>
        <w:rPr>
          <w:rFonts w:ascii="Verdana" w:hAnsi="Verdana"/>
          <w:b/>
          <w:sz w:val="20"/>
          <w:szCs w:val="20"/>
        </w:rPr>
      </w:pPr>
      <w:r w:rsidRPr="006A5609">
        <w:rPr>
          <w:rFonts w:ascii="Verdana" w:hAnsi="Verdana"/>
          <w:b/>
          <w:sz w:val="20"/>
          <w:szCs w:val="20"/>
        </w:rPr>
        <w:t>EL SECRETARIO DE GOBIERNO</w:t>
      </w:r>
    </w:p>
    <w:p w:rsidR="006A5609" w:rsidRPr="006A5609" w:rsidRDefault="006A5609">
      <w:pPr>
        <w:rPr>
          <w:rFonts w:ascii="Verdana" w:hAnsi="Verdana"/>
          <w:b/>
          <w:sz w:val="20"/>
          <w:szCs w:val="20"/>
        </w:rPr>
      </w:pPr>
    </w:p>
    <w:p w:rsidR="006A5609" w:rsidRPr="006A5609" w:rsidRDefault="006A5609">
      <w:pPr>
        <w:rPr>
          <w:rFonts w:ascii="Verdana" w:hAnsi="Verdana"/>
          <w:b/>
          <w:sz w:val="20"/>
          <w:szCs w:val="20"/>
        </w:rPr>
      </w:pPr>
    </w:p>
    <w:p w:rsidR="007D39B8" w:rsidRPr="006A5609" w:rsidRDefault="006A5609">
      <w:pPr>
        <w:rPr>
          <w:rFonts w:ascii="Verdana" w:hAnsi="Verdana"/>
          <w:b/>
          <w:sz w:val="20"/>
          <w:szCs w:val="20"/>
        </w:rPr>
      </w:pPr>
      <w:r w:rsidRPr="006A5609">
        <w:rPr>
          <w:rFonts w:ascii="Verdana" w:hAnsi="Verdana"/>
          <w:b/>
          <w:sz w:val="20"/>
          <w:szCs w:val="20"/>
        </w:rPr>
        <w:t>GUSTAVO RODRÍGUEZ JUNQUERA</w:t>
      </w:r>
    </w:p>
    <w:sectPr w:rsidR="007D39B8" w:rsidRPr="006A5609" w:rsidSect="007D39B8">
      <w:headerReference w:type="even" r:id="rId7"/>
      <w:headerReference w:type="default" r:id="rId8"/>
      <w:footerReference w:type="default" r:id="rId9"/>
      <w:headerReference w:type="first" r:id="rId10"/>
      <w:pgSz w:w="12240" w:h="15840"/>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5CE" w:rsidRDefault="00B875CE" w:rsidP="007D39B8">
      <w:pPr>
        <w:spacing w:after="0" w:line="240" w:lineRule="auto"/>
      </w:pPr>
      <w:r>
        <w:separator/>
      </w:r>
    </w:p>
  </w:endnote>
  <w:endnote w:type="continuationSeparator" w:id="0">
    <w:p w:rsidR="00B875CE" w:rsidRDefault="00B875CE" w:rsidP="007D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Bold-7165">
    <w:altName w:val="*Verdana-Bold-7165"/>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erdana-Bold-7163">
    <w:altName w:val="*Verdana-Bold-7163"/>
    <w:panose1 w:val="00000000000000000000"/>
    <w:charset w:val="00"/>
    <w:family w:val="swiss"/>
    <w:notTrueType/>
    <w:pitch w:val="default"/>
    <w:sig w:usb0="00000003" w:usb1="00000000" w:usb2="00000000" w:usb3="00000000" w:csb0="00000001" w:csb1="00000000"/>
  </w:font>
  <w:font w:name="*Verdana-7162">
    <w:altName w:val="*Verdana-7162"/>
    <w:panose1 w:val="00000000000000000000"/>
    <w:charset w:val="00"/>
    <w:family w:val="swiss"/>
    <w:notTrueType/>
    <w:pitch w:val="default"/>
    <w:sig w:usb0="00000003" w:usb1="00000000" w:usb2="00000000" w:usb3="00000000" w:csb0="00000001" w:csb1="00000000"/>
  </w:font>
  <w:font w:name="*Verdana-Bold-5025">
    <w:altName w:val="Calibri"/>
    <w:panose1 w:val="00000000000000000000"/>
    <w:charset w:val="00"/>
    <w:family w:val="swiss"/>
    <w:notTrueType/>
    <w:pitch w:val="default"/>
    <w:sig w:usb0="00000003" w:usb1="00000000" w:usb2="00000000" w:usb3="00000000" w:csb0="00000001" w:csb1="00000000"/>
  </w:font>
  <w:font w:name="*Verdana-5024">
    <w:altName w:val="Calibri"/>
    <w:panose1 w:val="00000000000000000000"/>
    <w:charset w:val="00"/>
    <w:family w:val="swiss"/>
    <w:notTrueType/>
    <w:pitch w:val="default"/>
    <w:sig w:usb0="00000003" w:usb1="00000000" w:usb2="00000000" w:usb3="00000000" w:csb0="00000001" w:csb1="00000000"/>
  </w:font>
  <w:font w:name="*Verdana-Bold-5278">
    <w:altName w:val="Calibri"/>
    <w:panose1 w:val="00000000000000000000"/>
    <w:charset w:val="00"/>
    <w:family w:val="swiss"/>
    <w:notTrueType/>
    <w:pitch w:val="default"/>
    <w:sig w:usb0="00000003" w:usb1="00000000" w:usb2="00000000" w:usb3="00000000" w:csb0="00000001" w:csb1="00000000"/>
  </w:font>
  <w:font w:name="*Verdana-5277">
    <w:altName w:val="Calibri"/>
    <w:panose1 w:val="00000000000000000000"/>
    <w:charset w:val="00"/>
    <w:family w:val="swiss"/>
    <w:notTrueType/>
    <w:pitch w:val="default"/>
    <w:sig w:usb0="00000003" w:usb1="00000000" w:usb2="00000000" w:usb3="00000000" w:csb0="00000001" w:csb1="00000000"/>
  </w:font>
  <w:font w:name="*Verdana-4681">
    <w:altName w:val="Calibri"/>
    <w:panose1 w:val="00000000000000000000"/>
    <w:charset w:val="00"/>
    <w:family w:val="swiss"/>
    <w:notTrueType/>
    <w:pitch w:val="default"/>
    <w:sig w:usb0="00000003" w:usb1="00000000" w:usb2="00000000" w:usb3="00000000" w:csb0="00000001" w:csb1="00000000"/>
  </w:font>
  <w:font w:name="*Verdana-Bold-4682">
    <w:altName w:val="Calibri"/>
    <w:panose1 w:val="00000000000000000000"/>
    <w:charset w:val="00"/>
    <w:family w:val="swiss"/>
    <w:notTrueType/>
    <w:pitch w:val="default"/>
    <w:sig w:usb0="00000003" w:usb1="00000000" w:usb2="00000000" w:usb3="00000000" w:csb0="00000001" w:csb1="00000000"/>
  </w:font>
  <w:font w:name="*Verdana-Bold-4729">
    <w:altName w:val="Calibri"/>
    <w:panose1 w:val="00000000000000000000"/>
    <w:charset w:val="00"/>
    <w:family w:val="swiss"/>
    <w:notTrueType/>
    <w:pitch w:val="default"/>
    <w:sig w:usb0="00000003" w:usb1="00000000" w:usb2="00000000" w:usb3="00000000" w:csb0="00000001" w:csb1="00000000"/>
  </w:font>
  <w:font w:name="*Verdana-4728">
    <w:altName w:val="Calibri"/>
    <w:panose1 w:val="00000000000000000000"/>
    <w:charset w:val="00"/>
    <w:family w:val="swiss"/>
    <w:notTrueType/>
    <w:pitch w:val="default"/>
    <w:sig w:usb0="00000003" w:usb1="00000000" w:usb2="00000000" w:usb3="00000000" w:csb0="00000001" w:csb1="00000000"/>
  </w:font>
  <w:font w:name="*Verdana-4727">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rPr>
      <w:id w:val="1497457959"/>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rsidR="007D2A9F" w:rsidRPr="007D2A9F" w:rsidRDefault="007D2A9F">
            <w:pPr>
              <w:pStyle w:val="Piedepgina"/>
              <w:jc w:val="center"/>
              <w:rPr>
                <w:rFonts w:ascii="Verdana" w:hAnsi="Verdana"/>
                <w:sz w:val="18"/>
                <w:szCs w:val="18"/>
              </w:rPr>
            </w:pPr>
            <w:r w:rsidRPr="007D2A9F">
              <w:rPr>
                <w:rFonts w:ascii="Verdana" w:hAnsi="Verdana"/>
                <w:sz w:val="18"/>
                <w:szCs w:val="18"/>
                <w:lang w:val="es-ES"/>
              </w:rPr>
              <w:t xml:space="preserve">Página </w:t>
            </w:r>
            <w:r w:rsidRPr="007D2A9F">
              <w:rPr>
                <w:rFonts w:ascii="Verdana" w:hAnsi="Verdana"/>
                <w:b/>
                <w:bCs/>
                <w:sz w:val="18"/>
                <w:szCs w:val="18"/>
              </w:rPr>
              <w:fldChar w:fldCharType="begin"/>
            </w:r>
            <w:r w:rsidRPr="007D2A9F">
              <w:rPr>
                <w:rFonts w:ascii="Verdana" w:hAnsi="Verdana"/>
                <w:b/>
                <w:bCs/>
                <w:sz w:val="18"/>
                <w:szCs w:val="18"/>
              </w:rPr>
              <w:instrText>PAGE</w:instrText>
            </w:r>
            <w:r w:rsidRPr="007D2A9F">
              <w:rPr>
                <w:rFonts w:ascii="Verdana" w:hAnsi="Verdana"/>
                <w:b/>
                <w:bCs/>
                <w:sz w:val="18"/>
                <w:szCs w:val="18"/>
              </w:rPr>
              <w:fldChar w:fldCharType="separate"/>
            </w:r>
            <w:r w:rsidR="00951BFC">
              <w:rPr>
                <w:rFonts w:ascii="Verdana" w:hAnsi="Verdana"/>
                <w:b/>
                <w:bCs/>
                <w:noProof/>
                <w:sz w:val="18"/>
                <w:szCs w:val="18"/>
              </w:rPr>
              <w:t>3</w:t>
            </w:r>
            <w:r w:rsidRPr="007D2A9F">
              <w:rPr>
                <w:rFonts w:ascii="Verdana" w:hAnsi="Verdana"/>
                <w:b/>
                <w:bCs/>
                <w:sz w:val="18"/>
                <w:szCs w:val="18"/>
              </w:rPr>
              <w:fldChar w:fldCharType="end"/>
            </w:r>
            <w:r w:rsidRPr="007D2A9F">
              <w:rPr>
                <w:rFonts w:ascii="Verdana" w:hAnsi="Verdana"/>
                <w:sz w:val="18"/>
                <w:szCs w:val="18"/>
                <w:lang w:val="es-ES"/>
              </w:rPr>
              <w:t xml:space="preserve"> de </w:t>
            </w:r>
            <w:r w:rsidRPr="007D2A9F">
              <w:rPr>
                <w:rFonts w:ascii="Verdana" w:hAnsi="Verdana"/>
                <w:b/>
                <w:bCs/>
                <w:sz w:val="18"/>
                <w:szCs w:val="18"/>
              </w:rPr>
              <w:fldChar w:fldCharType="begin"/>
            </w:r>
            <w:r w:rsidRPr="007D2A9F">
              <w:rPr>
                <w:rFonts w:ascii="Verdana" w:hAnsi="Verdana"/>
                <w:b/>
                <w:bCs/>
                <w:sz w:val="18"/>
                <w:szCs w:val="18"/>
              </w:rPr>
              <w:instrText>NUMPAGES</w:instrText>
            </w:r>
            <w:r w:rsidRPr="007D2A9F">
              <w:rPr>
                <w:rFonts w:ascii="Verdana" w:hAnsi="Verdana"/>
                <w:b/>
                <w:bCs/>
                <w:sz w:val="18"/>
                <w:szCs w:val="18"/>
              </w:rPr>
              <w:fldChar w:fldCharType="separate"/>
            </w:r>
            <w:r w:rsidR="00951BFC">
              <w:rPr>
                <w:rFonts w:ascii="Verdana" w:hAnsi="Verdana"/>
                <w:b/>
                <w:bCs/>
                <w:noProof/>
                <w:sz w:val="18"/>
                <w:szCs w:val="18"/>
              </w:rPr>
              <w:t>3</w:t>
            </w:r>
            <w:r w:rsidRPr="007D2A9F">
              <w:rPr>
                <w:rFonts w:ascii="Verdana" w:hAnsi="Verdana"/>
                <w:b/>
                <w:bCs/>
                <w:sz w:val="18"/>
                <w:szCs w:val="18"/>
              </w:rPr>
              <w:fldChar w:fldCharType="end"/>
            </w:r>
          </w:p>
        </w:sdtContent>
      </w:sdt>
    </w:sdtContent>
  </w:sdt>
  <w:p w:rsidR="007D2A9F" w:rsidRDefault="007D2A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5CE" w:rsidRDefault="00B875CE" w:rsidP="007D39B8">
      <w:pPr>
        <w:spacing w:after="0" w:line="240" w:lineRule="auto"/>
      </w:pPr>
      <w:r>
        <w:separator/>
      </w:r>
    </w:p>
  </w:footnote>
  <w:footnote w:type="continuationSeparator" w:id="0">
    <w:p w:rsidR="00B875CE" w:rsidRDefault="00B875CE" w:rsidP="007D3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A9F" w:rsidRDefault="007D2A9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6629" o:spid="_x0000_s2050" type="#_x0000_t75" style="position:absolute;margin-left:0;margin-top:0;width:470.15pt;height:395.8pt;z-index:-251655168;mso-position-horizontal:center;mso-position-horizontal-relative:margin;mso-position-vertical:center;mso-position-vertical-relative:margin" o:allowincell="f">
          <v:imagedata r:id="rId1" o:title="escud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544"/>
      <w:gridCol w:w="3969"/>
    </w:tblGrid>
    <w:tr w:rsidR="007D39B8" w:rsidTr="00BB63F0">
      <w:tc>
        <w:tcPr>
          <w:tcW w:w="1838" w:type="dxa"/>
          <w:vMerge w:val="restart"/>
        </w:tcPr>
        <w:p w:rsidR="007D39B8" w:rsidRDefault="007D39B8" w:rsidP="007D39B8">
          <w:pPr>
            <w:rPr>
              <w:color w:val="FF0000"/>
            </w:rPr>
          </w:pPr>
        </w:p>
      </w:tc>
      <w:tc>
        <w:tcPr>
          <w:tcW w:w="7513" w:type="dxa"/>
          <w:gridSpan w:val="2"/>
        </w:tcPr>
        <w:p w:rsidR="007D39B8" w:rsidRPr="00AC6B57" w:rsidRDefault="007D39B8" w:rsidP="007D39B8">
          <w:pPr>
            <w:jc w:val="right"/>
            <w:rPr>
              <w:rFonts w:ascii="Tahoma" w:hAnsi="Tahoma" w:cs="Tahoma"/>
              <w:b/>
              <w:color w:val="FF0000"/>
            </w:rPr>
          </w:pPr>
          <w:r w:rsidRPr="007D39B8">
            <w:rPr>
              <w:rFonts w:ascii="Tahoma" w:hAnsi="Tahoma" w:cs="Tahoma"/>
              <w:b/>
              <w:color w:val="000000" w:themeColor="text1"/>
              <w:sz w:val="16"/>
            </w:rPr>
            <w:t>Lineamientos Generales para la Integración de la Cuenta Pública del Estado y los Municipios de Guanajuato</w:t>
          </w:r>
        </w:p>
      </w:tc>
    </w:tr>
    <w:tr w:rsidR="007D39B8" w:rsidTr="00BB63F0">
      <w:trPr>
        <w:trHeight w:val="226"/>
      </w:trPr>
      <w:tc>
        <w:tcPr>
          <w:tcW w:w="1838" w:type="dxa"/>
          <w:vMerge/>
        </w:tcPr>
        <w:p w:rsidR="007D39B8" w:rsidRDefault="007D39B8" w:rsidP="007D39B8">
          <w:pPr>
            <w:rPr>
              <w:color w:val="FF0000"/>
            </w:rPr>
          </w:pPr>
        </w:p>
      </w:tc>
      <w:tc>
        <w:tcPr>
          <w:tcW w:w="3544" w:type="dxa"/>
          <w:vAlign w:val="center"/>
        </w:tcPr>
        <w:p w:rsidR="007D39B8" w:rsidRPr="00AC6B57" w:rsidRDefault="007D39B8" w:rsidP="007D39B8">
          <w:pPr>
            <w:ind w:left="176"/>
            <w:rPr>
              <w:rFonts w:ascii="Arial Narrow" w:hAnsi="Arial Narrow"/>
              <w:color w:val="000000" w:themeColor="text1"/>
              <w:sz w:val="13"/>
              <w:szCs w:val="13"/>
            </w:rPr>
          </w:pPr>
        </w:p>
        <w:p w:rsidR="007D39B8" w:rsidRPr="00AC6B57" w:rsidRDefault="007D39B8" w:rsidP="007D39B8">
          <w:pPr>
            <w:ind w:left="176"/>
            <w:rPr>
              <w:rFonts w:ascii="Arial Narrow" w:hAnsi="Arial Narrow"/>
              <w:color w:val="000000" w:themeColor="text1"/>
              <w:sz w:val="13"/>
              <w:szCs w:val="13"/>
            </w:rPr>
          </w:pPr>
          <w:r>
            <w:rPr>
              <w:rFonts w:ascii="Arial Narrow" w:hAnsi="Arial Narrow"/>
              <w:color w:val="000000" w:themeColor="text1"/>
              <w:sz w:val="13"/>
              <w:szCs w:val="13"/>
            </w:rPr>
            <w:t>H. CONGRESO DEL ESTADO DE GUANAJUATO</w:t>
          </w:r>
        </w:p>
      </w:tc>
      <w:tc>
        <w:tcPr>
          <w:tcW w:w="3969" w:type="dxa"/>
          <w:vAlign w:val="bottom"/>
        </w:tcPr>
        <w:p w:rsidR="007D39B8" w:rsidRPr="00844EC6" w:rsidRDefault="007D39B8" w:rsidP="007D39B8">
          <w:pPr>
            <w:jc w:val="right"/>
            <w:rPr>
              <w:rFonts w:ascii="Arial Narrow" w:hAnsi="Arial Narrow"/>
              <w:i/>
              <w:color w:val="000000" w:themeColor="text1"/>
              <w:sz w:val="13"/>
              <w:szCs w:val="13"/>
            </w:rPr>
          </w:pPr>
          <w:r w:rsidRPr="00844EC6">
            <w:rPr>
              <w:rFonts w:ascii="Arial Narrow" w:hAnsi="Arial Narrow"/>
              <w:i/>
              <w:color w:val="000000" w:themeColor="text1"/>
              <w:sz w:val="13"/>
              <w:szCs w:val="13"/>
            </w:rPr>
            <w:t>Expidió: LXIII Legislatura</w:t>
          </w:r>
        </w:p>
      </w:tc>
    </w:tr>
    <w:tr w:rsidR="007D39B8" w:rsidTr="00BB63F0">
      <w:trPr>
        <w:trHeight w:val="177"/>
      </w:trPr>
      <w:tc>
        <w:tcPr>
          <w:tcW w:w="1838" w:type="dxa"/>
          <w:vMerge/>
        </w:tcPr>
        <w:p w:rsidR="007D39B8" w:rsidRDefault="007D39B8" w:rsidP="007D39B8">
          <w:pPr>
            <w:rPr>
              <w:color w:val="FF0000"/>
            </w:rPr>
          </w:pPr>
        </w:p>
      </w:tc>
      <w:tc>
        <w:tcPr>
          <w:tcW w:w="3544" w:type="dxa"/>
          <w:vAlign w:val="center"/>
        </w:tcPr>
        <w:p w:rsidR="007D39B8" w:rsidRPr="00AC6B57" w:rsidRDefault="007D39B8" w:rsidP="007D39B8">
          <w:pPr>
            <w:ind w:left="176"/>
            <w:rPr>
              <w:rFonts w:ascii="Arial Narrow" w:hAnsi="Arial Narrow"/>
              <w:color w:val="000000" w:themeColor="text1"/>
              <w:sz w:val="13"/>
              <w:szCs w:val="13"/>
            </w:rPr>
          </w:pPr>
          <w:r>
            <w:rPr>
              <w:rFonts w:ascii="Arial Narrow" w:hAnsi="Arial Narrow"/>
              <w:color w:val="000000" w:themeColor="text1"/>
              <w:sz w:val="13"/>
              <w:szCs w:val="13"/>
            </w:rPr>
            <w:t>Secretaria General</w:t>
          </w:r>
        </w:p>
      </w:tc>
      <w:tc>
        <w:tcPr>
          <w:tcW w:w="3969" w:type="dxa"/>
          <w:vAlign w:val="bottom"/>
        </w:tcPr>
        <w:p w:rsidR="007D39B8" w:rsidRPr="00844EC6" w:rsidRDefault="007D39B8" w:rsidP="007D39B8">
          <w:pPr>
            <w:jc w:val="right"/>
            <w:rPr>
              <w:rFonts w:ascii="Arial Narrow" w:hAnsi="Arial Narrow"/>
              <w:i/>
              <w:color w:val="000000" w:themeColor="text1"/>
              <w:sz w:val="13"/>
              <w:szCs w:val="13"/>
            </w:rPr>
          </w:pPr>
          <w:r>
            <w:rPr>
              <w:rFonts w:ascii="Arial Narrow" w:hAnsi="Arial Narrow"/>
              <w:i/>
              <w:color w:val="000000" w:themeColor="text1"/>
              <w:sz w:val="13"/>
              <w:szCs w:val="13"/>
            </w:rPr>
            <w:t xml:space="preserve">Publicada: P.O. Núm. </w:t>
          </w:r>
          <w:r>
            <w:rPr>
              <w:rFonts w:ascii="Arial Narrow" w:hAnsi="Arial Narrow"/>
              <w:i/>
              <w:color w:val="000000" w:themeColor="text1"/>
              <w:sz w:val="13"/>
              <w:szCs w:val="13"/>
            </w:rPr>
            <w:t>43, Tercera Parte, 28</w:t>
          </w:r>
          <w:r>
            <w:rPr>
              <w:rFonts w:ascii="Arial Narrow" w:hAnsi="Arial Narrow"/>
              <w:i/>
              <w:color w:val="000000" w:themeColor="text1"/>
              <w:sz w:val="13"/>
              <w:szCs w:val="13"/>
            </w:rPr>
            <w:t>-0</w:t>
          </w:r>
          <w:r>
            <w:rPr>
              <w:rFonts w:ascii="Arial Narrow" w:hAnsi="Arial Narrow"/>
              <w:i/>
              <w:color w:val="000000" w:themeColor="text1"/>
              <w:sz w:val="13"/>
              <w:szCs w:val="13"/>
            </w:rPr>
            <w:t>2</w:t>
          </w:r>
          <w:r>
            <w:rPr>
              <w:rFonts w:ascii="Arial Narrow" w:hAnsi="Arial Narrow"/>
              <w:i/>
              <w:color w:val="000000" w:themeColor="text1"/>
              <w:sz w:val="13"/>
              <w:szCs w:val="13"/>
            </w:rPr>
            <w:t>-201</w:t>
          </w:r>
          <w:r>
            <w:rPr>
              <w:rFonts w:ascii="Arial Narrow" w:hAnsi="Arial Narrow"/>
              <w:i/>
              <w:color w:val="000000" w:themeColor="text1"/>
              <w:sz w:val="13"/>
              <w:szCs w:val="13"/>
            </w:rPr>
            <w:t>8</w:t>
          </w:r>
        </w:p>
      </w:tc>
    </w:tr>
    <w:tr w:rsidR="007D39B8" w:rsidTr="00BB63F0">
      <w:trPr>
        <w:trHeight w:val="223"/>
      </w:trPr>
      <w:tc>
        <w:tcPr>
          <w:tcW w:w="1838" w:type="dxa"/>
          <w:vMerge/>
        </w:tcPr>
        <w:p w:rsidR="007D39B8" w:rsidRDefault="007D39B8" w:rsidP="007D39B8">
          <w:pPr>
            <w:rPr>
              <w:color w:val="FF0000"/>
            </w:rPr>
          </w:pPr>
        </w:p>
      </w:tc>
      <w:tc>
        <w:tcPr>
          <w:tcW w:w="3544" w:type="dxa"/>
          <w:vAlign w:val="center"/>
        </w:tcPr>
        <w:p w:rsidR="007D39B8" w:rsidRPr="00AC6B57" w:rsidRDefault="007D39B8" w:rsidP="007D39B8">
          <w:pPr>
            <w:ind w:left="176"/>
            <w:rPr>
              <w:rFonts w:ascii="Arial Narrow" w:hAnsi="Arial Narrow"/>
              <w:color w:val="000000" w:themeColor="text1"/>
              <w:sz w:val="13"/>
              <w:szCs w:val="13"/>
            </w:rPr>
          </w:pPr>
          <w:r>
            <w:rPr>
              <w:rFonts w:ascii="Arial Narrow" w:hAnsi="Arial Narrow"/>
              <w:color w:val="000000" w:themeColor="text1"/>
              <w:sz w:val="13"/>
              <w:szCs w:val="13"/>
            </w:rPr>
            <w:t>Instituto de Investigaciones Legislativas</w:t>
          </w:r>
        </w:p>
      </w:tc>
      <w:tc>
        <w:tcPr>
          <w:tcW w:w="3969" w:type="dxa"/>
          <w:vAlign w:val="center"/>
        </w:tcPr>
        <w:p w:rsidR="007D39B8" w:rsidRPr="00844EC6" w:rsidRDefault="007D39B8" w:rsidP="007D39B8">
          <w:pPr>
            <w:jc w:val="right"/>
            <w:rPr>
              <w:rFonts w:ascii="Arial Narrow" w:hAnsi="Arial Narrow"/>
              <w:i/>
              <w:color w:val="000000" w:themeColor="text1"/>
              <w:sz w:val="13"/>
              <w:szCs w:val="13"/>
            </w:rPr>
          </w:pPr>
        </w:p>
      </w:tc>
    </w:tr>
  </w:tbl>
  <w:p w:rsidR="007D39B8" w:rsidRDefault="007D2A9F">
    <w:pPr>
      <w:pStyle w:val="Encabezado"/>
    </w:pPr>
    <w:r>
      <w:rPr>
        <w:noProof/>
        <w:color w:val="FF0000"/>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6630" o:spid="_x0000_s2051" type="#_x0000_t75" style="position:absolute;margin-left:0;margin-top:0;width:470.15pt;height:395.8pt;z-index:-251654144;mso-position-horizontal:center;mso-position-horizontal-relative:margin;mso-position-vertical:center;mso-position-vertical-relative:margin" o:allowincell="f">
          <v:imagedata r:id="rId1" o:title="escudo" gain="19661f" blacklevel="22938f"/>
        </v:shape>
      </w:pict>
    </w:r>
    <w:r w:rsidR="007D39B8">
      <w:rPr>
        <w:noProof/>
        <w:color w:val="FF0000"/>
        <w:lang w:eastAsia="es-MX"/>
      </w:rPr>
      <w:drawing>
        <wp:anchor distT="0" distB="0" distL="114300" distR="114300" simplePos="0" relativeHeight="251659264" behindDoc="1" locked="0" layoutInCell="1" allowOverlap="1" wp14:anchorId="5B92B412" wp14:editId="2612F1A7">
          <wp:simplePos x="0" y="0"/>
          <wp:positionH relativeFrom="margin">
            <wp:posOffset>266700</wp:posOffset>
          </wp:positionH>
          <wp:positionV relativeFrom="margin">
            <wp:posOffset>-1299845</wp:posOffset>
          </wp:positionV>
          <wp:extent cx="962025" cy="8096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2025" cy="8096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A9F" w:rsidRDefault="007D2A9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6628" o:spid="_x0000_s2049" type="#_x0000_t75" style="position:absolute;margin-left:0;margin-top:0;width:470.15pt;height:395.8pt;z-index:-251656192;mso-position-horizontal:center;mso-position-horizontal-relative:margin;mso-position-vertical:center;mso-position-vertical-relative:margin" o:allowincell="f">
          <v:imagedata r:id="rId1" o:title="escud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F34BF"/>
    <w:multiLevelType w:val="hybridMultilevel"/>
    <w:tmpl w:val="720A768E"/>
    <w:lvl w:ilvl="0" w:tplc="5D5290D6">
      <w:start w:val="1"/>
      <w:numFmt w:val="upperRoman"/>
      <w:lvlText w:val="%1."/>
      <w:lvlJc w:val="lef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64E6339"/>
    <w:multiLevelType w:val="hybridMultilevel"/>
    <w:tmpl w:val="AAB696F2"/>
    <w:lvl w:ilvl="0" w:tplc="5D5290D6">
      <w:start w:val="1"/>
      <w:numFmt w:val="upperRoman"/>
      <w:lvlText w:val="%1."/>
      <w:lvlJc w:val="left"/>
      <w:pPr>
        <w:ind w:left="1429" w:hanging="360"/>
      </w:pPr>
      <w:rPr>
        <w:rFonts w:hint="default"/>
        <w:b/>
        <w:i w:val="0"/>
        <w:sz w:val="2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B8"/>
    <w:rsid w:val="000720A6"/>
    <w:rsid w:val="002B62B7"/>
    <w:rsid w:val="002E3B0C"/>
    <w:rsid w:val="00523FFB"/>
    <w:rsid w:val="006A5609"/>
    <w:rsid w:val="006F143D"/>
    <w:rsid w:val="007D2A9F"/>
    <w:rsid w:val="007D39B8"/>
    <w:rsid w:val="00951BFC"/>
    <w:rsid w:val="00B875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2E275C"/>
  <w15:chartTrackingRefBased/>
  <w15:docId w15:val="{02053254-A253-4A1F-93AD-5B58899D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9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9B8"/>
  </w:style>
  <w:style w:type="paragraph" w:styleId="Piedepgina">
    <w:name w:val="footer"/>
    <w:basedOn w:val="Normal"/>
    <w:link w:val="PiedepginaCar"/>
    <w:uiPriority w:val="99"/>
    <w:unhideWhenUsed/>
    <w:rsid w:val="007D39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9B8"/>
  </w:style>
  <w:style w:type="table" w:styleId="Tablaconcuadrcula">
    <w:name w:val="Table Grid"/>
    <w:basedOn w:val="Tablanormal"/>
    <w:uiPriority w:val="39"/>
    <w:rsid w:val="007D3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7D39B8"/>
    <w:rPr>
      <w:i/>
      <w:iCs/>
    </w:rPr>
  </w:style>
  <w:style w:type="paragraph" w:customStyle="1" w:styleId="Default">
    <w:name w:val="Default"/>
    <w:rsid w:val="007D39B8"/>
    <w:pPr>
      <w:autoSpaceDE w:val="0"/>
      <w:autoSpaceDN w:val="0"/>
      <w:adjustRightInd w:val="0"/>
      <w:spacing w:after="0" w:line="240" w:lineRule="auto"/>
    </w:pPr>
    <w:rPr>
      <w:rFonts w:ascii="*Verdana-Bold-7165" w:hAnsi="*Verdana-Bold-7165" w:cs="*Verdana-Bold-7165"/>
      <w:color w:val="000000"/>
      <w:sz w:val="24"/>
      <w:szCs w:val="24"/>
    </w:rPr>
  </w:style>
  <w:style w:type="paragraph" w:styleId="Prrafodelista">
    <w:name w:val="List Paragraph"/>
    <w:basedOn w:val="Normal"/>
    <w:uiPriority w:val="34"/>
    <w:qFormat/>
    <w:rsid w:val="007D3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1028</Words>
  <Characters>5659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Torres Serrano</dc:creator>
  <cp:keywords/>
  <dc:description/>
  <cp:lastModifiedBy>Enrique Torres Serrano</cp:lastModifiedBy>
  <cp:revision>5</cp:revision>
  <cp:lastPrinted>2018-03-21T17:23:00Z</cp:lastPrinted>
  <dcterms:created xsi:type="dcterms:W3CDTF">2018-03-21T16:39:00Z</dcterms:created>
  <dcterms:modified xsi:type="dcterms:W3CDTF">2018-03-21T17:23:00Z</dcterms:modified>
</cp:coreProperties>
</file>