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0E7" w:rsidRDefault="00E260E7" w:rsidP="00E260E7">
      <w:pPr>
        <w:widowControl/>
        <w:tabs>
          <w:tab w:val="left" w:pos="1674"/>
        </w:tabs>
        <w:autoSpaceDE/>
        <w:autoSpaceDN/>
        <w:adjustRightInd/>
        <w:jc w:val="center"/>
        <w:rPr>
          <w:rFonts w:ascii="Verdana" w:hAnsi="Verdana"/>
          <w:b/>
          <w:color w:val="CC0066"/>
          <w:sz w:val="20"/>
          <w:szCs w:val="20"/>
          <w:lang w:eastAsia="en-US"/>
        </w:rPr>
      </w:pPr>
      <w:r w:rsidRPr="00E260E7">
        <w:rPr>
          <w:rFonts w:ascii="Verdana" w:hAnsi="Verdana"/>
          <w:b/>
          <w:color w:val="CC0066"/>
          <w:sz w:val="20"/>
          <w:szCs w:val="20"/>
          <w:lang w:eastAsia="en-US"/>
        </w:rPr>
        <w:t>Lineamientos del Sistema Electrónico del Poder Legislativo</w:t>
      </w:r>
    </w:p>
    <w:p w:rsidR="009B49D5" w:rsidRPr="00E260E7" w:rsidRDefault="00E260E7" w:rsidP="00E260E7">
      <w:pPr>
        <w:widowControl/>
        <w:tabs>
          <w:tab w:val="left" w:pos="1674"/>
        </w:tabs>
        <w:autoSpaceDE/>
        <w:autoSpaceDN/>
        <w:adjustRightInd/>
        <w:jc w:val="center"/>
        <w:rPr>
          <w:rFonts w:ascii="Verdana" w:hAnsi="Verdana"/>
          <w:b/>
          <w:color w:val="CC0066"/>
          <w:sz w:val="20"/>
          <w:szCs w:val="20"/>
          <w:lang w:eastAsia="en-US"/>
        </w:rPr>
      </w:pPr>
      <w:r w:rsidRPr="00E260E7">
        <w:rPr>
          <w:rFonts w:ascii="Verdana" w:hAnsi="Verdana"/>
          <w:b/>
          <w:color w:val="CC0066"/>
          <w:sz w:val="20"/>
          <w:szCs w:val="20"/>
          <w:lang w:eastAsia="en-US"/>
        </w:rPr>
        <w:t>del Estado de Guanajuato</w:t>
      </w:r>
    </w:p>
    <w:p w:rsidR="00E260E7" w:rsidRDefault="00E260E7">
      <w:pPr>
        <w:rPr>
          <w:rFonts w:ascii="Verdana" w:hAnsi="Verdana"/>
          <w:sz w:val="20"/>
          <w:szCs w:val="20"/>
        </w:rPr>
      </w:pPr>
    </w:p>
    <w:p w:rsidR="00E260E7" w:rsidRPr="00E260E7" w:rsidRDefault="00E260E7" w:rsidP="00E260E7">
      <w:pPr>
        <w:pStyle w:val="Ttulo1"/>
        <w:tabs>
          <w:tab w:val="left" w:pos="9214"/>
        </w:tabs>
        <w:kinsoku w:val="0"/>
        <w:overflowPunct w:val="0"/>
        <w:spacing w:before="0"/>
        <w:ind w:left="0" w:right="108"/>
        <w:rPr>
          <w:rFonts w:ascii="Verdana" w:hAnsi="Verdana"/>
          <w:sz w:val="20"/>
          <w:szCs w:val="20"/>
        </w:rPr>
      </w:pPr>
      <w:r w:rsidRPr="00E260E7">
        <w:rPr>
          <w:rFonts w:ascii="Verdana" w:hAnsi="Verdana"/>
          <w:sz w:val="20"/>
          <w:szCs w:val="20"/>
        </w:rPr>
        <w:t>A C U E R D O</w:t>
      </w:r>
    </w:p>
    <w:p w:rsidR="00E260E7" w:rsidRPr="00E260E7" w:rsidRDefault="00E260E7" w:rsidP="00E260E7">
      <w:pPr>
        <w:pStyle w:val="Textoindependiente"/>
        <w:tabs>
          <w:tab w:val="left" w:pos="9214"/>
        </w:tabs>
        <w:kinsoku w:val="0"/>
        <w:overflowPunct w:val="0"/>
        <w:ind w:right="108"/>
        <w:rPr>
          <w:rFonts w:ascii="Verdana" w:hAnsi="Verdana"/>
          <w:b/>
          <w:bCs/>
          <w:sz w:val="20"/>
          <w:szCs w:val="20"/>
        </w:rPr>
      </w:pPr>
    </w:p>
    <w:p w:rsidR="00E260E7" w:rsidRPr="00E260E7" w:rsidRDefault="00E260E7" w:rsidP="00E260E7">
      <w:pPr>
        <w:pStyle w:val="Textoindependiente"/>
        <w:tabs>
          <w:tab w:val="left" w:pos="9214"/>
        </w:tabs>
        <w:kinsoku w:val="0"/>
        <w:overflowPunct w:val="0"/>
        <w:ind w:firstLine="709"/>
        <w:jc w:val="both"/>
        <w:rPr>
          <w:rFonts w:ascii="Verdana" w:hAnsi="Verdana"/>
          <w:w w:val="105"/>
          <w:sz w:val="18"/>
          <w:szCs w:val="20"/>
        </w:rPr>
      </w:pPr>
      <w:bookmarkStart w:id="0" w:name="_Hlk11934423"/>
      <w:r w:rsidRPr="00E260E7">
        <w:rPr>
          <w:rFonts w:ascii="Verdana" w:hAnsi="Verdana"/>
          <w:b/>
          <w:bCs/>
          <w:sz w:val="18"/>
          <w:szCs w:val="20"/>
        </w:rPr>
        <w:t xml:space="preserve">Artículo Único. </w:t>
      </w:r>
      <w:r w:rsidRPr="00E260E7">
        <w:rPr>
          <w:rFonts w:ascii="Verdana" w:hAnsi="Verdana"/>
          <w:w w:val="105"/>
          <w:sz w:val="18"/>
          <w:szCs w:val="20"/>
        </w:rPr>
        <w:t xml:space="preserve">De conformidad con lo previsto en los artículos 63 fracción I de la Constitución Política para el Estado de Guanajuato y 189, párrafo cuarto de la Ley Orgánica del Poder Legislativo del Estado de Guanajuato, la Sexagésima Tercera Legislatura del Congreso del Estado de Guanajuato </w:t>
      </w:r>
      <w:r w:rsidRPr="00E260E7">
        <w:rPr>
          <w:rFonts w:ascii="Verdana" w:hAnsi="Verdana"/>
          <w:b/>
          <w:w w:val="105"/>
          <w:sz w:val="18"/>
          <w:szCs w:val="20"/>
        </w:rPr>
        <w:t>expide los Lineamientos del Sistema Electrónico del Poder Legislativo del Estado de Guanajuato</w:t>
      </w:r>
      <w:r w:rsidRPr="00E260E7">
        <w:rPr>
          <w:rFonts w:ascii="Verdana" w:hAnsi="Verdana"/>
          <w:w w:val="105"/>
          <w:sz w:val="18"/>
          <w:szCs w:val="20"/>
        </w:rPr>
        <w:t>, para quedar en los siguientes términos:</w:t>
      </w:r>
    </w:p>
    <w:p w:rsidR="00E260E7" w:rsidRDefault="00E260E7" w:rsidP="00E260E7">
      <w:pPr>
        <w:pStyle w:val="Textoindependiente"/>
        <w:tabs>
          <w:tab w:val="left" w:pos="9214"/>
        </w:tabs>
        <w:kinsoku w:val="0"/>
        <w:overflowPunct w:val="0"/>
        <w:ind w:right="108"/>
        <w:jc w:val="both"/>
        <w:rPr>
          <w:rFonts w:ascii="Verdana" w:hAnsi="Verdana"/>
          <w:w w:val="105"/>
          <w:sz w:val="20"/>
          <w:szCs w:val="20"/>
        </w:rPr>
      </w:pPr>
    </w:p>
    <w:p w:rsidR="00216758" w:rsidRPr="00E260E7" w:rsidRDefault="00216758" w:rsidP="00E260E7">
      <w:pPr>
        <w:pStyle w:val="Textoindependiente"/>
        <w:tabs>
          <w:tab w:val="left" w:pos="9214"/>
        </w:tabs>
        <w:kinsoku w:val="0"/>
        <w:overflowPunct w:val="0"/>
        <w:ind w:right="108"/>
        <w:jc w:val="both"/>
        <w:rPr>
          <w:rFonts w:ascii="Verdana" w:hAnsi="Verdana"/>
          <w:w w:val="105"/>
          <w:sz w:val="20"/>
          <w:szCs w:val="20"/>
        </w:rPr>
      </w:pPr>
      <w:bookmarkStart w:id="1" w:name="_GoBack"/>
      <w:bookmarkEnd w:id="1"/>
    </w:p>
    <w:p w:rsidR="00E260E7" w:rsidRPr="00E260E7" w:rsidRDefault="00E260E7" w:rsidP="00E260E7">
      <w:pPr>
        <w:tabs>
          <w:tab w:val="left" w:pos="9214"/>
        </w:tabs>
        <w:jc w:val="center"/>
        <w:rPr>
          <w:rFonts w:ascii="Verdana" w:hAnsi="Verdana"/>
          <w:b/>
          <w:sz w:val="20"/>
          <w:szCs w:val="20"/>
        </w:rPr>
      </w:pPr>
      <w:r w:rsidRPr="00E260E7">
        <w:rPr>
          <w:rFonts w:ascii="Verdana" w:hAnsi="Verdana"/>
          <w:b/>
          <w:sz w:val="20"/>
          <w:szCs w:val="20"/>
        </w:rPr>
        <w:t>Lineamientos del Sistema Electrónico del Poder Legislativo</w:t>
      </w:r>
    </w:p>
    <w:p w:rsidR="00E260E7" w:rsidRPr="00E260E7" w:rsidRDefault="00E260E7" w:rsidP="00E260E7">
      <w:pPr>
        <w:tabs>
          <w:tab w:val="left" w:pos="9214"/>
        </w:tabs>
        <w:jc w:val="center"/>
        <w:rPr>
          <w:rFonts w:ascii="Verdana" w:hAnsi="Verdana"/>
          <w:b/>
          <w:sz w:val="20"/>
          <w:szCs w:val="20"/>
        </w:rPr>
      </w:pPr>
      <w:r w:rsidRPr="00E260E7">
        <w:rPr>
          <w:rFonts w:ascii="Verdana" w:hAnsi="Verdana"/>
          <w:b/>
          <w:sz w:val="20"/>
          <w:szCs w:val="20"/>
        </w:rPr>
        <w:t>del Estado de Guanajuato</w:t>
      </w:r>
    </w:p>
    <w:p w:rsidR="00E260E7" w:rsidRPr="00E260E7" w:rsidRDefault="00E260E7" w:rsidP="00E260E7">
      <w:pPr>
        <w:tabs>
          <w:tab w:val="left" w:pos="9214"/>
        </w:tabs>
        <w:jc w:val="center"/>
        <w:rPr>
          <w:rFonts w:ascii="Verdana" w:hAnsi="Verdana"/>
          <w:b/>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Objeto</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Artículo 1.</w:t>
      </w:r>
      <w:r w:rsidRPr="00E260E7">
        <w:rPr>
          <w:rFonts w:ascii="Verdana" w:hAnsi="Verdana"/>
          <w:sz w:val="20"/>
          <w:szCs w:val="20"/>
        </w:rPr>
        <w:t xml:space="preserve"> Los presentes lineamientos tienen por objeto regular el funcionamiento del Sistema Electrónico del Poder Legislativo del Estado de Guanajuato, en los términos de la Ley Orgánica del Poder Legislativo del Estado de Guanajuato.</w:t>
      </w:r>
    </w:p>
    <w:p w:rsidR="00E260E7" w:rsidRPr="00E260E7" w:rsidRDefault="00E260E7" w:rsidP="00E260E7">
      <w:pPr>
        <w:tabs>
          <w:tab w:val="left" w:pos="9214"/>
        </w:tabs>
        <w:ind w:firstLine="709"/>
        <w:jc w:val="right"/>
        <w:rPr>
          <w:rFonts w:ascii="Verdana" w:hAnsi="Verdana"/>
          <w:b/>
          <w:i/>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Concepto</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Artículo 2.</w:t>
      </w:r>
      <w:r w:rsidRPr="00E260E7">
        <w:rPr>
          <w:rFonts w:ascii="Verdana" w:hAnsi="Verdana"/>
          <w:sz w:val="20"/>
          <w:szCs w:val="20"/>
        </w:rPr>
        <w:t xml:space="preserve"> Sistema Electrónico: es el sistema automatizado de registro de asistencia y votación de diputados, resultados, video y audio.</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Integración</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Artículo</w:t>
      </w:r>
      <w:r w:rsidRPr="00E260E7">
        <w:rPr>
          <w:rFonts w:ascii="Verdana" w:hAnsi="Verdana"/>
          <w:sz w:val="20"/>
          <w:szCs w:val="20"/>
        </w:rPr>
        <w:t xml:space="preserve"> </w:t>
      </w:r>
      <w:r w:rsidRPr="00E260E7">
        <w:rPr>
          <w:rFonts w:ascii="Verdana" w:hAnsi="Verdana"/>
          <w:b/>
          <w:sz w:val="20"/>
          <w:szCs w:val="20"/>
        </w:rPr>
        <w:t>3.</w:t>
      </w:r>
      <w:r w:rsidRPr="00E260E7">
        <w:rPr>
          <w:rFonts w:ascii="Verdana" w:hAnsi="Verdana"/>
          <w:sz w:val="20"/>
          <w:szCs w:val="20"/>
        </w:rPr>
        <w:t xml:space="preserve"> El Sistema Electrónico comprenderá los elementos técnicos e informáticos necesarios para el funcionamiento </w:t>
      </w:r>
      <w:proofErr w:type="gramStart"/>
      <w:r w:rsidRPr="00E260E7">
        <w:rPr>
          <w:rFonts w:ascii="Verdana" w:hAnsi="Verdana"/>
          <w:sz w:val="20"/>
          <w:szCs w:val="20"/>
        </w:rPr>
        <w:t>del mismo</w:t>
      </w:r>
      <w:proofErr w:type="gramEnd"/>
      <w:r w:rsidRPr="00E260E7">
        <w:rPr>
          <w:rFonts w:ascii="Verdana" w:hAnsi="Verdana"/>
          <w:sz w:val="20"/>
          <w:szCs w:val="20"/>
        </w:rPr>
        <w:t>.</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Despliegue de resultados</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Artículo 4.</w:t>
      </w:r>
      <w:r w:rsidRPr="00E260E7">
        <w:rPr>
          <w:rFonts w:ascii="Verdana" w:hAnsi="Verdana"/>
          <w:sz w:val="20"/>
          <w:szCs w:val="20"/>
        </w:rPr>
        <w:t xml:space="preserve"> Las votaciones económicas y nominales se verán desplegadas en las pantallas o tableros electrónicos instalados dentro del salón de sesiones.</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sz w:val="20"/>
          <w:szCs w:val="20"/>
        </w:rPr>
        <w:t>Las votaciones por cédula no se reflejarán en los medios electrónicos visuales.</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Opciones de votación</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Artículo 5.</w:t>
      </w:r>
      <w:r w:rsidRPr="00E260E7">
        <w:rPr>
          <w:rFonts w:ascii="Verdana" w:hAnsi="Verdana"/>
          <w:sz w:val="20"/>
          <w:szCs w:val="20"/>
        </w:rPr>
        <w:t xml:space="preserve"> El Sistema Electrónico contará con las siguientes opciones sobre el sentido del voto: Si, No y Abstención.</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sz w:val="20"/>
          <w:szCs w:val="20"/>
        </w:rPr>
        <w:t>En el caso de que un diputado al momento de la votación registre una abstención, deberá argumentarla antes de que la Presidencia de la Mesa Directiva emita su voto y cierre la votación.</w:t>
      </w:r>
    </w:p>
    <w:p w:rsidR="00E260E7" w:rsidRPr="00E260E7" w:rsidRDefault="00E260E7" w:rsidP="00E260E7">
      <w:pPr>
        <w:tabs>
          <w:tab w:val="left" w:pos="9214"/>
        </w:tabs>
        <w:ind w:firstLine="709"/>
        <w:jc w:val="both"/>
        <w:rPr>
          <w:rFonts w:ascii="Verdana" w:hAnsi="Verdana"/>
          <w:b/>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Supervisión</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Artículo 6.</w:t>
      </w:r>
      <w:r w:rsidRPr="00E260E7">
        <w:rPr>
          <w:rFonts w:ascii="Verdana" w:hAnsi="Verdana"/>
          <w:sz w:val="20"/>
          <w:szCs w:val="20"/>
        </w:rPr>
        <w:t xml:space="preserve"> Los secretarios de la Mesa Directiva tendrán a su cargo la supervisión del Sistema Electrónico.</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Registro de asistencia</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 xml:space="preserve">Artículo 7. </w:t>
      </w:r>
      <w:r w:rsidRPr="00E260E7">
        <w:rPr>
          <w:rFonts w:ascii="Verdana" w:hAnsi="Verdana"/>
          <w:sz w:val="20"/>
          <w:szCs w:val="20"/>
        </w:rPr>
        <w:t xml:space="preserve">Los diputados registrarán su asistencia a las sesiones a través del Sistema Electrónico. Si esto no fuera posible, se procederá a su registro a través del pase de lista en </w:t>
      </w:r>
      <w:r w:rsidRPr="00E260E7">
        <w:rPr>
          <w:rFonts w:ascii="Verdana" w:hAnsi="Verdana"/>
          <w:sz w:val="20"/>
          <w:szCs w:val="20"/>
        </w:rPr>
        <w:lastRenderedPageBreak/>
        <w:t>los términos que instruya la Presidencia.</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Apertura de registro</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 xml:space="preserve">Artículo 8. </w:t>
      </w:r>
      <w:r w:rsidRPr="00E260E7">
        <w:rPr>
          <w:rFonts w:ascii="Verdana" w:hAnsi="Verdana"/>
          <w:sz w:val="20"/>
          <w:szCs w:val="20"/>
        </w:rPr>
        <w:t>El Sistema Electrónico para los efectos del registro de asistencia, al menos se abrirá, veinte minutos antes de la hora prevista para el inicio de la sesión.</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Apertura y cierre de votación</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Artículo 9.</w:t>
      </w:r>
      <w:r w:rsidRPr="00E260E7">
        <w:rPr>
          <w:rFonts w:ascii="Verdana" w:hAnsi="Verdana"/>
          <w:sz w:val="20"/>
          <w:szCs w:val="20"/>
        </w:rPr>
        <w:t xml:space="preserve"> La Presidencia para efectos de votación, abrirá el Sistema Electrónico hasta por tres minutos y lo cerrará una vez emitido su voto.</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sz w:val="20"/>
          <w:szCs w:val="20"/>
        </w:rPr>
        <w:t>La Secretaría comunicará el resultado de la votación a la Presidencia, quien hará el anuncio al Pleno o, en su caso, a la Diputación Permanente, y continuará el trámite que corresponda.</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Cambio de modalidad de votación</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Artículo 10.</w:t>
      </w:r>
      <w:r w:rsidRPr="00E260E7">
        <w:rPr>
          <w:rFonts w:ascii="Verdana" w:hAnsi="Verdana"/>
          <w:sz w:val="20"/>
          <w:szCs w:val="20"/>
        </w:rPr>
        <w:t xml:space="preserve"> De no ser posible realizar una votación por el Sistema Electrónico, se efectuará a través de la modalidad convencional.</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Asistencia técnica</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 xml:space="preserve">Artículo 11. </w:t>
      </w:r>
      <w:r w:rsidRPr="00E260E7">
        <w:rPr>
          <w:rFonts w:ascii="Verdana" w:hAnsi="Verdana"/>
          <w:sz w:val="20"/>
          <w:szCs w:val="20"/>
        </w:rPr>
        <w:t>Para la operación del Sistema Electrónico, la Mesa Directiva y la Dirección General de Servicios y Apoyo Técnico Parlamentario contarán con la asistencia técnica permanente de la Unidad de Tecnologías de la Información.</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Tarjetas de identificación</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 xml:space="preserve">Artículo 12. </w:t>
      </w:r>
      <w:r w:rsidRPr="00E260E7">
        <w:rPr>
          <w:rFonts w:ascii="Verdana" w:hAnsi="Verdana"/>
          <w:sz w:val="20"/>
          <w:szCs w:val="20"/>
        </w:rPr>
        <w:t>El acceso al Sistema Electrónico será mediante tarjeta de identificación personalizada por diputado, cuyo objetivo es registrar su asistencia y para ejercer su voto.</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sz w:val="20"/>
          <w:szCs w:val="20"/>
        </w:rPr>
        <w:t>La tarjeta de identificación se introducirá en la terminal del Sistema Electrónico asignada a cada diputado, y estará en resguardo de la Dirección General de Servicios y Apoyo Técnico Parlamentario.</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Uso de la tarjeta de identificación</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 xml:space="preserve">Artículo 13. </w:t>
      </w:r>
      <w:r w:rsidRPr="00E260E7">
        <w:rPr>
          <w:rFonts w:ascii="Verdana" w:hAnsi="Verdana"/>
          <w:sz w:val="20"/>
          <w:szCs w:val="20"/>
        </w:rPr>
        <w:t>Las tarjetas de identificación son intransferibles y sólo deberán ser usadas en la terminal asignada al diputado, y éste será responsable de su debido uso.</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sz w:val="20"/>
          <w:szCs w:val="20"/>
        </w:rPr>
        <w:t xml:space="preserve">En caso de pérdida o deterioro de la tarjeta de identificación, se llevará a cabo la reposición de </w:t>
      </w:r>
      <w:proofErr w:type="gramStart"/>
      <w:r w:rsidRPr="00E260E7">
        <w:rPr>
          <w:rFonts w:ascii="Verdana" w:hAnsi="Verdana"/>
          <w:sz w:val="20"/>
          <w:szCs w:val="20"/>
        </w:rPr>
        <w:t>la misma</w:t>
      </w:r>
      <w:proofErr w:type="gramEnd"/>
      <w:r w:rsidRPr="00E260E7">
        <w:rPr>
          <w:rFonts w:ascii="Verdana" w:hAnsi="Verdana"/>
          <w:sz w:val="20"/>
          <w:szCs w:val="20"/>
        </w:rPr>
        <w:t xml:space="preserve"> a través de la Unidad de Tecnologías de la Información.</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Operación y administración del sistema</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 xml:space="preserve">Artículo 14. </w:t>
      </w:r>
      <w:r w:rsidRPr="00E260E7">
        <w:rPr>
          <w:rFonts w:ascii="Verdana" w:hAnsi="Verdana"/>
          <w:sz w:val="20"/>
          <w:szCs w:val="20"/>
        </w:rPr>
        <w:t>La Dirección General de Servicios y Apoyo Técnico Parlamentario se encargará de la operación y administración de la información que se ingrese al sistema.</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Funcionamiento, disponibilidad, respaldo y restauración del sistema</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 xml:space="preserve">Artículo 15. </w:t>
      </w:r>
      <w:r w:rsidRPr="00E260E7">
        <w:rPr>
          <w:rFonts w:ascii="Verdana" w:hAnsi="Verdana"/>
          <w:sz w:val="20"/>
          <w:szCs w:val="20"/>
        </w:rPr>
        <w:t xml:space="preserve">La Unidad de Tecnologías de la Información será la responsable de manera permanente del correcto funcionamiento y disponibilidad del Sistema Electrónico, así como del respaldo y restauración de la información contenida en el sistema. </w:t>
      </w:r>
    </w:p>
    <w:p w:rsidR="00E260E7" w:rsidRPr="00E260E7" w:rsidRDefault="00E260E7" w:rsidP="00E260E7">
      <w:pPr>
        <w:tabs>
          <w:tab w:val="left" w:pos="9214"/>
        </w:tabs>
        <w:ind w:firstLine="709"/>
        <w:jc w:val="both"/>
        <w:rPr>
          <w:rFonts w:ascii="Verdana" w:hAnsi="Verdana"/>
          <w:sz w:val="20"/>
          <w:szCs w:val="20"/>
        </w:rPr>
      </w:pP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sz w:val="20"/>
          <w:szCs w:val="20"/>
        </w:rPr>
        <w:lastRenderedPageBreak/>
        <w:t>La Dirección General de Servicios y Apoyo Técnico Parlamentario contará con una copia del respaldo de la información contenida en el Sistema Electrónico.</w:t>
      </w:r>
    </w:p>
    <w:p w:rsidR="00E260E7" w:rsidRPr="00E260E7" w:rsidRDefault="00E260E7" w:rsidP="00E260E7">
      <w:pPr>
        <w:tabs>
          <w:tab w:val="left" w:pos="9214"/>
        </w:tabs>
        <w:ind w:firstLine="709"/>
        <w:jc w:val="right"/>
        <w:rPr>
          <w:rFonts w:ascii="Verdana" w:hAnsi="Verdana"/>
          <w:b/>
          <w:i/>
          <w:sz w:val="20"/>
          <w:szCs w:val="20"/>
        </w:rPr>
      </w:pPr>
      <w:r w:rsidRPr="00E260E7">
        <w:rPr>
          <w:rFonts w:ascii="Verdana" w:hAnsi="Verdana"/>
          <w:b/>
          <w:i/>
          <w:sz w:val="20"/>
          <w:szCs w:val="20"/>
        </w:rPr>
        <w:t>Interpretación</w:t>
      </w:r>
    </w:p>
    <w:p w:rsidR="00E260E7" w:rsidRPr="00E260E7" w:rsidRDefault="00E260E7" w:rsidP="00E260E7">
      <w:pPr>
        <w:tabs>
          <w:tab w:val="left" w:pos="9214"/>
        </w:tabs>
        <w:ind w:firstLine="709"/>
        <w:jc w:val="both"/>
        <w:rPr>
          <w:rFonts w:ascii="Verdana" w:hAnsi="Verdana"/>
          <w:sz w:val="20"/>
          <w:szCs w:val="20"/>
        </w:rPr>
      </w:pPr>
      <w:r w:rsidRPr="00E260E7">
        <w:rPr>
          <w:rFonts w:ascii="Verdana" w:hAnsi="Verdana"/>
          <w:b/>
          <w:sz w:val="20"/>
          <w:szCs w:val="20"/>
        </w:rPr>
        <w:t>Artículo 16.</w:t>
      </w:r>
      <w:r w:rsidRPr="00E260E7">
        <w:rPr>
          <w:rFonts w:ascii="Verdana" w:hAnsi="Verdana"/>
          <w:sz w:val="20"/>
          <w:szCs w:val="20"/>
        </w:rPr>
        <w:t xml:space="preserve"> Para la interpretación de los presentes lineamientos, se estará a lo dispuesto en las atribuciones de la Mesa Directiva establecidas en el artículo 54 de la Ley Orgánica del Poder Legislativo del Estado de Guanajuato.</w:t>
      </w:r>
    </w:p>
    <w:p w:rsidR="00E260E7" w:rsidRDefault="00E260E7" w:rsidP="00E260E7">
      <w:pPr>
        <w:pStyle w:val="Textoindependiente"/>
        <w:tabs>
          <w:tab w:val="left" w:pos="7995"/>
          <w:tab w:val="left" w:pos="9214"/>
        </w:tabs>
        <w:kinsoku w:val="0"/>
        <w:overflowPunct w:val="0"/>
        <w:jc w:val="both"/>
        <w:rPr>
          <w:rFonts w:ascii="Verdana" w:hAnsi="Verdana"/>
          <w:sz w:val="20"/>
          <w:szCs w:val="20"/>
        </w:rPr>
      </w:pPr>
      <w:r w:rsidRPr="00E260E7">
        <w:rPr>
          <w:rFonts w:ascii="Verdana" w:hAnsi="Verdana"/>
          <w:sz w:val="20"/>
          <w:szCs w:val="20"/>
        </w:rPr>
        <w:tab/>
      </w:r>
    </w:p>
    <w:p w:rsidR="00E260E7" w:rsidRPr="00E260E7" w:rsidRDefault="00E260E7" w:rsidP="00E260E7">
      <w:pPr>
        <w:pStyle w:val="Textoindependiente"/>
        <w:tabs>
          <w:tab w:val="left" w:pos="7995"/>
          <w:tab w:val="left" w:pos="9214"/>
        </w:tabs>
        <w:kinsoku w:val="0"/>
        <w:overflowPunct w:val="0"/>
        <w:jc w:val="both"/>
        <w:rPr>
          <w:rFonts w:ascii="Verdana" w:hAnsi="Verdana"/>
          <w:sz w:val="20"/>
          <w:szCs w:val="20"/>
        </w:rPr>
      </w:pPr>
    </w:p>
    <w:p w:rsidR="00E260E7" w:rsidRPr="00E260E7" w:rsidRDefault="00E260E7" w:rsidP="00E260E7">
      <w:pPr>
        <w:pStyle w:val="Ttulo1"/>
        <w:tabs>
          <w:tab w:val="left" w:pos="9214"/>
        </w:tabs>
        <w:kinsoku w:val="0"/>
        <w:overflowPunct w:val="0"/>
        <w:spacing w:before="0"/>
        <w:ind w:left="0" w:right="0"/>
        <w:rPr>
          <w:rFonts w:ascii="Verdana" w:hAnsi="Verdana"/>
          <w:sz w:val="20"/>
          <w:szCs w:val="20"/>
          <w:lang w:val="en-US"/>
        </w:rPr>
      </w:pPr>
      <w:r w:rsidRPr="00E260E7">
        <w:rPr>
          <w:rFonts w:ascii="Verdana" w:hAnsi="Verdana"/>
          <w:sz w:val="20"/>
          <w:szCs w:val="20"/>
          <w:lang w:val="en-US"/>
        </w:rPr>
        <w:t>T R A N S I T O R I O S</w:t>
      </w:r>
    </w:p>
    <w:p w:rsidR="00E260E7" w:rsidRPr="00E260E7" w:rsidRDefault="00E260E7" w:rsidP="00E260E7">
      <w:pPr>
        <w:pStyle w:val="Textoindependiente"/>
        <w:tabs>
          <w:tab w:val="left" w:pos="9214"/>
        </w:tabs>
        <w:kinsoku w:val="0"/>
        <w:overflowPunct w:val="0"/>
        <w:rPr>
          <w:rFonts w:ascii="Verdana" w:hAnsi="Verdana"/>
          <w:b/>
          <w:bCs/>
          <w:sz w:val="20"/>
          <w:szCs w:val="20"/>
          <w:lang w:val="en-US"/>
        </w:rPr>
      </w:pPr>
    </w:p>
    <w:p w:rsidR="00E260E7" w:rsidRPr="00E260E7" w:rsidRDefault="00E260E7" w:rsidP="00E260E7">
      <w:pPr>
        <w:pStyle w:val="Textoindependiente"/>
        <w:tabs>
          <w:tab w:val="left" w:pos="9214"/>
        </w:tabs>
        <w:kinsoku w:val="0"/>
        <w:overflowPunct w:val="0"/>
        <w:ind w:firstLine="709"/>
        <w:jc w:val="both"/>
        <w:rPr>
          <w:rFonts w:ascii="Verdana" w:hAnsi="Verdana"/>
          <w:w w:val="105"/>
          <w:sz w:val="20"/>
          <w:szCs w:val="20"/>
        </w:rPr>
      </w:pPr>
      <w:r w:rsidRPr="00E260E7">
        <w:rPr>
          <w:rFonts w:ascii="Verdana" w:hAnsi="Verdana"/>
          <w:b/>
          <w:bCs/>
          <w:sz w:val="20"/>
          <w:szCs w:val="20"/>
        </w:rPr>
        <w:t xml:space="preserve">Artículo Primero. </w:t>
      </w:r>
      <w:r w:rsidRPr="00E260E7">
        <w:rPr>
          <w:rFonts w:ascii="Verdana" w:hAnsi="Verdana"/>
          <w:w w:val="105"/>
          <w:sz w:val="20"/>
          <w:szCs w:val="20"/>
        </w:rPr>
        <w:t>Los presentes Lineamientos del Sistema Electrónico del Poder Legislativo del Estado de Guanajuato, entrarán en vigor el día siguiente al de su aprobación por el Pleno del Congreso del Estado.</w:t>
      </w:r>
    </w:p>
    <w:p w:rsidR="00E260E7" w:rsidRPr="00E260E7" w:rsidRDefault="00E260E7" w:rsidP="00E260E7">
      <w:pPr>
        <w:pStyle w:val="Textoindependiente"/>
        <w:tabs>
          <w:tab w:val="left" w:pos="9214"/>
        </w:tabs>
        <w:kinsoku w:val="0"/>
        <w:overflowPunct w:val="0"/>
        <w:ind w:firstLine="709"/>
        <w:jc w:val="both"/>
        <w:rPr>
          <w:rFonts w:ascii="Verdana" w:hAnsi="Verdana"/>
          <w:w w:val="105"/>
          <w:sz w:val="20"/>
          <w:szCs w:val="20"/>
        </w:rPr>
      </w:pPr>
    </w:p>
    <w:p w:rsidR="00E260E7" w:rsidRPr="00E260E7" w:rsidRDefault="00E260E7" w:rsidP="00E260E7">
      <w:pPr>
        <w:pStyle w:val="Textoindependiente"/>
        <w:tabs>
          <w:tab w:val="left" w:pos="9214"/>
        </w:tabs>
        <w:kinsoku w:val="0"/>
        <w:overflowPunct w:val="0"/>
        <w:ind w:firstLine="709"/>
        <w:jc w:val="both"/>
        <w:rPr>
          <w:rFonts w:ascii="Verdana" w:hAnsi="Verdana"/>
          <w:w w:val="105"/>
          <w:sz w:val="20"/>
          <w:szCs w:val="20"/>
        </w:rPr>
      </w:pPr>
      <w:r w:rsidRPr="00E260E7">
        <w:rPr>
          <w:rFonts w:ascii="Verdana" w:hAnsi="Verdana"/>
          <w:b/>
          <w:w w:val="105"/>
          <w:sz w:val="20"/>
          <w:szCs w:val="20"/>
        </w:rPr>
        <w:t>Artículo Segundo.</w:t>
      </w:r>
      <w:r w:rsidRPr="00E260E7">
        <w:rPr>
          <w:rFonts w:ascii="Verdana" w:hAnsi="Verdana"/>
          <w:w w:val="105"/>
          <w:sz w:val="20"/>
          <w:szCs w:val="20"/>
        </w:rPr>
        <w:t xml:space="preserve"> Se abrogan los Lineamientos del Sistema Electrónico del Poder Legislativo del Estado de Guanajuato, aprobados en la sesión ordinaria celebrada el 29 de septiembre de 2016.</w:t>
      </w:r>
      <w:bookmarkEnd w:id="0"/>
    </w:p>
    <w:p w:rsidR="00E260E7" w:rsidRPr="00E260E7" w:rsidRDefault="00E260E7" w:rsidP="00E260E7">
      <w:pPr>
        <w:pStyle w:val="Textoindependiente"/>
        <w:tabs>
          <w:tab w:val="left" w:pos="9214"/>
        </w:tabs>
        <w:kinsoku w:val="0"/>
        <w:overflowPunct w:val="0"/>
        <w:jc w:val="both"/>
        <w:rPr>
          <w:rFonts w:ascii="Verdana" w:hAnsi="Verdana"/>
          <w:w w:val="105"/>
          <w:sz w:val="20"/>
          <w:szCs w:val="20"/>
        </w:rPr>
      </w:pPr>
    </w:p>
    <w:p w:rsidR="00E260E7" w:rsidRPr="00E260E7" w:rsidRDefault="00E260E7" w:rsidP="00E260E7">
      <w:pPr>
        <w:tabs>
          <w:tab w:val="left" w:pos="9214"/>
        </w:tabs>
        <w:jc w:val="center"/>
        <w:rPr>
          <w:rFonts w:ascii="Verdana" w:hAnsi="Verdana"/>
          <w:b/>
          <w:sz w:val="20"/>
          <w:szCs w:val="20"/>
        </w:rPr>
      </w:pPr>
      <w:r w:rsidRPr="00E260E7">
        <w:rPr>
          <w:rFonts w:ascii="Verdana" w:hAnsi="Verdana"/>
          <w:b/>
          <w:sz w:val="20"/>
          <w:szCs w:val="20"/>
        </w:rPr>
        <w:t xml:space="preserve">Guanajuato, </w:t>
      </w:r>
      <w:proofErr w:type="spellStart"/>
      <w:r w:rsidRPr="00E260E7">
        <w:rPr>
          <w:rFonts w:ascii="Verdana" w:hAnsi="Verdana"/>
          <w:b/>
          <w:sz w:val="20"/>
          <w:szCs w:val="20"/>
        </w:rPr>
        <w:t>Gto</w:t>
      </w:r>
      <w:proofErr w:type="spellEnd"/>
      <w:r w:rsidRPr="00E260E7">
        <w:rPr>
          <w:rFonts w:ascii="Verdana" w:hAnsi="Verdana"/>
          <w:b/>
          <w:sz w:val="20"/>
          <w:szCs w:val="20"/>
        </w:rPr>
        <w:t>. 15 de febrero de 2017</w:t>
      </w:r>
    </w:p>
    <w:p w:rsidR="00E260E7" w:rsidRPr="00E260E7" w:rsidRDefault="00E260E7" w:rsidP="00E260E7">
      <w:pPr>
        <w:tabs>
          <w:tab w:val="left" w:pos="9214"/>
        </w:tabs>
        <w:jc w:val="center"/>
        <w:rPr>
          <w:rFonts w:ascii="Verdana" w:hAnsi="Verdana"/>
          <w:b/>
          <w:sz w:val="20"/>
          <w:szCs w:val="20"/>
        </w:rPr>
      </w:pPr>
      <w:r w:rsidRPr="00E260E7">
        <w:rPr>
          <w:rFonts w:ascii="Verdana" w:hAnsi="Verdana"/>
          <w:b/>
          <w:sz w:val="20"/>
          <w:szCs w:val="20"/>
        </w:rPr>
        <w:t xml:space="preserve">La diputada y los diputados integrantes de la </w:t>
      </w:r>
    </w:p>
    <w:p w:rsidR="00E260E7" w:rsidRPr="00E260E7" w:rsidRDefault="00E260E7" w:rsidP="00E260E7">
      <w:pPr>
        <w:tabs>
          <w:tab w:val="left" w:pos="9214"/>
        </w:tabs>
        <w:jc w:val="center"/>
        <w:rPr>
          <w:rFonts w:ascii="Verdana" w:hAnsi="Verdana"/>
          <w:b/>
          <w:sz w:val="20"/>
          <w:szCs w:val="20"/>
        </w:rPr>
      </w:pPr>
      <w:r w:rsidRPr="00E260E7">
        <w:rPr>
          <w:rFonts w:ascii="Verdana" w:hAnsi="Verdana"/>
          <w:b/>
          <w:sz w:val="20"/>
          <w:szCs w:val="20"/>
        </w:rPr>
        <w:t>Junta de Gobierno y Coordinación Política</w:t>
      </w:r>
    </w:p>
    <w:p w:rsidR="00E260E7" w:rsidRPr="00E260E7" w:rsidRDefault="00E260E7" w:rsidP="00E260E7">
      <w:pPr>
        <w:tabs>
          <w:tab w:val="left" w:pos="9214"/>
        </w:tabs>
        <w:jc w:val="center"/>
        <w:rPr>
          <w:rFonts w:ascii="Verdana" w:hAnsi="Verdana"/>
          <w:b/>
          <w:sz w:val="20"/>
          <w:szCs w:val="20"/>
        </w:rPr>
      </w:pPr>
    </w:p>
    <w:p w:rsidR="00E260E7" w:rsidRPr="00E260E7" w:rsidRDefault="00E260E7" w:rsidP="00E260E7">
      <w:pPr>
        <w:tabs>
          <w:tab w:val="left" w:pos="9214"/>
        </w:tabs>
        <w:jc w:val="center"/>
        <w:rPr>
          <w:rFonts w:ascii="Verdana" w:hAnsi="Verdana"/>
          <w:b/>
          <w:sz w:val="20"/>
          <w:szCs w:val="20"/>
        </w:rPr>
      </w:pPr>
    </w:p>
    <w:p w:rsidR="00E260E7" w:rsidRPr="00E260E7" w:rsidRDefault="00E260E7" w:rsidP="00E260E7">
      <w:pPr>
        <w:tabs>
          <w:tab w:val="left" w:pos="9214"/>
        </w:tabs>
        <w:jc w:val="center"/>
        <w:rPr>
          <w:rFonts w:ascii="Verdana" w:hAnsi="Verdana"/>
          <w:b/>
          <w:sz w:val="20"/>
          <w:szCs w:val="20"/>
        </w:rPr>
      </w:pPr>
    </w:p>
    <w:p w:rsidR="00E260E7" w:rsidRPr="00E260E7" w:rsidRDefault="00E260E7" w:rsidP="00E260E7">
      <w:pPr>
        <w:tabs>
          <w:tab w:val="left" w:pos="9214"/>
        </w:tabs>
        <w:jc w:val="center"/>
        <w:rPr>
          <w:rFonts w:ascii="Verdana" w:hAnsi="Verdana"/>
          <w:b/>
          <w:sz w:val="20"/>
          <w:szCs w:val="20"/>
        </w:rPr>
      </w:pPr>
      <w:r w:rsidRPr="00E260E7">
        <w:rPr>
          <w:rFonts w:ascii="Verdana" w:hAnsi="Verdana"/>
          <w:b/>
          <w:sz w:val="20"/>
          <w:szCs w:val="20"/>
        </w:rPr>
        <w:t xml:space="preserve">Diputado </w:t>
      </w:r>
      <w:proofErr w:type="spellStart"/>
      <w:r w:rsidRPr="00E260E7">
        <w:rPr>
          <w:rFonts w:ascii="Verdana" w:hAnsi="Verdana"/>
          <w:b/>
          <w:sz w:val="20"/>
          <w:szCs w:val="20"/>
        </w:rPr>
        <w:t>Éctor</w:t>
      </w:r>
      <w:proofErr w:type="spellEnd"/>
      <w:r w:rsidRPr="00E260E7">
        <w:rPr>
          <w:rFonts w:ascii="Verdana" w:hAnsi="Verdana"/>
          <w:b/>
          <w:sz w:val="20"/>
          <w:szCs w:val="20"/>
        </w:rPr>
        <w:t xml:space="preserve"> Jaime Ramírez Barba</w:t>
      </w:r>
    </w:p>
    <w:p w:rsidR="00E260E7" w:rsidRPr="00E260E7" w:rsidRDefault="00E260E7" w:rsidP="00E260E7">
      <w:pPr>
        <w:tabs>
          <w:tab w:val="left" w:pos="9214"/>
        </w:tabs>
        <w:rPr>
          <w:rFonts w:ascii="Verdana" w:hAnsi="Verdana"/>
          <w:b/>
          <w:sz w:val="20"/>
          <w:szCs w:val="20"/>
        </w:rPr>
      </w:pPr>
    </w:p>
    <w:p w:rsidR="00E260E7" w:rsidRDefault="00E260E7" w:rsidP="00E260E7">
      <w:pPr>
        <w:tabs>
          <w:tab w:val="left" w:pos="9214"/>
        </w:tabs>
        <w:rPr>
          <w:rFonts w:ascii="Verdana" w:hAnsi="Verdana"/>
          <w:b/>
          <w:sz w:val="20"/>
          <w:szCs w:val="20"/>
        </w:rPr>
      </w:pPr>
    </w:p>
    <w:p w:rsidR="00E260E7" w:rsidRDefault="00E260E7" w:rsidP="00E260E7">
      <w:pPr>
        <w:tabs>
          <w:tab w:val="left" w:pos="9214"/>
        </w:tabs>
        <w:rPr>
          <w:rFonts w:ascii="Verdana" w:hAnsi="Verdana"/>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18"/>
        <w:gridCol w:w="3870"/>
      </w:tblGrid>
      <w:tr w:rsidR="00E260E7" w:rsidTr="00CA5CA3">
        <w:tc>
          <w:tcPr>
            <w:tcW w:w="4106" w:type="dxa"/>
          </w:tcPr>
          <w:p w:rsidR="00E260E7" w:rsidRDefault="00E260E7" w:rsidP="00CA5CA3">
            <w:pPr>
              <w:tabs>
                <w:tab w:val="left" w:pos="9214"/>
              </w:tabs>
              <w:jc w:val="center"/>
              <w:rPr>
                <w:rFonts w:ascii="Verdana" w:hAnsi="Verdana"/>
                <w:b/>
                <w:sz w:val="20"/>
                <w:szCs w:val="20"/>
              </w:rPr>
            </w:pPr>
            <w:r w:rsidRPr="00E260E7">
              <w:rPr>
                <w:rFonts w:ascii="Verdana" w:hAnsi="Verdana"/>
                <w:b/>
                <w:sz w:val="20"/>
                <w:szCs w:val="20"/>
              </w:rPr>
              <w:t>Diputado Rigoberto Paredes Villagómez</w:t>
            </w:r>
          </w:p>
        </w:tc>
        <w:tc>
          <w:tcPr>
            <w:tcW w:w="1418" w:type="dxa"/>
          </w:tcPr>
          <w:p w:rsidR="00E260E7" w:rsidRPr="00E260E7" w:rsidRDefault="00E260E7" w:rsidP="00CA5CA3">
            <w:pPr>
              <w:tabs>
                <w:tab w:val="left" w:pos="9214"/>
              </w:tabs>
              <w:jc w:val="center"/>
              <w:rPr>
                <w:rFonts w:ascii="Verdana" w:hAnsi="Verdana"/>
                <w:b/>
                <w:sz w:val="20"/>
                <w:szCs w:val="20"/>
              </w:rPr>
            </w:pPr>
          </w:p>
        </w:tc>
        <w:tc>
          <w:tcPr>
            <w:tcW w:w="3870" w:type="dxa"/>
          </w:tcPr>
          <w:p w:rsidR="00E260E7" w:rsidRDefault="00E260E7" w:rsidP="00CA5CA3">
            <w:pPr>
              <w:tabs>
                <w:tab w:val="left" w:pos="9214"/>
              </w:tabs>
              <w:jc w:val="center"/>
              <w:rPr>
                <w:rFonts w:ascii="Verdana" w:hAnsi="Verdana"/>
                <w:b/>
                <w:sz w:val="20"/>
                <w:szCs w:val="20"/>
              </w:rPr>
            </w:pPr>
            <w:r w:rsidRPr="00E260E7">
              <w:rPr>
                <w:rFonts w:ascii="Verdana" w:hAnsi="Verdana"/>
                <w:b/>
                <w:sz w:val="20"/>
                <w:szCs w:val="20"/>
              </w:rPr>
              <w:t>Diputada Beatriz Manrique Guevara</w:t>
            </w:r>
          </w:p>
        </w:tc>
      </w:tr>
      <w:tr w:rsidR="00E260E7" w:rsidTr="00CA5CA3">
        <w:tc>
          <w:tcPr>
            <w:tcW w:w="4106" w:type="dxa"/>
          </w:tcPr>
          <w:p w:rsidR="00E260E7" w:rsidRDefault="00E260E7" w:rsidP="00CA5CA3">
            <w:pPr>
              <w:tabs>
                <w:tab w:val="left" w:pos="9214"/>
              </w:tabs>
              <w:jc w:val="center"/>
              <w:rPr>
                <w:rFonts w:ascii="Verdana" w:hAnsi="Verdana"/>
                <w:b/>
                <w:sz w:val="20"/>
                <w:szCs w:val="20"/>
              </w:rPr>
            </w:pPr>
          </w:p>
        </w:tc>
        <w:tc>
          <w:tcPr>
            <w:tcW w:w="1418" w:type="dxa"/>
          </w:tcPr>
          <w:p w:rsidR="00E260E7" w:rsidRDefault="00E260E7" w:rsidP="00CA5CA3">
            <w:pPr>
              <w:tabs>
                <w:tab w:val="left" w:pos="9214"/>
              </w:tabs>
              <w:jc w:val="center"/>
              <w:rPr>
                <w:rFonts w:ascii="Verdana" w:hAnsi="Verdana"/>
                <w:b/>
                <w:sz w:val="20"/>
                <w:szCs w:val="20"/>
              </w:rPr>
            </w:pPr>
          </w:p>
        </w:tc>
        <w:tc>
          <w:tcPr>
            <w:tcW w:w="3870" w:type="dxa"/>
          </w:tcPr>
          <w:p w:rsidR="00E260E7" w:rsidRDefault="00E260E7" w:rsidP="00CA5CA3">
            <w:pPr>
              <w:tabs>
                <w:tab w:val="left" w:pos="9214"/>
              </w:tabs>
              <w:jc w:val="center"/>
              <w:rPr>
                <w:rFonts w:ascii="Verdana" w:hAnsi="Verdana"/>
                <w:b/>
                <w:sz w:val="20"/>
                <w:szCs w:val="20"/>
              </w:rPr>
            </w:pPr>
          </w:p>
        </w:tc>
      </w:tr>
      <w:tr w:rsidR="00E260E7" w:rsidTr="00CA5CA3">
        <w:tc>
          <w:tcPr>
            <w:tcW w:w="4106" w:type="dxa"/>
          </w:tcPr>
          <w:p w:rsidR="00E260E7" w:rsidRDefault="00E260E7" w:rsidP="00CA5CA3">
            <w:pPr>
              <w:tabs>
                <w:tab w:val="left" w:pos="9214"/>
              </w:tabs>
              <w:jc w:val="center"/>
              <w:rPr>
                <w:rFonts w:ascii="Verdana" w:hAnsi="Verdana"/>
                <w:b/>
                <w:sz w:val="20"/>
                <w:szCs w:val="20"/>
              </w:rPr>
            </w:pPr>
          </w:p>
        </w:tc>
        <w:tc>
          <w:tcPr>
            <w:tcW w:w="1418" w:type="dxa"/>
          </w:tcPr>
          <w:p w:rsidR="00E260E7" w:rsidRDefault="00E260E7" w:rsidP="00CA5CA3">
            <w:pPr>
              <w:tabs>
                <w:tab w:val="left" w:pos="9214"/>
              </w:tabs>
              <w:jc w:val="center"/>
              <w:rPr>
                <w:rFonts w:ascii="Verdana" w:hAnsi="Verdana"/>
                <w:b/>
                <w:sz w:val="20"/>
                <w:szCs w:val="20"/>
              </w:rPr>
            </w:pPr>
          </w:p>
        </w:tc>
        <w:tc>
          <w:tcPr>
            <w:tcW w:w="3870" w:type="dxa"/>
          </w:tcPr>
          <w:p w:rsidR="00E260E7" w:rsidRDefault="00E260E7" w:rsidP="00CA5CA3">
            <w:pPr>
              <w:tabs>
                <w:tab w:val="left" w:pos="9214"/>
              </w:tabs>
              <w:jc w:val="center"/>
              <w:rPr>
                <w:rFonts w:ascii="Verdana" w:hAnsi="Verdana"/>
                <w:b/>
                <w:sz w:val="20"/>
                <w:szCs w:val="20"/>
              </w:rPr>
            </w:pPr>
          </w:p>
        </w:tc>
      </w:tr>
      <w:tr w:rsidR="00E260E7" w:rsidTr="00CA5CA3">
        <w:tc>
          <w:tcPr>
            <w:tcW w:w="4106" w:type="dxa"/>
          </w:tcPr>
          <w:p w:rsidR="00E260E7" w:rsidRDefault="00E260E7" w:rsidP="00CA5CA3">
            <w:pPr>
              <w:tabs>
                <w:tab w:val="left" w:pos="9214"/>
              </w:tabs>
              <w:jc w:val="center"/>
              <w:rPr>
                <w:rFonts w:ascii="Verdana" w:hAnsi="Verdana"/>
                <w:b/>
                <w:sz w:val="20"/>
                <w:szCs w:val="20"/>
              </w:rPr>
            </w:pPr>
            <w:r w:rsidRPr="00E260E7">
              <w:rPr>
                <w:rFonts w:ascii="Verdana" w:hAnsi="Verdana"/>
                <w:b/>
                <w:sz w:val="20"/>
                <w:szCs w:val="20"/>
              </w:rPr>
              <w:t>Diputado Jesús Gerardo Silva Campos</w:t>
            </w:r>
          </w:p>
        </w:tc>
        <w:tc>
          <w:tcPr>
            <w:tcW w:w="1418" w:type="dxa"/>
          </w:tcPr>
          <w:p w:rsidR="00E260E7" w:rsidRPr="00E260E7" w:rsidRDefault="00E260E7" w:rsidP="00CA5CA3">
            <w:pPr>
              <w:tabs>
                <w:tab w:val="left" w:pos="9214"/>
              </w:tabs>
              <w:jc w:val="center"/>
              <w:rPr>
                <w:rFonts w:ascii="Verdana" w:hAnsi="Verdana"/>
                <w:b/>
                <w:sz w:val="20"/>
                <w:szCs w:val="20"/>
              </w:rPr>
            </w:pPr>
          </w:p>
        </w:tc>
        <w:tc>
          <w:tcPr>
            <w:tcW w:w="3870" w:type="dxa"/>
          </w:tcPr>
          <w:p w:rsidR="00E260E7" w:rsidRDefault="00E260E7" w:rsidP="00CA5CA3">
            <w:pPr>
              <w:tabs>
                <w:tab w:val="left" w:pos="9214"/>
              </w:tabs>
              <w:jc w:val="center"/>
              <w:rPr>
                <w:rFonts w:ascii="Verdana" w:hAnsi="Verdana"/>
                <w:b/>
                <w:sz w:val="20"/>
                <w:szCs w:val="20"/>
              </w:rPr>
            </w:pPr>
            <w:r w:rsidRPr="00E260E7">
              <w:rPr>
                <w:rFonts w:ascii="Verdana" w:hAnsi="Verdana"/>
                <w:b/>
                <w:sz w:val="20"/>
                <w:szCs w:val="20"/>
              </w:rPr>
              <w:t>Diputado Alejandro Trejo Ávila</w:t>
            </w:r>
          </w:p>
        </w:tc>
      </w:tr>
      <w:tr w:rsidR="00E260E7" w:rsidTr="00CA5CA3">
        <w:tc>
          <w:tcPr>
            <w:tcW w:w="4106" w:type="dxa"/>
          </w:tcPr>
          <w:p w:rsidR="00E260E7" w:rsidRDefault="00E260E7" w:rsidP="00CA5CA3">
            <w:pPr>
              <w:tabs>
                <w:tab w:val="left" w:pos="9214"/>
              </w:tabs>
              <w:jc w:val="center"/>
              <w:rPr>
                <w:rFonts w:ascii="Verdana" w:hAnsi="Verdana"/>
                <w:b/>
                <w:sz w:val="20"/>
                <w:szCs w:val="20"/>
              </w:rPr>
            </w:pPr>
          </w:p>
        </w:tc>
        <w:tc>
          <w:tcPr>
            <w:tcW w:w="1418" w:type="dxa"/>
          </w:tcPr>
          <w:p w:rsidR="00E260E7" w:rsidRDefault="00E260E7" w:rsidP="00CA5CA3">
            <w:pPr>
              <w:tabs>
                <w:tab w:val="left" w:pos="9214"/>
              </w:tabs>
              <w:jc w:val="center"/>
              <w:rPr>
                <w:rFonts w:ascii="Verdana" w:hAnsi="Verdana"/>
                <w:b/>
                <w:sz w:val="20"/>
                <w:szCs w:val="20"/>
              </w:rPr>
            </w:pPr>
          </w:p>
        </w:tc>
        <w:tc>
          <w:tcPr>
            <w:tcW w:w="3870" w:type="dxa"/>
          </w:tcPr>
          <w:p w:rsidR="00E260E7" w:rsidRDefault="00E260E7" w:rsidP="00CA5CA3">
            <w:pPr>
              <w:tabs>
                <w:tab w:val="left" w:pos="9214"/>
              </w:tabs>
              <w:jc w:val="center"/>
              <w:rPr>
                <w:rFonts w:ascii="Verdana" w:hAnsi="Verdana"/>
                <w:b/>
                <w:sz w:val="20"/>
                <w:szCs w:val="20"/>
              </w:rPr>
            </w:pPr>
          </w:p>
        </w:tc>
      </w:tr>
      <w:tr w:rsidR="00E260E7" w:rsidTr="00CA5CA3">
        <w:tc>
          <w:tcPr>
            <w:tcW w:w="4106" w:type="dxa"/>
          </w:tcPr>
          <w:p w:rsidR="00E260E7" w:rsidRDefault="00E260E7" w:rsidP="00CA5CA3">
            <w:pPr>
              <w:tabs>
                <w:tab w:val="left" w:pos="9214"/>
              </w:tabs>
              <w:jc w:val="center"/>
              <w:rPr>
                <w:rFonts w:ascii="Verdana" w:hAnsi="Verdana"/>
                <w:b/>
                <w:sz w:val="20"/>
                <w:szCs w:val="20"/>
              </w:rPr>
            </w:pPr>
          </w:p>
        </w:tc>
        <w:tc>
          <w:tcPr>
            <w:tcW w:w="1418" w:type="dxa"/>
          </w:tcPr>
          <w:p w:rsidR="00E260E7" w:rsidRDefault="00E260E7" w:rsidP="00CA5CA3">
            <w:pPr>
              <w:tabs>
                <w:tab w:val="left" w:pos="9214"/>
              </w:tabs>
              <w:jc w:val="center"/>
              <w:rPr>
                <w:rFonts w:ascii="Verdana" w:hAnsi="Verdana"/>
                <w:b/>
                <w:sz w:val="20"/>
                <w:szCs w:val="20"/>
              </w:rPr>
            </w:pPr>
          </w:p>
        </w:tc>
        <w:tc>
          <w:tcPr>
            <w:tcW w:w="3870" w:type="dxa"/>
          </w:tcPr>
          <w:p w:rsidR="00E260E7" w:rsidRDefault="00E260E7" w:rsidP="00CA5CA3">
            <w:pPr>
              <w:tabs>
                <w:tab w:val="left" w:pos="9214"/>
              </w:tabs>
              <w:jc w:val="center"/>
              <w:rPr>
                <w:rFonts w:ascii="Verdana" w:hAnsi="Verdana"/>
                <w:b/>
                <w:sz w:val="20"/>
                <w:szCs w:val="20"/>
              </w:rPr>
            </w:pPr>
          </w:p>
        </w:tc>
      </w:tr>
      <w:tr w:rsidR="00E260E7" w:rsidTr="00CA5CA3">
        <w:tc>
          <w:tcPr>
            <w:tcW w:w="4106" w:type="dxa"/>
          </w:tcPr>
          <w:p w:rsidR="00E260E7" w:rsidRDefault="00E260E7" w:rsidP="00CA5CA3">
            <w:pPr>
              <w:tabs>
                <w:tab w:val="left" w:pos="9214"/>
              </w:tabs>
              <w:jc w:val="center"/>
              <w:rPr>
                <w:rFonts w:ascii="Verdana" w:hAnsi="Verdana"/>
                <w:b/>
                <w:sz w:val="20"/>
                <w:szCs w:val="20"/>
              </w:rPr>
            </w:pPr>
            <w:r w:rsidRPr="00E260E7">
              <w:rPr>
                <w:rFonts w:ascii="Verdana" w:hAnsi="Verdana"/>
                <w:b/>
                <w:sz w:val="20"/>
                <w:szCs w:val="20"/>
              </w:rPr>
              <w:t>Diputado David Alejandro Landeros</w:t>
            </w:r>
          </w:p>
        </w:tc>
        <w:tc>
          <w:tcPr>
            <w:tcW w:w="1418" w:type="dxa"/>
          </w:tcPr>
          <w:p w:rsidR="00E260E7" w:rsidRPr="00E260E7" w:rsidRDefault="00E260E7" w:rsidP="00CA5CA3">
            <w:pPr>
              <w:tabs>
                <w:tab w:val="left" w:pos="9214"/>
              </w:tabs>
              <w:jc w:val="center"/>
              <w:rPr>
                <w:rFonts w:ascii="Verdana" w:hAnsi="Verdana"/>
                <w:b/>
                <w:sz w:val="20"/>
                <w:szCs w:val="20"/>
              </w:rPr>
            </w:pPr>
          </w:p>
        </w:tc>
        <w:tc>
          <w:tcPr>
            <w:tcW w:w="3870" w:type="dxa"/>
          </w:tcPr>
          <w:p w:rsidR="00E260E7" w:rsidRDefault="00E260E7" w:rsidP="00CA5CA3">
            <w:pPr>
              <w:tabs>
                <w:tab w:val="left" w:pos="9214"/>
              </w:tabs>
              <w:jc w:val="center"/>
              <w:rPr>
                <w:rFonts w:ascii="Verdana" w:hAnsi="Verdana"/>
                <w:b/>
                <w:sz w:val="20"/>
                <w:szCs w:val="20"/>
              </w:rPr>
            </w:pPr>
            <w:r w:rsidRPr="00E260E7">
              <w:rPr>
                <w:rFonts w:ascii="Verdana" w:hAnsi="Verdana"/>
                <w:b/>
                <w:sz w:val="20"/>
                <w:szCs w:val="20"/>
              </w:rPr>
              <w:t>Diputado Eduardo Ramírez Granja</w:t>
            </w:r>
          </w:p>
        </w:tc>
      </w:tr>
    </w:tbl>
    <w:p w:rsidR="00E260E7" w:rsidRDefault="00E260E7" w:rsidP="00CA5CA3">
      <w:pPr>
        <w:tabs>
          <w:tab w:val="left" w:pos="9214"/>
        </w:tabs>
        <w:jc w:val="center"/>
        <w:rPr>
          <w:rFonts w:ascii="Verdana" w:hAnsi="Verdana"/>
          <w:b/>
          <w:sz w:val="20"/>
          <w:szCs w:val="20"/>
        </w:rPr>
      </w:pPr>
    </w:p>
    <w:p w:rsidR="00E260E7" w:rsidRDefault="00E260E7" w:rsidP="00E260E7">
      <w:pPr>
        <w:tabs>
          <w:tab w:val="left" w:pos="9214"/>
        </w:tabs>
        <w:rPr>
          <w:rFonts w:ascii="Verdana" w:hAnsi="Verdana"/>
          <w:b/>
          <w:sz w:val="20"/>
          <w:szCs w:val="20"/>
        </w:rPr>
      </w:pPr>
    </w:p>
    <w:p w:rsidR="00E260E7" w:rsidRPr="00E260E7" w:rsidRDefault="00E260E7" w:rsidP="00E260E7">
      <w:pPr>
        <w:tabs>
          <w:tab w:val="left" w:pos="9214"/>
        </w:tabs>
        <w:rPr>
          <w:rFonts w:ascii="Verdana" w:hAnsi="Verdana"/>
          <w:b/>
          <w:sz w:val="20"/>
          <w:szCs w:val="20"/>
        </w:rPr>
      </w:pPr>
    </w:p>
    <w:sectPr w:rsidR="00E260E7" w:rsidRPr="00E260E7" w:rsidSect="00E260E7">
      <w:headerReference w:type="default" r:id="rId6"/>
      <w:pgSz w:w="12240" w:h="15840"/>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8A3" w:rsidRDefault="007518A3" w:rsidP="00E260E7">
      <w:r>
        <w:separator/>
      </w:r>
    </w:p>
  </w:endnote>
  <w:endnote w:type="continuationSeparator" w:id="0">
    <w:p w:rsidR="007518A3" w:rsidRDefault="007518A3" w:rsidP="00E2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8A3" w:rsidRDefault="007518A3" w:rsidP="00E260E7">
      <w:r>
        <w:separator/>
      </w:r>
    </w:p>
  </w:footnote>
  <w:footnote w:type="continuationSeparator" w:id="0">
    <w:p w:rsidR="007518A3" w:rsidRDefault="007518A3" w:rsidP="00E2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0E7" w:rsidRDefault="00E260E7">
    <w:r>
      <w:rPr>
        <w:noProof/>
        <w:color w:val="FF0000"/>
      </w:rPr>
      <w:drawing>
        <wp:anchor distT="0" distB="0" distL="114300" distR="114300" simplePos="0" relativeHeight="251659264" behindDoc="1" locked="0" layoutInCell="1" allowOverlap="1" wp14:anchorId="4F15D9ED" wp14:editId="145632A4">
          <wp:simplePos x="0" y="0"/>
          <wp:positionH relativeFrom="margin">
            <wp:posOffset>249555</wp:posOffset>
          </wp:positionH>
          <wp:positionV relativeFrom="margin">
            <wp:posOffset>-1270635</wp:posOffset>
          </wp:positionV>
          <wp:extent cx="962025" cy="8096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E260E7" w:rsidTr="0028016D">
      <w:tc>
        <w:tcPr>
          <w:tcW w:w="1838" w:type="dxa"/>
          <w:vMerge w:val="restart"/>
        </w:tcPr>
        <w:p w:rsidR="00E260E7" w:rsidRDefault="00E260E7" w:rsidP="00E260E7">
          <w:pPr>
            <w:rPr>
              <w:color w:val="FF0000"/>
            </w:rPr>
          </w:pPr>
          <w:bookmarkStart w:id="2" w:name="_Hlk535237116"/>
        </w:p>
      </w:tc>
      <w:tc>
        <w:tcPr>
          <w:tcW w:w="7513" w:type="dxa"/>
          <w:gridSpan w:val="2"/>
        </w:tcPr>
        <w:p w:rsidR="00E260E7" w:rsidRPr="00AC6B57" w:rsidRDefault="00E260E7" w:rsidP="00E260E7">
          <w:pPr>
            <w:jc w:val="right"/>
            <w:rPr>
              <w:rFonts w:ascii="Tahoma" w:hAnsi="Tahoma" w:cs="Tahoma"/>
              <w:b/>
              <w:color w:val="FF0000"/>
            </w:rPr>
          </w:pPr>
          <w:r w:rsidRPr="00E260E7">
            <w:rPr>
              <w:rFonts w:ascii="Tahoma" w:hAnsi="Tahoma" w:cs="Tahoma"/>
              <w:b/>
              <w:color w:val="000000" w:themeColor="text1"/>
              <w:sz w:val="16"/>
            </w:rPr>
            <w:t>Lineamientos del Sistema Electrónico del Poder Legislativo del Estado de Guanajuato</w:t>
          </w:r>
        </w:p>
      </w:tc>
    </w:tr>
    <w:tr w:rsidR="00E260E7" w:rsidTr="0028016D">
      <w:trPr>
        <w:trHeight w:val="226"/>
      </w:trPr>
      <w:tc>
        <w:tcPr>
          <w:tcW w:w="1838" w:type="dxa"/>
          <w:vMerge/>
        </w:tcPr>
        <w:p w:rsidR="00E260E7" w:rsidRDefault="00E260E7" w:rsidP="00E260E7">
          <w:pPr>
            <w:rPr>
              <w:color w:val="FF0000"/>
            </w:rPr>
          </w:pPr>
        </w:p>
      </w:tc>
      <w:tc>
        <w:tcPr>
          <w:tcW w:w="3544" w:type="dxa"/>
          <w:vAlign w:val="center"/>
        </w:tcPr>
        <w:p w:rsidR="00E260E7" w:rsidRPr="00AC6B57" w:rsidRDefault="00E260E7" w:rsidP="00E260E7">
          <w:pPr>
            <w:ind w:left="176"/>
            <w:rPr>
              <w:rFonts w:ascii="Arial Narrow" w:hAnsi="Arial Narrow"/>
              <w:color w:val="000000" w:themeColor="text1"/>
              <w:sz w:val="13"/>
              <w:szCs w:val="13"/>
            </w:rPr>
          </w:pPr>
        </w:p>
        <w:p w:rsidR="00E260E7" w:rsidRPr="00AC6B57" w:rsidRDefault="00E260E7" w:rsidP="00E260E7">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rsidR="00E260E7" w:rsidRPr="00844EC6" w:rsidRDefault="00E260E7" w:rsidP="00E260E7">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w:t>
          </w:r>
          <w:r w:rsidR="00CA5CA3">
            <w:rPr>
              <w:rFonts w:ascii="Arial Narrow" w:hAnsi="Arial Narrow"/>
              <w:i/>
              <w:color w:val="000000" w:themeColor="text1"/>
              <w:sz w:val="13"/>
              <w:szCs w:val="13"/>
            </w:rPr>
            <w:t>II</w:t>
          </w:r>
          <w:r w:rsidRPr="00844EC6">
            <w:rPr>
              <w:rFonts w:ascii="Arial Narrow" w:hAnsi="Arial Narrow"/>
              <w:i/>
              <w:color w:val="000000" w:themeColor="text1"/>
              <w:sz w:val="13"/>
              <w:szCs w:val="13"/>
            </w:rPr>
            <w:t xml:space="preserve"> Legislatura</w:t>
          </w:r>
        </w:p>
      </w:tc>
    </w:tr>
    <w:tr w:rsidR="00E260E7" w:rsidTr="0028016D">
      <w:trPr>
        <w:trHeight w:val="177"/>
      </w:trPr>
      <w:tc>
        <w:tcPr>
          <w:tcW w:w="1838" w:type="dxa"/>
          <w:vMerge/>
        </w:tcPr>
        <w:p w:rsidR="00E260E7" w:rsidRDefault="00E260E7" w:rsidP="00E260E7">
          <w:pPr>
            <w:rPr>
              <w:color w:val="FF0000"/>
            </w:rPr>
          </w:pPr>
        </w:p>
      </w:tc>
      <w:tc>
        <w:tcPr>
          <w:tcW w:w="3544" w:type="dxa"/>
          <w:vAlign w:val="center"/>
        </w:tcPr>
        <w:p w:rsidR="00E260E7" w:rsidRPr="00AC6B57" w:rsidRDefault="00E260E7" w:rsidP="00E260E7">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rsidR="00E260E7" w:rsidRPr="00844EC6" w:rsidRDefault="00E260E7" w:rsidP="00E260E7">
          <w:pPr>
            <w:jc w:val="right"/>
            <w:rPr>
              <w:rFonts w:ascii="Arial Narrow" w:hAnsi="Arial Narrow"/>
              <w:i/>
              <w:color w:val="000000" w:themeColor="text1"/>
              <w:sz w:val="13"/>
              <w:szCs w:val="13"/>
            </w:rPr>
          </w:pPr>
          <w:r>
            <w:rPr>
              <w:rFonts w:ascii="Arial Narrow" w:hAnsi="Arial Narrow"/>
              <w:i/>
              <w:color w:val="000000" w:themeColor="text1"/>
              <w:sz w:val="13"/>
              <w:szCs w:val="13"/>
            </w:rPr>
            <w:t>Aprobado por la Junta de Gobierno y Coordinación Política</w:t>
          </w:r>
          <w:r>
            <w:rPr>
              <w:rFonts w:ascii="Arial Narrow" w:hAnsi="Arial Narrow"/>
              <w:i/>
              <w:color w:val="000000" w:themeColor="text1"/>
              <w:sz w:val="13"/>
              <w:szCs w:val="13"/>
            </w:rPr>
            <w:t xml:space="preserve">, </w:t>
          </w:r>
          <w:r>
            <w:rPr>
              <w:rFonts w:ascii="Arial Narrow" w:hAnsi="Arial Narrow"/>
              <w:i/>
              <w:color w:val="000000" w:themeColor="text1"/>
              <w:sz w:val="13"/>
              <w:szCs w:val="13"/>
            </w:rPr>
            <w:t>15</w:t>
          </w:r>
          <w:r>
            <w:rPr>
              <w:rFonts w:ascii="Arial Narrow" w:hAnsi="Arial Narrow"/>
              <w:i/>
              <w:color w:val="000000" w:themeColor="text1"/>
              <w:sz w:val="13"/>
              <w:szCs w:val="13"/>
            </w:rPr>
            <w:t>-</w:t>
          </w:r>
          <w:r>
            <w:rPr>
              <w:rFonts w:ascii="Arial Narrow" w:hAnsi="Arial Narrow"/>
              <w:i/>
              <w:color w:val="000000" w:themeColor="text1"/>
              <w:sz w:val="13"/>
              <w:szCs w:val="13"/>
            </w:rPr>
            <w:t>02</w:t>
          </w:r>
          <w:r>
            <w:rPr>
              <w:rFonts w:ascii="Arial Narrow" w:hAnsi="Arial Narrow"/>
              <w:i/>
              <w:color w:val="000000" w:themeColor="text1"/>
              <w:sz w:val="13"/>
              <w:szCs w:val="13"/>
            </w:rPr>
            <w:t>-201</w:t>
          </w:r>
          <w:r>
            <w:rPr>
              <w:rFonts w:ascii="Arial Narrow" w:hAnsi="Arial Narrow"/>
              <w:i/>
              <w:color w:val="000000" w:themeColor="text1"/>
              <w:sz w:val="13"/>
              <w:szCs w:val="13"/>
            </w:rPr>
            <w:t>7</w:t>
          </w:r>
        </w:p>
      </w:tc>
    </w:tr>
    <w:tr w:rsidR="00E260E7" w:rsidTr="0028016D">
      <w:trPr>
        <w:trHeight w:val="223"/>
      </w:trPr>
      <w:tc>
        <w:tcPr>
          <w:tcW w:w="1838" w:type="dxa"/>
          <w:vMerge/>
        </w:tcPr>
        <w:p w:rsidR="00E260E7" w:rsidRDefault="00E260E7" w:rsidP="00E260E7">
          <w:pPr>
            <w:rPr>
              <w:color w:val="FF0000"/>
            </w:rPr>
          </w:pPr>
        </w:p>
      </w:tc>
      <w:tc>
        <w:tcPr>
          <w:tcW w:w="3544" w:type="dxa"/>
          <w:vAlign w:val="center"/>
        </w:tcPr>
        <w:p w:rsidR="00E260E7" w:rsidRPr="00AC6B57" w:rsidRDefault="00E260E7" w:rsidP="00E260E7">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rsidR="00E260E7" w:rsidRPr="00844EC6" w:rsidRDefault="00E260E7" w:rsidP="00E260E7">
          <w:pPr>
            <w:jc w:val="right"/>
            <w:rPr>
              <w:rFonts w:ascii="Arial Narrow" w:hAnsi="Arial Narrow"/>
              <w:i/>
              <w:color w:val="000000" w:themeColor="text1"/>
              <w:sz w:val="13"/>
              <w:szCs w:val="13"/>
            </w:rPr>
          </w:pPr>
        </w:p>
      </w:tc>
    </w:tr>
    <w:bookmarkEnd w:id="2"/>
  </w:tbl>
  <w:p w:rsidR="00E260E7" w:rsidRDefault="00E260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E7"/>
    <w:rsid w:val="00216758"/>
    <w:rsid w:val="007518A3"/>
    <w:rsid w:val="009B49D5"/>
    <w:rsid w:val="00CA5CA3"/>
    <w:rsid w:val="00E260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20E6"/>
  <w15:chartTrackingRefBased/>
  <w15:docId w15:val="{4D960ECD-2098-46FB-A9F2-6973AB33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260E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uiPriority w:val="1"/>
    <w:qFormat/>
    <w:rsid w:val="00E260E7"/>
    <w:pPr>
      <w:spacing w:before="69"/>
      <w:ind w:left="5231" w:right="504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60E7"/>
    <w:pPr>
      <w:widowControl/>
      <w:tabs>
        <w:tab w:val="center" w:pos="4419"/>
        <w:tab w:val="right" w:pos="8838"/>
      </w:tabs>
      <w:autoSpaceDE/>
      <w:autoSpaceDN/>
      <w:adjustRightInd/>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260E7"/>
  </w:style>
  <w:style w:type="paragraph" w:styleId="Piedepgina">
    <w:name w:val="footer"/>
    <w:basedOn w:val="Normal"/>
    <w:link w:val="PiedepginaCar"/>
    <w:uiPriority w:val="99"/>
    <w:unhideWhenUsed/>
    <w:rsid w:val="00E260E7"/>
    <w:pPr>
      <w:widowControl/>
      <w:tabs>
        <w:tab w:val="center" w:pos="4419"/>
        <w:tab w:val="right" w:pos="8838"/>
      </w:tabs>
      <w:autoSpaceDE/>
      <w:autoSpaceDN/>
      <w:adjustRightInd/>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260E7"/>
  </w:style>
  <w:style w:type="table" w:styleId="Tablaconcuadrcula">
    <w:name w:val="Table Grid"/>
    <w:basedOn w:val="Tablanormal"/>
    <w:uiPriority w:val="39"/>
    <w:rsid w:val="00E2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260E7"/>
    <w:rPr>
      <w:rFonts w:ascii="Arial" w:eastAsia="Times New Roman" w:hAnsi="Arial" w:cs="Arial"/>
      <w:b/>
      <w:bCs/>
      <w:sz w:val="24"/>
      <w:szCs w:val="24"/>
      <w:lang w:eastAsia="es-MX"/>
    </w:rPr>
  </w:style>
  <w:style w:type="paragraph" w:styleId="Textoindependiente">
    <w:name w:val="Body Text"/>
    <w:basedOn w:val="Normal"/>
    <w:link w:val="TextoindependienteCar"/>
    <w:uiPriority w:val="1"/>
    <w:qFormat/>
    <w:rsid w:val="00E260E7"/>
  </w:style>
  <w:style w:type="character" w:customStyle="1" w:styleId="TextoindependienteCar">
    <w:name w:val="Texto independiente Car"/>
    <w:basedOn w:val="Fuentedeprrafopredeter"/>
    <w:link w:val="Textoindependiente"/>
    <w:uiPriority w:val="99"/>
    <w:rsid w:val="00E260E7"/>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864</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Torres Serrano</dc:creator>
  <cp:keywords/>
  <dc:description/>
  <cp:lastModifiedBy>Enrique Torres Serrano</cp:lastModifiedBy>
  <cp:revision>2</cp:revision>
  <dcterms:created xsi:type="dcterms:W3CDTF">2019-06-20T19:43:00Z</dcterms:created>
  <dcterms:modified xsi:type="dcterms:W3CDTF">2019-06-20T20:08:00Z</dcterms:modified>
</cp:coreProperties>
</file>